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C5B30" w14:textId="77777777" w:rsidR="00827F5C" w:rsidRDefault="00827F5C" w:rsidP="00827F5C">
      <w:pPr>
        <w:suppressLineNumbers/>
        <w:spacing w:line="480" w:lineRule="auto"/>
        <w:rPr>
          <w:b/>
          <w:bCs/>
          <w:sz w:val="32"/>
          <w:szCs w:val="32"/>
          <w:lang w:val="en-US"/>
        </w:rPr>
      </w:pPr>
      <w:r w:rsidRPr="00F3629B">
        <w:rPr>
          <w:b/>
          <w:bCs/>
          <w:sz w:val="32"/>
          <w:szCs w:val="32"/>
          <w:lang w:val="en-US"/>
        </w:rPr>
        <w:t>Supplementary Material</w:t>
      </w:r>
    </w:p>
    <w:tbl>
      <w:tblPr>
        <w:tblStyle w:val="Tableausimple1"/>
        <w:tblW w:w="9072" w:type="dxa"/>
        <w:tblLayout w:type="fixed"/>
        <w:tblLook w:val="04A0" w:firstRow="1" w:lastRow="0" w:firstColumn="1" w:lastColumn="0" w:noHBand="0" w:noVBand="1"/>
      </w:tblPr>
      <w:tblGrid>
        <w:gridCol w:w="2268"/>
        <w:gridCol w:w="2268"/>
        <w:gridCol w:w="2268"/>
        <w:gridCol w:w="2268"/>
      </w:tblGrid>
      <w:tr w:rsidR="005700DB" w:rsidRPr="00B272D2" w14:paraId="19490551" w14:textId="77777777" w:rsidTr="00B34205">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4E4C5FF" w14:textId="77777777" w:rsidR="005700DB" w:rsidRPr="00F3629B" w:rsidRDefault="005700DB" w:rsidP="00B34205">
            <w:pPr>
              <w:suppressLineNumbers/>
              <w:jc w:val="center"/>
              <w:rPr>
                <w:lang w:val="en-US"/>
              </w:rPr>
            </w:pPr>
            <w:r w:rsidRPr="00F3629B">
              <w:rPr>
                <w:lang w:val="en-US"/>
              </w:rPr>
              <w:t>Patient</w:t>
            </w:r>
          </w:p>
        </w:tc>
        <w:tc>
          <w:tcPr>
            <w:tcW w:w="2268" w:type="dxa"/>
            <w:vAlign w:val="center"/>
          </w:tcPr>
          <w:p w14:paraId="178CA96C" w14:textId="77777777" w:rsidR="005700DB" w:rsidRPr="00F3629B" w:rsidRDefault="005700DB" w:rsidP="00B34205">
            <w:pPr>
              <w:suppressLineNumber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MRI </w:t>
            </w:r>
            <w:r>
              <w:rPr>
                <w:lang w:val="en-US"/>
              </w:rPr>
              <w:br/>
              <w:t>1h post 1</w:t>
            </w:r>
            <w:r w:rsidRPr="00F3629B">
              <w:rPr>
                <w:vertAlign w:val="superscript"/>
                <w:lang w:val="en-US"/>
              </w:rPr>
              <w:t>st</w:t>
            </w:r>
            <w:r>
              <w:rPr>
                <w:lang w:val="en-US"/>
              </w:rPr>
              <w:t xml:space="preserve"> injection</w:t>
            </w:r>
          </w:p>
        </w:tc>
        <w:tc>
          <w:tcPr>
            <w:tcW w:w="2268" w:type="dxa"/>
            <w:vAlign w:val="center"/>
          </w:tcPr>
          <w:p w14:paraId="0A4C604A" w14:textId="77777777" w:rsidR="005700DB" w:rsidRDefault="005700DB" w:rsidP="00B34205">
            <w:pPr>
              <w:suppressLineNumbers/>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MRI</w:t>
            </w:r>
          </w:p>
          <w:p w14:paraId="2F16B85F" w14:textId="77777777" w:rsidR="005700DB" w:rsidRPr="00F3629B" w:rsidRDefault="005700DB" w:rsidP="00B34205">
            <w:pPr>
              <w:suppressLineNumber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4h post 1</w:t>
            </w:r>
            <w:r w:rsidRPr="00F3629B">
              <w:rPr>
                <w:vertAlign w:val="superscript"/>
                <w:lang w:val="en-US"/>
              </w:rPr>
              <w:t>st</w:t>
            </w:r>
            <w:r>
              <w:rPr>
                <w:lang w:val="en-US"/>
              </w:rPr>
              <w:t xml:space="preserve"> injection</w:t>
            </w:r>
          </w:p>
        </w:tc>
        <w:tc>
          <w:tcPr>
            <w:tcW w:w="2268" w:type="dxa"/>
            <w:vAlign w:val="center"/>
          </w:tcPr>
          <w:p w14:paraId="15ABE4EA" w14:textId="77777777" w:rsidR="005700DB" w:rsidRDefault="005700DB" w:rsidP="00B34205">
            <w:pPr>
              <w:suppressLineNumbers/>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MRI</w:t>
            </w:r>
          </w:p>
          <w:p w14:paraId="7E7994A9" w14:textId="77777777" w:rsidR="005700DB" w:rsidRPr="00F3629B" w:rsidRDefault="005700DB" w:rsidP="00B34205">
            <w:pPr>
              <w:suppressLineNumbers/>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1h post 3</w:t>
            </w:r>
            <w:r w:rsidRPr="00F3629B">
              <w:rPr>
                <w:vertAlign w:val="superscript"/>
                <w:lang w:val="en-US"/>
              </w:rPr>
              <w:t>rd</w:t>
            </w:r>
            <w:r>
              <w:rPr>
                <w:lang w:val="en-US"/>
              </w:rPr>
              <w:t xml:space="preserve"> injection</w:t>
            </w:r>
          </w:p>
        </w:tc>
      </w:tr>
      <w:tr w:rsidR="005700DB" w:rsidRPr="00F3629B" w14:paraId="5B823BD8"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15DB9E3"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01-001</w:t>
            </w:r>
          </w:p>
        </w:tc>
        <w:tc>
          <w:tcPr>
            <w:tcW w:w="2268" w:type="dxa"/>
            <w:noWrap/>
            <w:vAlign w:val="center"/>
            <w:hideMark/>
          </w:tcPr>
          <w:p w14:paraId="23B0FB8E"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32</w:t>
            </w:r>
          </w:p>
        </w:tc>
        <w:tc>
          <w:tcPr>
            <w:tcW w:w="2268" w:type="dxa"/>
            <w:noWrap/>
            <w:vAlign w:val="center"/>
            <w:hideMark/>
          </w:tcPr>
          <w:p w14:paraId="57AF3201"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771E2BC6"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15</w:t>
            </w:r>
          </w:p>
        </w:tc>
      </w:tr>
      <w:tr w:rsidR="005700DB" w:rsidRPr="00F3629B" w14:paraId="4C6801F0"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E3EC37B"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01-004</w:t>
            </w:r>
          </w:p>
        </w:tc>
        <w:tc>
          <w:tcPr>
            <w:tcW w:w="2268" w:type="dxa"/>
            <w:noWrap/>
            <w:vAlign w:val="center"/>
            <w:hideMark/>
          </w:tcPr>
          <w:p w14:paraId="38DE22BF"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16</w:t>
            </w:r>
          </w:p>
        </w:tc>
        <w:tc>
          <w:tcPr>
            <w:tcW w:w="2268" w:type="dxa"/>
            <w:noWrap/>
            <w:vAlign w:val="center"/>
            <w:hideMark/>
          </w:tcPr>
          <w:p w14:paraId="3CE7C3CB"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224F0463"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22</w:t>
            </w:r>
          </w:p>
        </w:tc>
      </w:tr>
      <w:tr w:rsidR="005700DB" w:rsidRPr="00F3629B" w14:paraId="63864101"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D1F21F6"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01-008</w:t>
            </w:r>
          </w:p>
        </w:tc>
        <w:tc>
          <w:tcPr>
            <w:tcW w:w="2268" w:type="dxa"/>
            <w:noWrap/>
            <w:vAlign w:val="center"/>
            <w:hideMark/>
          </w:tcPr>
          <w:p w14:paraId="3E66C909"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22</w:t>
            </w:r>
          </w:p>
        </w:tc>
        <w:tc>
          <w:tcPr>
            <w:tcW w:w="2268" w:type="dxa"/>
            <w:noWrap/>
            <w:vAlign w:val="center"/>
            <w:hideMark/>
          </w:tcPr>
          <w:p w14:paraId="083B42FA"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64852917"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28</w:t>
            </w:r>
          </w:p>
        </w:tc>
      </w:tr>
      <w:tr w:rsidR="005700DB" w:rsidRPr="00F3629B" w14:paraId="5AFD5D8D"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078A18D"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01-012</w:t>
            </w:r>
          </w:p>
        </w:tc>
        <w:tc>
          <w:tcPr>
            <w:tcW w:w="2268" w:type="dxa"/>
            <w:noWrap/>
            <w:vAlign w:val="center"/>
            <w:hideMark/>
          </w:tcPr>
          <w:p w14:paraId="1EDA5E10"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30</w:t>
            </w:r>
          </w:p>
        </w:tc>
        <w:tc>
          <w:tcPr>
            <w:tcW w:w="2268" w:type="dxa"/>
            <w:noWrap/>
            <w:vAlign w:val="center"/>
            <w:hideMark/>
          </w:tcPr>
          <w:p w14:paraId="3A575C5C"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447F1960"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lang w:eastAsia="fr-FR"/>
                <w14:ligatures w14:val="none"/>
              </w:rPr>
            </w:pPr>
          </w:p>
        </w:tc>
      </w:tr>
      <w:tr w:rsidR="005700DB" w:rsidRPr="00F3629B" w14:paraId="52624AB7"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4FAD6B8"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01-015</w:t>
            </w:r>
          </w:p>
        </w:tc>
        <w:tc>
          <w:tcPr>
            <w:tcW w:w="2268" w:type="dxa"/>
            <w:noWrap/>
            <w:vAlign w:val="center"/>
            <w:hideMark/>
          </w:tcPr>
          <w:p w14:paraId="660C2B48"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10</w:t>
            </w:r>
          </w:p>
        </w:tc>
        <w:tc>
          <w:tcPr>
            <w:tcW w:w="2268" w:type="dxa"/>
            <w:noWrap/>
            <w:vAlign w:val="center"/>
            <w:hideMark/>
          </w:tcPr>
          <w:p w14:paraId="7BE54C35"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252</w:t>
            </w:r>
          </w:p>
        </w:tc>
        <w:tc>
          <w:tcPr>
            <w:tcW w:w="2268" w:type="dxa"/>
            <w:noWrap/>
            <w:vAlign w:val="center"/>
            <w:hideMark/>
          </w:tcPr>
          <w:p w14:paraId="26A99267"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23</w:t>
            </w:r>
          </w:p>
        </w:tc>
      </w:tr>
      <w:tr w:rsidR="005700DB" w:rsidRPr="00F3629B" w14:paraId="72D9B5C6"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FD92B65"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01-020</w:t>
            </w:r>
          </w:p>
        </w:tc>
        <w:tc>
          <w:tcPr>
            <w:tcW w:w="2268" w:type="dxa"/>
            <w:noWrap/>
            <w:vAlign w:val="center"/>
            <w:hideMark/>
          </w:tcPr>
          <w:p w14:paraId="69627E28"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15</w:t>
            </w:r>
          </w:p>
        </w:tc>
        <w:tc>
          <w:tcPr>
            <w:tcW w:w="2268" w:type="dxa"/>
            <w:noWrap/>
            <w:vAlign w:val="center"/>
            <w:hideMark/>
          </w:tcPr>
          <w:p w14:paraId="028EB4C7"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37B9ED84"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szCs w:val="20"/>
                <w:lang w:eastAsia="fr-FR"/>
                <w14:ligatures w14:val="none"/>
              </w:rPr>
            </w:pPr>
          </w:p>
        </w:tc>
      </w:tr>
      <w:tr w:rsidR="005700DB" w:rsidRPr="00F3629B" w14:paraId="1DCC5AE5"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51F4F16"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01-021</w:t>
            </w:r>
          </w:p>
        </w:tc>
        <w:tc>
          <w:tcPr>
            <w:tcW w:w="2268" w:type="dxa"/>
            <w:noWrap/>
            <w:vAlign w:val="center"/>
            <w:hideMark/>
          </w:tcPr>
          <w:p w14:paraId="3D29D709"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32</w:t>
            </w:r>
          </w:p>
        </w:tc>
        <w:tc>
          <w:tcPr>
            <w:tcW w:w="2268" w:type="dxa"/>
            <w:noWrap/>
            <w:vAlign w:val="center"/>
            <w:hideMark/>
          </w:tcPr>
          <w:p w14:paraId="092B3829"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5A161FBC"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szCs w:val="20"/>
                <w:lang w:eastAsia="fr-FR"/>
                <w14:ligatures w14:val="none"/>
              </w:rPr>
            </w:pPr>
          </w:p>
        </w:tc>
      </w:tr>
      <w:tr w:rsidR="005700DB" w:rsidRPr="00F3629B" w14:paraId="18A74F3C"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3C7D6BD"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01-027</w:t>
            </w:r>
          </w:p>
        </w:tc>
        <w:tc>
          <w:tcPr>
            <w:tcW w:w="2268" w:type="dxa"/>
            <w:noWrap/>
            <w:vAlign w:val="center"/>
            <w:hideMark/>
          </w:tcPr>
          <w:p w14:paraId="6485D871"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12</w:t>
            </w:r>
          </w:p>
        </w:tc>
        <w:tc>
          <w:tcPr>
            <w:tcW w:w="2268" w:type="dxa"/>
            <w:noWrap/>
            <w:vAlign w:val="center"/>
            <w:hideMark/>
          </w:tcPr>
          <w:p w14:paraId="7DCD4156"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228</w:t>
            </w:r>
          </w:p>
        </w:tc>
        <w:tc>
          <w:tcPr>
            <w:tcW w:w="2268" w:type="dxa"/>
            <w:noWrap/>
            <w:vAlign w:val="center"/>
            <w:hideMark/>
          </w:tcPr>
          <w:p w14:paraId="46507BB9"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p>
        </w:tc>
      </w:tr>
      <w:tr w:rsidR="005700DB" w:rsidRPr="00F3629B" w14:paraId="3B2AF809"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5978145"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01-028</w:t>
            </w:r>
          </w:p>
        </w:tc>
        <w:tc>
          <w:tcPr>
            <w:tcW w:w="2268" w:type="dxa"/>
            <w:noWrap/>
            <w:vAlign w:val="center"/>
            <w:hideMark/>
          </w:tcPr>
          <w:p w14:paraId="0047110E"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31</w:t>
            </w:r>
          </w:p>
        </w:tc>
        <w:tc>
          <w:tcPr>
            <w:tcW w:w="2268" w:type="dxa"/>
            <w:noWrap/>
            <w:vAlign w:val="center"/>
            <w:hideMark/>
          </w:tcPr>
          <w:p w14:paraId="41660986"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300</w:t>
            </w:r>
          </w:p>
        </w:tc>
        <w:tc>
          <w:tcPr>
            <w:tcW w:w="2268" w:type="dxa"/>
            <w:noWrap/>
            <w:vAlign w:val="center"/>
            <w:hideMark/>
          </w:tcPr>
          <w:p w14:paraId="02881F72"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33</w:t>
            </w:r>
          </w:p>
        </w:tc>
      </w:tr>
      <w:tr w:rsidR="005700DB" w:rsidRPr="00F3629B" w14:paraId="2AD8BD04"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A7A3DC5"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01-029</w:t>
            </w:r>
          </w:p>
        </w:tc>
        <w:tc>
          <w:tcPr>
            <w:tcW w:w="2268" w:type="dxa"/>
            <w:noWrap/>
            <w:vAlign w:val="center"/>
            <w:hideMark/>
          </w:tcPr>
          <w:p w14:paraId="3EA0B0DE"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29</w:t>
            </w:r>
          </w:p>
        </w:tc>
        <w:tc>
          <w:tcPr>
            <w:tcW w:w="2268" w:type="dxa"/>
            <w:noWrap/>
            <w:vAlign w:val="center"/>
            <w:hideMark/>
          </w:tcPr>
          <w:p w14:paraId="35AE09B1"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245</w:t>
            </w:r>
          </w:p>
        </w:tc>
        <w:tc>
          <w:tcPr>
            <w:tcW w:w="2268" w:type="dxa"/>
            <w:noWrap/>
            <w:vAlign w:val="center"/>
            <w:hideMark/>
          </w:tcPr>
          <w:p w14:paraId="70B6AB5B" w14:textId="77777777" w:rsidR="005700DB" w:rsidRPr="00F3629B" w:rsidRDefault="005700DB" w:rsidP="00B34205">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szCs w:val="20"/>
                <w:lang w:eastAsia="fr-FR"/>
                <w14:ligatures w14:val="none"/>
              </w:rPr>
            </w:pPr>
            <w:r>
              <w:rPr>
                <w:rFonts w:eastAsia="Times New Roman" w:cs="Calibri"/>
                <w:color w:val="000000"/>
                <w:kern w:val="0"/>
                <w:sz w:val="20"/>
                <w:szCs w:val="20"/>
                <w:lang w:eastAsia="fr-FR"/>
                <w14:ligatures w14:val="none"/>
              </w:rPr>
              <w:t>22</w:t>
            </w:r>
          </w:p>
        </w:tc>
      </w:tr>
      <w:tr w:rsidR="005700DB" w:rsidRPr="00F3629B" w14:paraId="7DE58CF2" w14:textId="77777777" w:rsidTr="00B342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7D81F23" w14:textId="77777777" w:rsidR="005700DB" w:rsidRPr="00F3629B" w:rsidRDefault="005700DB" w:rsidP="00B34205">
            <w:pPr>
              <w:jc w:val="center"/>
              <w:rPr>
                <w:rFonts w:eastAsia="Times New Roman" w:cs="Calibri"/>
                <w:b w:val="0"/>
                <w:bCs w:val="0"/>
                <w:color w:val="000000"/>
                <w:kern w:val="0"/>
                <w:sz w:val="20"/>
                <w:szCs w:val="20"/>
                <w:lang w:eastAsia="fr-FR"/>
                <w14:ligatures w14:val="none"/>
              </w:rPr>
            </w:pPr>
            <w:r w:rsidRPr="00F3629B">
              <w:rPr>
                <w:rFonts w:eastAsia="Times New Roman" w:cs="Calibri"/>
                <w:b w:val="0"/>
                <w:bCs w:val="0"/>
                <w:color w:val="000000"/>
                <w:kern w:val="0"/>
                <w:sz w:val="20"/>
                <w:szCs w:val="20"/>
                <w:lang w:eastAsia="fr-FR"/>
                <w14:ligatures w14:val="none"/>
              </w:rPr>
              <w:t>01-036</w:t>
            </w:r>
          </w:p>
        </w:tc>
        <w:tc>
          <w:tcPr>
            <w:tcW w:w="2268" w:type="dxa"/>
            <w:noWrap/>
            <w:vAlign w:val="center"/>
            <w:hideMark/>
          </w:tcPr>
          <w:p w14:paraId="192F7602"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45</w:t>
            </w:r>
          </w:p>
        </w:tc>
        <w:tc>
          <w:tcPr>
            <w:tcW w:w="2268" w:type="dxa"/>
            <w:noWrap/>
            <w:vAlign w:val="center"/>
            <w:hideMark/>
          </w:tcPr>
          <w:p w14:paraId="4CCEDA9B"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p>
        </w:tc>
        <w:tc>
          <w:tcPr>
            <w:tcW w:w="2268" w:type="dxa"/>
            <w:noWrap/>
            <w:vAlign w:val="center"/>
            <w:hideMark/>
          </w:tcPr>
          <w:p w14:paraId="36A548C5" w14:textId="77777777" w:rsidR="005700DB" w:rsidRPr="00F3629B" w:rsidRDefault="005700DB" w:rsidP="00B34205">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szCs w:val="20"/>
                <w:lang w:eastAsia="fr-FR"/>
                <w14:ligatures w14:val="none"/>
              </w:rPr>
            </w:pPr>
            <w:r w:rsidRPr="00F3629B">
              <w:rPr>
                <w:rFonts w:eastAsia="Times New Roman" w:cs="Calibri"/>
                <w:color w:val="000000"/>
                <w:kern w:val="0"/>
                <w:sz w:val="20"/>
                <w:szCs w:val="20"/>
                <w:lang w:eastAsia="fr-FR"/>
                <w14:ligatures w14:val="none"/>
              </w:rPr>
              <w:t>2</w:t>
            </w:r>
            <w:r>
              <w:rPr>
                <w:rFonts w:eastAsia="Times New Roman" w:cs="Calibri"/>
                <w:color w:val="000000"/>
                <w:kern w:val="0"/>
                <w:sz w:val="20"/>
                <w:szCs w:val="20"/>
                <w:lang w:eastAsia="fr-FR"/>
                <w14:ligatures w14:val="none"/>
              </w:rPr>
              <w:t>8</w:t>
            </w:r>
          </w:p>
        </w:tc>
      </w:tr>
      <w:tr w:rsidR="005700DB" w14:paraId="588A075C" w14:textId="77777777" w:rsidTr="00B34205">
        <w:trPr>
          <w:trHeight w:val="454"/>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vAlign w:val="center"/>
          </w:tcPr>
          <w:p w14:paraId="6A5D28E1" w14:textId="77777777" w:rsidR="005700DB" w:rsidRPr="00F3629B" w:rsidRDefault="005700DB" w:rsidP="00B34205">
            <w:pPr>
              <w:suppressLineNumbers/>
              <w:jc w:val="center"/>
              <w:rPr>
                <w:lang w:val="en-US"/>
              </w:rPr>
            </w:pPr>
            <w:r w:rsidRPr="00F3629B">
              <w:rPr>
                <w:lang w:val="en-US"/>
              </w:rPr>
              <w:t>Median (Min – Max)</w:t>
            </w:r>
          </w:p>
        </w:tc>
        <w:tc>
          <w:tcPr>
            <w:tcW w:w="2268" w:type="dxa"/>
            <w:shd w:val="clear" w:color="auto" w:fill="FFFFFF" w:themeFill="background1"/>
            <w:vAlign w:val="center"/>
          </w:tcPr>
          <w:p w14:paraId="12F64171" w14:textId="77777777" w:rsidR="005700DB" w:rsidRPr="00F3629B" w:rsidRDefault="005700DB" w:rsidP="00B34205">
            <w:pPr>
              <w:suppressLineNumbers/>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 xml:space="preserve">29 </w:t>
            </w:r>
            <w:r w:rsidRPr="00F3629B">
              <w:rPr>
                <w:b/>
                <w:bCs/>
                <w:lang w:val="en-US"/>
              </w:rPr>
              <w:t>(</w:t>
            </w:r>
            <w:r>
              <w:rPr>
                <w:b/>
                <w:bCs/>
                <w:lang w:val="en-US"/>
              </w:rPr>
              <w:t>10</w:t>
            </w:r>
            <w:r w:rsidRPr="00F3629B">
              <w:rPr>
                <w:b/>
                <w:bCs/>
                <w:lang w:val="en-US"/>
              </w:rPr>
              <w:t xml:space="preserve"> – </w:t>
            </w:r>
            <w:r>
              <w:rPr>
                <w:b/>
                <w:bCs/>
                <w:lang w:val="en-US"/>
              </w:rPr>
              <w:t>45</w:t>
            </w:r>
            <w:r w:rsidRPr="00F3629B">
              <w:rPr>
                <w:b/>
                <w:bCs/>
                <w:lang w:val="en-US"/>
              </w:rPr>
              <w:t>)</w:t>
            </w:r>
          </w:p>
        </w:tc>
        <w:tc>
          <w:tcPr>
            <w:tcW w:w="2268" w:type="dxa"/>
            <w:shd w:val="clear" w:color="auto" w:fill="FFFFFF" w:themeFill="background1"/>
            <w:vAlign w:val="center"/>
          </w:tcPr>
          <w:p w14:paraId="0C394FA4" w14:textId="77777777" w:rsidR="005700DB" w:rsidRPr="00F3629B" w:rsidRDefault="005700DB" w:rsidP="00B34205">
            <w:pPr>
              <w:suppressLineNumbers/>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249 (228 – 300)</w:t>
            </w:r>
          </w:p>
        </w:tc>
        <w:tc>
          <w:tcPr>
            <w:tcW w:w="2268" w:type="dxa"/>
            <w:shd w:val="clear" w:color="auto" w:fill="FFFFFF" w:themeFill="background1"/>
            <w:vAlign w:val="center"/>
          </w:tcPr>
          <w:p w14:paraId="0DB0F3EA" w14:textId="77777777" w:rsidR="005700DB" w:rsidRPr="00F3629B" w:rsidRDefault="005700DB" w:rsidP="00B34205">
            <w:pPr>
              <w:suppressLineNumbers/>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23 (15 – 33)</w:t>
            </w:r>
          </w:p>
        </w:tc>
      </w:tr>
    </w:tbl>
    <w:p w14:paraId="42494CD5" w14:textId="77777777" w:rsidR="005700DB" w:rsidRDefault="005700DB" w:rsidP="005700DB">
      <w:pPr>
        <w:suppressLineNumbers/>
        <w:spacing w:after="0" w:line="480" w:lineRule="auto"/>
        <w:rPr>
          <w:lang w:val="en-US"/>
        </w:rPr>
      </w:pPr>
    </w:p>
    <w:p w14:paraId="01E4E2FD" w14:textId="11155D40" w:rsidR="005700DB" w:rsidRDefault="005700DB" w:rsidP="005700DB">
      <w:pPr>
        <w:suppressLineNumbers/>
        <w:spacing w:line="480" w:lineRule="auto"/>
        <w:rPr>
          <w:lang w:val="en-US"/>
        </w:rPr>
      </w:pPr>
      <w:r w:rsidRPr="000D3678">
        <w:rPr>
          <w:b/>
          <w:bCs/>
          <w:lang w:val="en-US"/>
        </w:rPr>
        <w:t xml:space="preserve">Table </w:t>
      </w:r>
      <w:r>
        <w:rPr>
          <w:b/>
          <w:bCs/>
          <w:lang w:val="en-US"/>
        </w:rPr>
        <w:t>2</w:t>
      </w:r>
      <w:r w:rsidRPr="000D3678">
        <w:rPr>
          <w:b/>
          <w:bCs/>
          <w:lang w:val="en-US"/>
        </w:rPr>
        <w:t xml:space="preserve">: Time delay between completion of AGuIX administration and magnetic resonance imaging </w:t>
      </w:r>
      <w:r>
        <w:rPr>
          <w:b/>
          <w:bCs/>
          <w:lang w:val="en-US"/>
        </w:rPr>
        <w:t>(</w:t>
      </w:r>
      <w:r w:rsidRPr="000D3678">
        <w:rPr>
          <w:b/>
          <w:bCs/>
          <w:lang w:val="en-US"/>
        </w:rPr>
        <w:t xml:space="preserve">MRI). </w:t>
      </w:r>
      <w:r w:rsidRPr="000D3678">
        <w:rPr>
          <w:lang w:val="en-US"/>
        </w:rPr>
        <w:t xml:space="preserve">The delay is given in minutes and represents the time elapsed between the completion of AGuIX administration and the MRI scan. Due to variations in patient weight, the administration duration can vary significantly, ranging from approximately </w:t>
      </w:r>
      <w:r>
        <w:rPr>
          <w:lang w:val="en-US"/>
        </w:rPr>
        <w:t>25</w:t>
      </w:r>
      <w:r w:rsidRPr="000D3678">
        <w:rPr>
          <w:lang w:val="en-US"/>
        </w:rPr>
        <w:t xml:space="preserve"> minutes for a 50 kg patient to about </w:t>
      </w:r>
      <w:r>
        <w:rPr>
          <w:lang w:val="en-US"/>
        </w:rPr>
        <w:t>40</w:t>
      </w:r>
      <w:r w:rsidRPr="000D3678">
        <w:rPr>
          <w:lang w:val="en-US"/>
        </w:rPr>
        <w:t xml:space="preserve"> minutes for an 80 kg patient (injection rate: </w:t>
      </w:r>
      <w:r>
        <w:rPr>
          <w:lang w:val="en-US"/>
        </w:rPr>
        <w:t>2 mL.min</w:t>
      </w:r>
      <w:r w:rsidRPr="00394355">
        <w:rPr>
          <w:vertAlign w:val="superscript"/>
          <w:lang w:val="en-US"/>
        </w:rPr>
        <w:t>-1</w:t>
      </w:r>
      <w:r w:rsidRPr="000D3678">
        <w:rPr>
          <w:lang w:val="en-US"/>
        </w:rPr>
        <w:t>).</w:t>
      </w:r>
      <w:r>
        <w:rPr>
          <w:lang w:val="en-US"/>
        </w:rPr>
        <w:t xml:space="preserve"> “</w:t>
      </w:r>
      <w:r w:rsidRPr="00477289">
        <w:rPr>
          <w:i/>
          <w:iCs/>
          <w:lang w:val="en-US"/>
        </w:rPr>
        <w:t>NA</w:t>
      </w:r>
      <w:r>
        <w:rPr>
          <w:lang w:val="en-US"/>
        </w:rPr>
        <w:t>” indicates missing values.</w:t>
      </w:r>
    </w:p>
    <w:p w14:paraId="54984DA3" w14:textId="71E746F2" w:rsidR="005700DB" w:rsidRDefault="005700DB">
      <w:pPr>
        <w:spacing w:line="278" w:lineRule="auto"/>
        <w:rPr>
          <w:lang w:val="en-US"/>
        </w:rPr>
      </w:pPr>
      <w:r>
        <w:rPr>
          <w:lang w:val="en-US"/>
        </w:rPr>
        <w:br w:type="page"/>
      </w:r>
    </w:p>
    <w:tbl>
      <w:tblPr>
        <w:tblStyle w:val="Tableausimple1"/>
        <w:tblW w:w="0" w:type="auto"/>
        <w:jc w:val="center"/>
        <w:tblLayout w:type="fixed"/>
        <w:tblLook w:val="04A0" w:firstRow="1" w:lastRow="0" w:firstColumn="1" w:lastColumn="0" w:noHBand="0" w:noVBand="1"/>
      </w:tblPr>
      <w:tblGrid>
        <w:gridCol w:w="2741"/>
        <w:gridCol w:w="2741"/>
        <w:gridCol w:w="2741"/>
      </w:tblGrid>
      <w:tr w:rsidR="004B26F9" w:rsidRPr="00AE7C27" w14:paraId="77AE6A32" w14:textId="77777777" w:rsidTr="00B34205">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vAlign w:val="center"/>
          </w:tcPr>
          <w:p w14:paraId="7385ACDB" w14:textId="77777777" w:rsidR="004B26F9" w:rsidRPr="00AE7C27" w:rsidRDefault="004B26F9" w:rsidP="00B34205">
            <w:pPr>
              <w:suppressLineNumbers/>
              <w:spacing w:line="240" w:lineRule="auto"/>
              <w:jc w:val="center"/>
              <w:rPr>
                <w:sz w:val="20"/>
                <w:lang w:val="en-US"/>
              </w:rPr>
            </w:pPr>
            <w:r w:rsidRPr="00AE7C27">
              <w:rPr>
                <w:sz w:val="20"/>
                <w:lang w:val="en-US"/>
              </w:rPr>
              <w:lastRenderedPageBreak/>
              <w:t>Region of interest</w:t>
            </w:r>
          </w:p>
        </w:tc>
        <w:tc>
          <w:tcPr>
            <w:tcW w:w="2741" w:type="dxa"/>
            <w:vAlign w:val="center"/>
          </w:tcPr>
          <w:p w14:paraId="6A454119" w14:textId="77777777" w:rsidR="004B26F9" w:rsidRPr="00AE7C27" w:rsidRDefault="004B26F9" w:rsidP="00B34205">
            <w:pPr>
              <w:suppressLineNumbers/>
              <w:spacing w:line="240" w:lineRule="auto"/>
              <w:jc w:val="center"/>
              <w:cnfStyle w:val="100000000000" w:firstRow="1" w:lastRow="0" w:firstColumn="0" w:lastColumn="0" w:oddVBand="0" w:evenVBand="0" w:oddHBand="0" w:evenHBand="0" w:firstRowFirstColumn="0" w:firstRowLastColumn="0" w:lastRowFirstColumn="0" w:lastRowLastColumn="0"/>
              <w:rPr>
                <w:sz w:val="20"/>
                <w:lang w:val="en-US"/>
              </w:rPr>
            </w:pPr>
            <w:r w:rsidRPr="00AE7C27">
              <w:rPr>
                <w:sz w:val="20"/>
                <w:lang w:val="en-US"/>
              </w:rPr>
              <w:t>Mean (mm</w:t>
            </w:r>
            <w:r w:rsidRPr="00AE7C27">
              <w:rPr>
                <w:sz w:val="20"/>
                <w:vertAlign w:val="superscript"/>
                <w:lang w:val="en-US"/>
              </w:rPr>
              <w:t>3</w:t>
            </w:r>
            <w:r w:rsidRPr="00AE7C27">
              <w:rPr>
                <w:sz w:val="20"/>
                <w:lang w:val="en-US"/>
              </w:rPr>
              <w:t>)</w:t>
            </w:r>
          </w:p>
        </w:tc>
        <w:tc>
          <w:tcPr>
            <w:tcW w:w="2741" w:type="dxa"/>
            <w:vAlign w:val="center"/>
          </w:tcPr>
          <w:p w14:paraId="7DDF3984" w14:textId="77777777" w:rsidR="004B26F9" w:rsidRPr="00AE7C27" w:rsidRDefault="004B26F9" w:rsidP="00B34205">
            <w:pPr>
              <w:suppressLineNumbers/>
              <w:spacing w:line="240" w:lineRule="auto"/>
              <w:jc w:val="center"/>
              <w:cnfStyle w:val="100000000000" w:firstRow="1" w:lastRow="0" w:firstColumn="0" w:lastColumn="0" w:oddVBand="0" w:evenVBand="0" w:oddHBand="0" w:evenHBand="0" w:firstRowFirstColumn="0" w:firstRowLastColumn="0" w:lastRowFirstColumn="0" w:lastRowLastColumn="0"/>
              <w:rPr>
                <w:sz w:val="20"/>
                <w:lang w:val="en-US"/>
              </w:rPr>
            </w:pPr>
            <w:r w:rsidRPr="00AE7C27">
              <w:rPr>
                <w:sz w:val="20"/>
                <w:lang w:val="en-US"/>
              </w:rPr>
              <w:t>Standard deviation (mm</w:t>
            </w:r>
            <w:r w:rsidRPr="00AE7C27">
              <w:rPr>
                <w:sz w:val="20"/>
                <w:vertAlign w:val="superscript"/>
                <w:lang w:val="en-US"/>
              </w:rPr>
              <w:t>3</w:t>
            </w:r>
            <w:r w:rsidRPr="00AE7C27">
              <w:rPr>
                <w:sz w:val="20"/>
                <w:lang w:val="en-US"/>
              </w:rPr>
              <w:t>)</w:t>
            </w:r>
          </w:p>
        </w:tc>
      </w:tr>
      <w:tr w:rsidR="004B26F9" w:rsidRPr="00AE7C27" w14:paraId="6B10A62A"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792CFA12"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Basal ganglia</w:t>
            </w:r>
          </w:p>
        </w:tc>
        <w:tc>
          <w:tcPr>
            <w:tcW w:w="2741" w:type="dxa"/>
            <w:noWrap/>
            <w:vAlign w:val="center"/>
          </w:tcPr>
          <w:p w14:paraId="4D8272C2"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164</w:t>
            </w:r>
          </w:p>
        </w:tc>
        <w:tc>
          <w:tcPr>
            <w:tcW w:w="2741" w:type="dxa"/>
            <w:noWrap/>
            <w:vAlign w:val="center"/>
          </w:tcPr>
          <w:p w14:paraId="20795DD0"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108</w:t>
            </w:r>
          </w:p>
        </w:tc>
      </w:tr>
      <w:tr w:rsidR="004B26F9" w:rsidRPr="00AE7C27" w14:paraId="7B5DC678"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78C37C89"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Brainstem</w:t>
            </w:r>
          </w:p>
        </w:tc>
        <w:tc>
          <w:tcPr>
            <w:tcW w:w="2741" w:type="dxa"/>
            <w:noWrap/>
            <w:vAlign w:val="center"/>
          </w:tcPr>
          <w:p w14:paraId="7E8D8788"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227</w:t>
            </w:r>
          </w:p>
        </w:tc>
        <w:tc>
          <w:tcPr>
            <w:tcW w:w="2741" w:type="dxa"/>
            <w:noWrap/>
            <w:vAlign w:val="center"/>
          </w:tcPr>
          <w:p w14:paraId="16955EAD"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val="en-US"/>
              </w:rPr>
            </w:pPr>
            <w:r w:rsidRPr="00AE7C27">
              <w:rPr>
                <w:rFonts w:cs="Calibri"/>
                <w:color w:val="000000"/>
                <w:sz w:val="20"/>
                <w:lang w:val="en-US"/>
              </w:rPr>
              <w:t>148</w:t>
            </w:r>
          </w:p>
        </w:tc>
      </w:tr>
      <w:tr w:rsidR="004B26F9" w:rsidRPr="00AE7C27" w14:paraId="5BD04C32"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5793EF90"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Ventricle</w:t>
            </w:r>
          </w:p>
        </w:tc>
        <w:tc>
          <w:tcPr>
            <w:tcW w:w="2741" w:type="dxa"/>
            <w:noWrap/>
            <w:vAlign w:val="center"/>
          </w:tcPr>
          <w:p w14:paraId="615A5ED2"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204</w:t>
            </w:r>
          </w:p>
        </w:tc>
        <w:tc>
          <w:tcPr>
            <w:tcW w:w="2741" w:type="dxa"/>
            <w:noWrap/>
            <w:vAlign w:val="center"/>
          </w:tcPr>
          <w:p w14:paraId="62F493A0"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107</w:t>
            </w:r>
          </w:p>
        </w:tc>
      </w:tr>
      <w:tr w:rsidR="004B26F9" w:rsidRPr="00AE7C27" w14:paraId="53EF5238"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610809A8"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Grey matter</w:t>
            </w:r>
          </w:p>
        </w:tc>
        <w:tc>
          <w:tcPr>
            <w:tcW w:w="2741" w:type="dxa"/>
            <w:noWrap/>
            <w:vAlign w:val="center"/>
          </w:tcPr>
          <w:p w14:paraId="0C6756AA"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183</w:t>
            </w:r>
          </w:p>
        </w:tc>
        <w:tc>
          <w:tcPr>
            <w:tcW w:w="2741" w:type="dxa"/>
            <w:noWrap/>
            <w:vAlign w:val="center"/>
          </w:tcPr>
          <w:p w14:paraId="7374690F"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104</w:t>
            </w:r>
          </w:p>
        </w:tc>
      </w:tr>
      <w:tr w:rsidR="004B26F9" w:rsidRPr="00AE7C27" w14:paraId="2D620778"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1F320C3B"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White matter</w:t>
            </w:r>
          </w:p>
        </w:tc>
        <w:tc>
          <w:tcPr>
            <w:tcW w:w="2741" w:type="dxa"/>
            <w:noWrap/>
            <w:vAlign w:val="center"/>
          </w:tcPr>
          <w:p w14:paraId="5E0BFDC3"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231</w:t>
            </w:r>
          </w:p>
        </w:tc>
        <w:tc>
          <w:tcPr>
            <w:tcW w:w="2741" w:type="dxa"/>
            <w:noWrap/>
            <w:vAlign w:val="center"/>
          </w:tcPr>
          <w:p w14:paraId="0D1302E0"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116</w:t>
            </w:r>
          </w:p>
        </w:tc>
      </w:tr>
      <w:tr w:rsidR="004B26F9" w:rsidRPr="00AE7C27" w14:paraId="4D5FD41C"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hideMark/>
          </w:tcPr>
          <w:p w14:paraId="24C553FF"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Hippocampus</w:t>
            </w:r>
          </w:p>
        </w:tc>
        <w:tc>
          <w:tcPr>
            <w:tcW w:w="2741" w:type="dxa"/>
            <w:noWrap/>
            <w:vAlign w:val="center"/>
            <w:hideMark/>
          </w:tcPr>
          <w:p w14:paraId="41342977"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175</w:t>
            </w:r>
          </w:p>
        </w:tc>
        <w:tc>
          <w:tcPr>
            <w:tcW w:w="2741" w:type="dxa"/>
            <w:noWrap/>
            <w:vAlign w:val="center"/>
            <w:hideMark/>
          </w:tcPr>
          <w:p w14:paraId="09278D2E"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105</w:t>
            </w:r>
          </w:p>
        </w:tc>
      </w:tr>
      <w:tr w:rsidR="004B26F9" w:rsidRPr="00AE7C27" w14:paraId="19393647"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70590B10"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Metastasis</w:t>
            </w:r>
          </w:p>
        </w:tc>
        <w:tc>
          <w:tcPr>
            <w:tcW w:w="2741" w:type="dxa"/>
            <w:noWrap/>
            <w:vAlign w:val="center"/>
          </w:tcPr>
          <w:p w14:paraId="230A5D4D"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210</w:t>
            </w:r>
          </w:p>
        </w:tc>
        <w:tc>
          <w:tcPr>
            <w:tcW w:w="2741" w:type="dxa"/>
            <w:noWrap/>
            <w:vAlign w:val="center"/>
          </w:tcPr>
          <w:p w14:paraId="5FAA0972"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125</w:t>
            </w:r>
          </w:p>
        </w:tc>
      </w:tr>
      <w:tr w:rsidR="004B26F9" w:rsidRPr="00AE7C27" w14:paraId="2FA4D5BA"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42E40FCB"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Scalp</w:t>
            </w:r>
          </w:p>
        </w:tc>
        <w:tc>
          <w:tcPr>
            <w:tcW w:w="2741" w:type="dxa"/>
            <w:noWrap/>
            <w:vAlign w:val="center"/>
          </w:tcPr>
          <w:p w14:paraId="423EBBF5"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kern w:val="0"/>
                <w:sz w:val="20"/>
                <w:lang w:val="en-US" w:eastAsia="fr-FR"/>
                <w14:ligatures w14:val="none"/>
              </w:rPr>
            </w:pPr>
            <w:r w:rsidRPr="00AE7C27">
              <w:rPr>
                <w:rFonts w:cs="Calibri"/>
                <w:color w:val="000000"/>
                <w:sz w:val="20"/>
                <w:lang w:val="en-US"/>
              </w:rPr>
              <w:t>166</w:t>
            </w:r>
          </w:p>
        </w:tc>
        <w:tc>
          <w:tcPr>
            <w:tcW w:w="2741" w:type="dxa"/>
            <w:noWrap/>
            <w:vAlign w:val="center"/>
          </w:tcPr>
          <w:p w14:paraId="7BBD7E57"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75</w:t>
            </w:r>
          </w:p>
        </w:tc>
      </w:tr>
      <w:tr w:rsidR="004B26F9" w:rsidRPr="00AE7C27" w14:paraId="31195640"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61A81FCD"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Bone</w:t>
            </w:r>
          </w:p>
        </w:tc>
        <w:tc>
          <w:tcPr>
            <w:tcW w:w="2741" w:type="dxa"/>
            <w:noWrap/>
            <w:vAlign w:val="center"/>
          </w:tcPr>
          <w:p w14:paraId="09D8F682"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kern w:val="0"/>
                <w:sz w:val="20"/>
                <w:lang w:val="en-US" w:eastAsia="fr-FR"/>
                <w14:ligatures w14:val="none"/>
              </w:rPr>
            </w:pPr>
            <w:r w:rsidRPr="00AE7C27">
              <w:rPr>
                <w:rFonts w:cs="Calibri"/>
                <w:color w:val="000000"/>
                <w:sz w:val="20"/>
                <w:lang w:val="en-US"/>
              </w:rPr>
              <w:t>184</w:t>
            </w:r>
          </w:p>
        </w:tc>
        <w:tc>
          <w:tcPr>
            <w:tcW w:w="2741" w:type="dxa"/>
            <w:noWrap/>
            <w:vAlign w:val="center"/>
          </w:tcPr>
          <w:p w14:paraId="63759671"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95</w:t>
            </w:r>
          </w:p>
        </w:tc>
      </w:tr>
      <w:tr w:rsidR="004B26F9" w:rsidRPr="00AE7C27" w14:paraId="5EC9617B"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340EAFFD" w14:textId="77777777" w:rsidR="004B26F9" w:rsidRPr="00AE7C27" w:rsidRDefault="004B26F9" w:rsidP="00B34205">
            <w:pPr>
              <w:spacing w:line="240" w:lineRule="auto"/>
              <w:jc w:val="center"/>
              <w:rPr>
                <w:rFonts w:cs="Calibri"/>
                <w:sz w:val="20"/>
                <w:lang w:val="en-US"/>
              </w:rPr>
            </w:pPr>
            <w:r w:rsidRPr="00AE7C27">
              <w:rPr>
                <w:rFonts w:cs="Calibri"/>
                <w:sz w:val="20"/>
                <w:lang w:val="en-US"/>
              </w:rPr>
              <w:t>Vitreous humor</w:t>
            </w:r>
          </w:p>
        </w:tc>
        <w:tc>
          <w:tcPr>
            <w:tcW w:w="2741" w:type="dxa"/>
            <w:noWrap/>
            <w:vAlign w:val="center"/>
          </w:tcPr>
          <w:p w14:paraId="3282557A"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218</w:t>
            </w:r>
          </w:p>
        </w:tc>
        <w:tc>
          <w:tcPr>
            <w:tcW w:w="2741" w:type="dxa"/>
            <w:noWrap/>
            <w:vAlign w:val="center"/>
          </w:tcPr>
          <w:p w14:paraId="4D15F79F"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121</w:t>
            </w:r>
          </w:p>
        </w:tc>
      </w:tr>
      <w:tr w:rsidR="004B26F9" w:rsidRPr="00AE7C27" w14:paraId="666E7E1C"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6EAD99E7"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Muscle</w:t>
            </w:r>
          </w:p>
        </w:tc>
        <w:tc>
          <w:tcPr>
            <w:tcW w:w="2741" w:type="dxa"/>
            <w:noWrap/>
            <w:vAlign w:val="center"/>
          </w:tcPr>
          <w:p w14:paraId="14F6142E"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218</w:t>
            </w:r>
          </w:p>
        </w:tc>
        <w:tc>
          <w:tcPr>
            <w:tcW w:w="2741" w:type="dxa"/>
            <w:noWrap/>
            <w:vAlign w:val="center"/>
          </w:tcPr>
          <w:p w14:paraId="3F70D37F"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214</w:t>
            </w:r>
          </w:p>
        </w:tc>
      </w:tr>
      <w:tr w:rsidR="004B26F9" w:rsidRPr="00AE7C27" w14:paraId="04D4BC60"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37E8E33F"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Pituitary</w:t>
            </w:r>
          </w:p>
        </w:tc>
        <w:tc>
          <w:tcPr>
            <w:tcW w:w="2741" w:type="dxa"/>
            <w:noWrap/>
            <w:vAlign w:val="center"/>
          </w:tcPr>
          <w:p w14:paraId="7C62B103"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158</w:t>
            </w:r>
          </w:p>
        </w:tc>
        <w:tc>
          <w:tcPr>
            <w:tcW w:w="2741" w:type="dxa"/>
            <w:noWrap/>
            <w:vAlign w:val="center"/>
          </w:tcPr>
          <w:p w14:paraId="712DCB14"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84</w:t>
            </w:r>
          </w:p>
        </w:tc>
      </w:tr>
      <w:tr w:rsidR="004B26F9" w:rsidRPr="00AE7C27" w14:paraId="3F609847" w14:textId="77777777" w:rsidTr="00B3420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704B56F6" w14:textId="77777777" w:rsidR="004B26F9" w:rsidRPr="00AE7C27" w:rsidRDefault="004B26F9" w:rsidP="00B34205">
            <w:pPr>
              <w:spacing w:line="240" w:lineRule="auto"/>
              <w:jc w:val="center"/>
              <w:rPr>
                <w:rFonts w:cs="Calibri"/>
                <w:sz w:val="20"/>
                <w:lang w:val="en-US"/>
              </w:rPr>
            </w:pPr>
            <w:r w:rsidRPr="00AE7C27">
              <w:rPr>
                <w:rFonts w:cs="Calibri"/>
                <w:sz w:val="20"/>
                <w:lang w:val="en-US"/>
              </w:rPr>
              <w:t>Venous sinus</w:t>
            </w:r>
          </w:p>
        </w:tc>
        <w:tc>
          <w:tcPr>
            <w:tcW w:w="2741" w:type="dxa"/>
            <w:noWrap/>
            <w:vAlign w:val="center"/>
          </w:tcPr>
          <w:p w14:paraId="1553FC07"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kern w:val="0"/>
                <w:sz w:val="20"/>
                <w:lang w:val="en-US" w:eastAsia="fr-FR"/>
                <w14:ligatures w14:val="none"/>
              </w:rPr>
            </w:pPr>
            <w:r w:rsidRPr="00AE7C27">
              <w:rPr>
                <w:rFonts w:cs="Calibri"/>
                <w:color w:val="000000"/>
                <w:sz w:val="20"/>
                <w:lang w:val="en-US"/>
              </w:rPr>
              <w:t>116</w:t>
            </w:r>
          </w:p>
        </w:tc>
        <w:tc>
          <w:tcPr>
            <w:tcW w:w="2741" w:type="dxa"/>
            <w:noWrap/>
            <w:vAlign w:val="center"/>
          </w:tcPr>
          <w:p w14:paraId="51F8584E" w14:textId="77777777" w:rsidR="004B26F9" w:rsidRPr="00AE7C27" w:rsidRDefault="004B26F9" w:rsidP="00B3420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55</w:t>
            </w:r>
          </w:p>
        </w:tc>
      </w:tr>
      <w:tr w:rsidR="004B26F9" w:rsidRPr="00AE7C27" w14:paraId="69F6DE5D" w14:textId="77777777" w:rsidTr="00B34205">
        <w:trPr>
          <w:trHeight w:val="404"/>
          <w:jc w:val="center"/>
        </w:trPr>
        <w:tc>
          <w:tcPr>
            <w:cnfStyle w:val="001000000000" w:firstRow="0" w:lastRow="0" w:firstColumn="1" w:lastColumn="0" w:oddVBand="0" w:evenVBand="0" w:oddHBand="0" w:evenHBand="0" w:firstRowFirstColumn="0" w:firstRowLastColumn="0" w:lastRowFirstColumn="0" w:lastRowLastColumn="0"/>
            <w:tcW w:w="2741" w:type="dxa"/>
            <w:noWrap/>
            <w:vAlign w:val="center"/>
          </w:tcPr>
          <w:p w14:paraId="77BEC3DE" w14:textId="77777777" w:rsidR="004B26F9" w:rsidRPr="00AE7C27" w:rsidRDefault="004B26F9" w:rsidP="00B34205">
            <w:pPr>
              <w:spacing w:line="240" w:lineRule="auto"/>
              <w:jc w:val="center"/>
              <w:rPr>
                <w:rFonts w:eastAsia="Times New Roman" w:cs="Calibri"/>
                <w:b w:val="0"/>
                <w:bCs w:val="0"/>
                <w:color w:val="000000"/>
                <w:kern w:val="0"/>
                <w:sz w:val="20"/>
                <w:lang w:val="en-US" w:eastAsia="fr-FR"/>
                <w14:ligatures w14:val="none"/>
              </w:rPr>
            </w:pPr>
            <w:r w:rsidRPr="00AE7C27">
              <w:rPr>
                <w:rFonts w:cs="Calibri"/>
                <w:sz w:val="20"/>
                <w:lang w:val="en-US"/>
              </w:rPr>
              <w:t>Carotid artery</w:t>
            </w:r>
          </w:p>
        </w:tc>
        <w:tc>
          <w:tcPr>
            <w:tcW w:w="2741" w:type="dxa"/>
            <w:noWrap/>
            <w:vAlign w:val="center"/>
          </w:tcPr>
          <w:p w14:paraId="6C6D00F3"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kern w:val="0"/>
                <w:sz w:val="20"/>
                <w:lang w:val="en-US" w:eastAsia="fr-FR"/>
                <w14:ligatures w14:val="none"/>
              </w:rPr>
            </w:pPr>
            <w:r w:rsidRPr="00AE7C27">
              <w:rPr>
                <w:rFonts w:cs="Calibri"/>
                <w:color w:val="000000"/>
                <w:sz w:val="20"/>
                <w:lang w:val="en-US"/>
              </w:rPr>
              <w:t>87</w:t>
            </w:r>
          </w:p>
        </w:tc>
        <w:tc>
          <w:tcPr>
            <w:tcW w:w="2741" w:type="dxa"/>
            <w:noWrap/>
            <w:vAlign w:val="center"/>
          </w:tcPr>
          <w:p w14:paraId="2CCA5A4C" w14:textId="77777777" w:rsidR="004B26F9" w:rsidRPr="00AE7C27" w:rsidRDefault="004B26F9" w:rsidP="00B3420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20"/>
                <w:lang w:val="en-US" w:eastAsia="fr-FR"/>
                <w14:ligatures w14:val="none"/>
              </w:rPr>
            </w:pPr>
            <w:r w:rsidRPr="00AE7C27">
              <w:rPr>
                <w:rFonts w:cs="Calibri"/>
                <w:color w:val="000000"/>
                <w:sz w:val="20"/>
                <w:lang w:val="en-US"/>
              </w:rPr>
              <w:t>52</w:t>
            </w:r>
          </w:p>
        </w:tc>
      </w:tr>
    </w:tbl>
    <w:p w14:paraId="347DDFE1" w14:textId="77777777" w:rsidR="004B26F9" w:rsidRDefault="004B26F9" w:rsidP="004B26F9">
      <w:pPr>
        <w:widowControl w:val="0"/>
        <w:spacing w:line="240" w:lineRule="auto"/>
        <w:jc w:val="both"/>
        <w:rPr>
          <w:rFonts w:cs="Arial"/>
          <w:b/>
          <w:bCs/>
          <w:lang w:val="en-US"/>
        </w:rPr>
      </w:pPr>
    </w:p>
    <w:p w14:paraId="6FBA4112" w14:textId="00C22E7B" w:rsidR="004B26F9" w:rsidRPr="00AE7C27" w:rsidRDefault="004B26F9" w:rsidP="004B26F9">
      <w:pPr>
        <w:widowControl w:val="0"/>
        <w:spacing w:line="480" w:lineRule="auto"/>
        <w:jc w:val="both"/>
        <w:rPr>
          <w:rFonts w:cs="Arial"/>
          <w:lang w:val="en-US"/>
        </w:rPr>
      </w:pPr>
      <w:r w:rsidRPr="00AE7C27">
        <w:rPr>
          <w:rFonts w:cs="Arial"/>
          <w:b/>
          <w:bCs/>
          <w:lang w:val="en-US"/>
        </w:rPr>
        <w:t xml:space="preserve">Table 1: Volume of Regions of Interest. </w:t>
      </w:r>
      <w:r w:rsidRPr="00AE7C27">
        <w:rPr>
          <w:rFonts w:cs="Arial"/>
          <w:lang w:val="en-US"/>
        </w:rPr>
        <w:t>The table presents the mean volumes and standard deviations for each region of interest, expressed in cubic millimeters. These measurements were computed from the data of the 11 patients analyzed in this ancillary study.</w:t>
      </w:r>
    </w:p>
    <w:p w14:paraId="70941D30" w14:textId="77777777" w:rsidR="004B26F9" w:rsidRDefault="004B26F9" w:rsidP="00827F5C">
      <w:pPr>
        <w:suppressLineNumbers/>
        <w:spacing w:line="480" w:lineRule="auto"/>
        <w:rPr>
          <w:b/>
          <w:bCs/>
          <w:sz w:val="32"/>
          <w:szCs w:val="32"/>
          <w:lang w:val="en-US"/>
        </w:rPr>
      </w:pPr>
    </w:p>
    <w:p w14:paraId="659EB9D7" w14:textId="154C6B70" w:rsidR="004B26F9" w:rsidRDefault="004B26F9">
      <w:pPr>
        <w:spacing w:line="278" w:lineRule="auto"/>
        <w:rPr>
          <w:b/>
          <w:bCs/>
          <w:sz w:val="32"/>
          <w:szCs w:val="32"/>
          <w:lang w:val="en-US"/>
        </w:rPr>
      </w:pPr>
      <w:r>
        <w:rPr>
          <w:b/>
          <w:bCs/>
          <w:sz w:val="32"/>
          <w:szCs w:val="32"/>
          <w:lang w:val="en-US"/>
        </w:rPr>
        <w:br w:type="page"/>
      </w:r>
    </w:p>
    <w:p w14:paraId="0B43109D" w14:textId="77777777" w:rsidR="00057629" w:rsidRPr="0024109A" w:rsidRDefault="00057629" w:rsidP="00057629">
      <w:pPr>
        <w:jc w:val="center"/>
        <w:rPr>
          <w:lang w:val="en-US"/>
        </w:rPr>
      </w:pPr>
      <w:r>
        <w:rPr>
          <w:noProof/>
        </w:rPr>
        <w:lastRenderedPageBreak/>
        <w:drawing>
          <wp:inline distT="0" distB="0" distL="0" distR="0" wp14:anchorId="2293B2CE" wp14:editId="173F60A8">
            <wp:extent cx="4465534" cy="1844040"/>
            <wp:effectExtent l="0" t="0" r="0" b="3810"/>
            <wp:docPr id="15539295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72083" cy="1846745"/>
                    </a:xfrm>
                    <a:prstGeom prst="rect">
                      <a:avLst/>
                    </a:prstGeom>
                    <a:noFill/>
                    <a:ln>
                      <a:noFill/>
                    </a:ln>
                  </pic:spPr>
                </pic:pic>
              </a:graphicData>
            </a:graphic>
          </wp:inline>
        </w:drawing>
      </w:r>
    </w:p>
    <w:p w14:paraId="26E10BF0" w14:textId="7348C76A" w:rsidR="00057629" w:rsidRPr="00AE7C27" w:rsidRDefault="00057629" w:rsidP="00057629">
      <w:pPr>
        <w:widowControl w:val="0"/>
        <w:spacing w:line="480" w:lineRule="auto"/>
        <w:jc w:val="both"/>
        <w:rPr>
          <w:lang w:val="en-US"/>
        </w:rPr>
      </w:pPr>
      <w:r w:rsidRPr="00AE7C27">
        <w:rPr>
          <w:b/>
          <w:bCs/>
          <w:lang w:val="en-US"/>
        </w:rPr>
        <w:t xml:space="preserve">Figure </w:t>
      </w:r>
      <w:r>
        <w:rPr>
          <w:b/>
          <w:bCs/>
          <w:lang w:val="en-US"/>
        </w:rPr>
        <w:t>S</w:t>
      </w:r>
      <w:r w:rsidRPr="00AE7C27">
        <w:rPr>
          <w:b/>
          <w:bCs/>
          <w:lang w:val="en-US"/>
        </w:rPr>
        <w:t>1: Design and timeline of the treatment and imaging schedule.</w:t>
      </w:r>
      <w:r w:rsidRPr="00AE7C27">
        <w:rPr>
          <w:lang w:val="en-US"/>
        </w:rPr>
        <w:t xml:space="preserve"> The 10 fractions of radiotherapy (yellow arrows) are administered over 2 weeks (5 per week). AGuIX nanoparticle injections (orange) are given 2 to 7 days before treatment initiation for the first injection, and at the beginning of each week of radiotherapy for the subsequent two injections. Up to four magnetic resonance imaging (MRI) sessions are performed: a baseline </w:t>
      </w:r>
      <w:proofErr w:type="gramStart"/>
      <w:r w:rsidRPr="00AE7C27">
        <w:rPr>
          <w:lang w:val="en-US"/>
        </w:rPr>
        <w:t>scan</w:t>
      </w:r>
      <w:proofErr w:type="gramEnd"/>
      <w:r w:rsidRPr="00AE7C27">
        <w:rPr>
          <w:lang w:val="en-US"/>
        </w:rPr>
        <w:t xml:space="preserve"> up to 2 weeks before treatment start, followed by scans approximately 1 and 4 hours after the first injection, and finally, 1 hour after the third injection.</w:t>
      </w:r>
    </w:p>
    <w:p w14:paraId="4847F306" w14:textId="77777777" w:rsidR="00057629" w:rsidRDefault="00057629">
      <w:pPr>
        <w:spacing w:line="278" w:lineRule="auto"/>
        <w:rPr>
          <w:lang w:val="en-US"/>
        </w:rPr>
      </w:pPr>
      <w:r>
        <w:rPr>
          <w:lang w:val="en-US"/>
        </w:rPr>
        <w:br w:type="page"/>
      </w:r>
    </w:p>
    <w:p w14:paraId="0AB0DE0D" w14:textId="3B6FBA39" w:rsidR="00827F5C" w:rsidRPr="00D0089D" w:rsidRDefault="00827F5C" w:rsidP="00827F5C">
      <w:pPr>
        <w:suppressLineNumbers/>
        <w:spacing w:line="480" w:lineRule="auto"/>
        <w:jc w:val="center"/>
        <w:rPr>
          <w:lang w:val="en-US"/>
        </w:rPr>
      </w:pPr>
      <w:r>
        <w:rPr>
          <w:noProof/>
          <w:lang w:val="en-US"/>
        </w:rPr>
        <w:lastRenderedPageBreak/>
        <w:drawing>
          <wp:inline distT="0" distB="0" distL="0" distR="0" wp14:anchorId="3C60C17B" wp14:editId="66EB71E2">
            <wp:extent cx="5791200" cy="6204474"/>
            <wp:effectExtent l="0" t="0" r="0" b="6350"/>
            <wp:docPr id="1312102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02497" name="Image 1"/>
                    <pic:cNvPicPr>
                      <a:picLocks noChangeAspect="1" noChangeArrowheads="1"/>
                    </pic:cNvPicPr>
                  </pic:nvPicPr>
                  <pic:blipFill>
                    <a:blip r:embed="rId5">
                      <a:extLst>
                        <a:ext uri="{96DAC541-7B7A-43D3-8B79-37D633B846F1}">
                          <asvg:svgBlip xmlns:asvg="http://schemas.microsoft.com/office/drawing/2016/SVG/main" r:embed="rId6"/>
                        </a:ext>
                      </a:extLst>
                    </a:blip>
                    <a:stretch>
                      <a:fillRect/>
                    </a:stretch>
                  </pic:blipFill>
                  <pic:spPr bwMode="auto">
                    <a:xfrm>
                      <a:off x="0" y="0"/>
                      <a:ext cx="5795226" cy="6208787"/>
                    </a:xfrm>
                    <a:prstGeom prst="rect">
                      <a:avLst/>
                    </a:prstGeom>
                  </pic:spPr>
                </pic:pic>
              </a:graphicData>
            </a:graphic>
          </wp:inline>
        </w:drawing>
      </w:r>
    </w:p>
    <w:p w14:paraId="3E4356D7" w14:textId="72AF59FD" w:rsidR="00827F5C" w:rsidRDefault="00827F5C" w:rsidP="00827F5C">
      <w:pPr>
        <w:suppressLineNumbers/>
        <w:tabs>
          <w:tab w:val="left" w:pos="2350"/>
        </w:tabs>
        <w:spacing w:line="480" w:lineRule="auto"/>
        <w:jc w:val="both"/>
        <w:rPr>
          <w:lang w:val="en-US"/>
        </w:rPr>
      </w:pPr>
      <w:r w:rsidRPr="00FB16C7">
        <w:rPr>
          <w:b/>
          <w:bCs/>
          <w:lang w:val="en-US"/>
        </w:rPr>
        <w:t xml:space="preserve">Figure </w:t>
      </w:r>
      <w:r>
        <w:rPr>
          <w:b/>
          <w:bCs/>
          <w:lang w:val="en-US"/>
        </w:rPr>
        <w:t>S</w:t>
      </w:r>
      <w:r w:rsidR="00057629">
        <w:rPr>
          <w:b/>
          <w:bCs/>
          <w:lang w:val="en-US"/>
        </w:rPr>
        <w:t>2</w:t>
      </w:r>
      <w:r w:rsidRPr="00FB16C7">
        <w:rPr>
          <w:b/>
          <w:bCs/>
          <w:lang w:val="en-US"/>
        </w:rPr>
        <w:t xml:space="preserve">: T1-weighted MRI, Gd-enhanced T1-weighted MRI, and derived signal enhancement maps for two patients from the trial. </w:t>
      </w:r>
      <w:r w:rsidRPr="00FB16C7">
        <w:rPr>
          <w:lang w:val="en-US"/>
        </w:rPr>
        <w:t xml:space="preserve">Three different slices are shown for </w:t>
      </w:r>
      <w:r>
        <w:rPr>
          <w:lang w:val="en-US"/>
        </w:rPr>
        <w:t>one</w:t>
      </w:r>
      <w:r w:rsidRPr="00FB16C7">
        <w:rPr>
          <w:lang w:val="en-US"/>
        </w:rPr>
        <w:t xml:space="preserve"> patient (</w:t>
      </w:r>
      <w:r w:rsidRPr="00FB16C7">
        <w:rPr>
          <w:i/>
          <w:iCs/>
          <w:lang w:val="en-US"/>
        </w:rPr>
        <w:t>rows</w:t>
      </w:r>
      <w:r w:rsidRPr="00FB16C7">
        <w:rPr>
          <w:lang w:val="en-US"/>
        </w:rPr>
        <w:t>) across two qualitative image types (A and B) and the corresponding quantitative signal enhancement map (C). Images were aligned using a rigid registration procedure, and selected regions of interest (ROIs) are highlighted with colored contours: vitreous humor (</w:t>
      </w:r>
      <w:r w:rsidRPr="00FB16C7">
        <w:rPr>
          <w:i/>
          <w:iCs/>
          <w:lang w:val="en-US"/>
        </w:rPr>
        <w:t>pink</w:t>
      </w:r>
      <w:r w:rsidRPr="00FB16C7">
        <w:rPr>
          <w:lang w:val="en-US"/>
        </w:rPr>
        <w:t>), brainstem (</w:t>
      </w:r>
      <w:r w:rsidRPr="00FB16C7">
        <w:rPr>
          <w:i/>
          <w:iCs/>
          <w:lang w:val="en-US"/>
        </w:rPr>
        <w:t>yellow</w:t>
      </w:r>
      <w:r w:rsidRPr="00FB16C7">
        <w:rPr>
          <w:lang w:val="en-US"/>
        </w:rPr>
        <w:t>), gray matter (</w:t>
      </w:r>
      <w:r w:rsidRPr="00FB16C7">
        <w:rPr>
          <w:i/>
          <w:iCs/>
          <w:lang w:val="en-US"/>
        </w:rPr>
        <w:t>green</w:t>
      </w:r>
      <w:r w:rsidRPr="00FB16C7">
        <w:rPr>
          <w:lang w:val="en-US"/>
        </w:rPr>
        <w:t>), hippocampus (</w:t>
      </w:r>
      <w:r w:rsidRPr="00FB16C7">
        <w:rPr>
          <w:i/>
          <w:iCs/>
          <w:lang w:val="en-US"/>
        </w:rPr>
        <w:t>cyan</w:t>
      </w:r>
      <w:r w:rsidRPr="00FB16C7">
        <w:rPr>
          <w:lang w:val="en-US"/>
        </w:rPr>
        <w:t>), basal ganglia (</w:t>
      </w:r>
      <w:r w:rsidRPr="00FB16C7">
        <w:rPr>
          <w:i/>
          <w:iCs/>
          <w:lang w:val="en-US"/>
        </w:rPr>
        <w:t>orange</w:t>
      </w:r>
      <w:r w:rsidRPr="00FB16C7">
        <w:rPr>
          <w:lang w:val="en-US"/>
        </w:rPr>
        <w:t>), and ventricle (</w:t>
      </w:r>
      <w:r w:rsidRPr="00FB16C7">
        <w:rPr>
          <w:i/>
          <w:iCs/>
          <w:lang w:val="en-US"/>
        </w:rPr>
        <w:t>light</w:t>
      </w:r>
      <w:r w:rsidRPr="00FB16C7">
        <w:rPr>
          <w:lang w:val="en-US"/>
        </w:rPr>
        <w:t xml:space="preserve"> </w:t>
      </w:r>
      <w:r w:rsidRPr="00FB16C7">
        <w:rPr>
          <w:i/>
          <w:iCs/>
          <w:lang w:val="en-US"/>
        </w:rPr>
        <w:t>pink</w:t>
      </w:r>
      <w:r w:rsidRPr="00FB16C7">
        <w:rPr>
          <w:lang w:val="en-US"/>
        </w:rPr>
        <w:t xml:space="preserve">). </w:t>
      </w:r>
      <w:r>
        <w:rPr>
          <w:lang w:val="en-US"/>
        </w:rPr>
        <w:br w:type="page"/>
      </w:r>
    </w:p>
    <w:p w14:paraId="38673FD6" w14:textId="77777777" w:rsidR="00827F5C" w:rsidRDefault="00827F5C" w:rsidP="00827F5C">
      <w:pPr>
        <w:suppressLineNumbers/>
        <w:tabs>
          <w:tab w:val="left" w:pos="2350"/>
        </w:tabs>
        <w:spacing w:line="480" w:lineRule="auto"/>
        <w:jc w:val="center"/>
        <w:rPr>
          <w:lang w:val="en-US"/>
        </w:rPr>
      </w:pPr>
      <w:r>
        <w:rPr>
          <w:b/>
          <w:bCs/>
          <w:noProof/>
          <w:lang w:val="en-US"/>
        </w:rPr>
        <w:lastRenderedPageBreak/>
        <w:drawing>
          <wp:inline distT="0" distB="0" distL="0" distR="0" wp14:anchorId="717CE203" wp14:editId="5EF7710B">
            <wp:extent cx="5781675" cy="6246370"/>
            <wp:effectExtent l="0" t="0" r="0" b="2540"/>
            <wp:docPr id="13115985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98595" name="Image 2"/>
                    <pic:cNvPicPr>
                      <a:picLocks noChangeAspect="1" noChangeArrowheads="1"/>
                    </pic:cNvPicPr>
                  </pic:nvPicPr>
                  <pic:blipFill>
                    <a:blip r:embed="rId7">
                      <a:extLst>
                        <a:ext uri="{96DAC541-7B7A-43D3-8B79-37D633B846F1}">
                          <asvg:svgBlip xmlns:asvg="http://schemas.microsoft.com/office/drawing/2016/SVG/main" r:embed="rId8"/>
                        </a:ext>
                      </a:extLst>
                    </a:blip>
                    <a:stretch>
                      <a:fillRect/>
                    </a:stretch>
                  </pic:blipFill>
                  <pic:spPr bwMode="auto">
                    <a:xfrm>
                      <a:off x="0" y="0"/>
                      <a:ext cx="5786211" cy="6251270"/>
                    </a:xfrm>
                    <a:prstGeom prst="rect">
                      <a:avLst/>
                    </a:prstGeom>
                  </pic:spPr>
                </pic:pic>
              </a:graphicData>
            </a:graphic>
          </wp:inline>
        </w:drawing>
      </w:r>
    </w:p>
    <w:p w14:paraId="27630D64" w14:textId="6ED41990" w:rsidR="00827F5C" w:rsidRPr="00827F5C" w:rsidRDefault="00827F5C" w:rsidP="00827F5C">
      <w:pPr>
        <w:suppressLineNumbers/>
        <w:tabs>
          <w:tab w:val="left" w:pos="2350"/>
        </w:tabs>
        <w:spacing w:line="480" w:lineRule="auto"/>
        <w:jc w:val="both"/>
        <w:rPr>
          <w:lang w:val="en-US"/>
        </w:rPr>
      </w:pPr>
      <w:r w:rsidRPr="00FB16C7">
        <w:rPr>
          <w:b/>
          <w:bCs/>
          <w:lang w:val="en-US"/>
        </w:rPr>
        <w:t xml:space="preserve">Figure </w:t>
      </w:r>
      <w:r>
        <w:rPr>
          <w:b/>
          <w:bCs/>
          <w:lang w:val="en-US"/>
        </w:rPr>
        <w:t>S</w:t>
      </w:r>
      <w:r w:rsidR="00057629">
        <w:rPr>
          <w:b/>
          <w:bCs/>
          <w:lang w:val="en-US"/>
        </w:rPr>
        <w:t>3</w:t>
      </w:r>
      <w:r w:rsidRPr="00FB16C7">
        <w:rPr>
          <w:b/>
          <w:bCs/>
          <w:lang w:val="en-US"/>
        </w:rPr>
        <w:t xml:space="preserve">: T1-weighted MRI, Gd-enhanced T1-weighted MRI, and derived signal enhancement maps for two patients from the trial. </w:t>
      </w:r>
      <w:r w:rsidRPr="00FB16C7">
        <w:rPr>
          <w:lang w:val="en-US"/>
        </w:rPr>
        <w:t xml:space="preserve">Three different slices are shown for </w:t>
      </w:r>
      <w:r>
        <w:rPr>
          <w:lang w:val="en-US"/>
        </w:rPr>
        <w:t>one</w:t>
      </w:r>
      <w:r w:rsidRPr="00FB16C7">
        <w:rPr>
          <w:lang w:val="en-US"/>
        </w:rPr>
        <w:t xml:space="preserve"> patient (</w:t>
      </w:r>
      <w:r w:rsidRPr="00FB16C7">
        <w:rPr>
          <w:i/>
          <w:iCs/>
          <w:lang w:val="en-US"/>
        </w:rPr>
        <w:t>rows</w:t>
      </w:r>
      <w:r w:rsidRPr="00FB16C7">
        <w:rPr>
          <w:lang w:val="en-US"/>
        </w:rPr>
        <w:t xml:space="preserve">) across two qualitative image types (A and B) and the corresponding quantitative signal enhancement map (C). Images were aligned using a rigid registration procedure, and selected regions of interest (ROIs) are highlighted with colored contours: </w:t>
      </w:r>
      <w:r>
        <w:rPr>
          <w:lang w:val="en-US"/>
        </w:rPr>
        <w:t>carotid</w:t>
      </w:r>
      <w:r w:rsidRPr="00FB16C7">
        <w:rPr>
          <w:lang w:val="en-US"/>
        </w:rPr>
        <w:t xml:space="preserve"> (</w:t>
      </w:r>
      <w:r>
        <w:rPr>
          <w:i/>
          <w:iCs/>
          <w:lang w:val="en-US"/>
        </w:rPr>
        <w:t>orange</w:t>
      </w:r>
      <w:r w:rsidRPr="00FB16C7">
        <w:rPr>
          <w:lang w:val="en-US"/>
        </w:rPr>
        <w:t xml:space="preserve">), </w:t>
      </w:r>
      <w:r>
        <w:rPr>
          <w:lang w:val="en-US"/>
        </w:rPr>
        <w:t>muscle</w:t>
      </w:r>
      <w:r w:rsidRPr="00FB16C7">
        <w:rPr>
          <w:lang w:val="en-US"/>
        </w:rPr>
        <w:t xml:space="preserve"> (</w:t>
      </w:r>
      <w:r>
        <w:rPr>
          <w:i/>
          <w:iCs/>
          <w:lang w:val="en-US"/>
        </w:rPr>
        <w:t>blue</w:t>
      </w:r>
      <w:r w:rsidRPr="00FB16C7">
        <w:rPr>
          <w:lang w:val="en-US"/>
        </w:rPr>
        <w:t>), vitreous humor (</w:t>
      </w:r>
      <w:r>
        <w:rPr>
          <w:i/>
          <w:iCs/>
          <w:lang w:val="en-US"/>
        </w:rPr>
        <w:t>pink</w:t>
      </w:r>
      <w:r w:rsidRPr="00FB16C7">
        <w:rPr>
          <w:lang w:val="en-US"/>
        </w:rPr>
        <w:t xml:space="preserve">), </w:t>
      </w:r>
      <w:r>
        <w:rPr>
          <w:lang w:val="en-US"/>
        </w:rPr>
        <w:t>grey matter</w:t>
      </w:r>
      <w:r w:rsidRPr="00FB16C7">
        <w:rPr>
          <w:lang w:val="en-US"/>
        </w:rPr>
        <w:t xml:space="preserve"> (</w:t>
      </w:r>
      <w:r w:rsidRPr="00FA18BD">
        <w:rPr>
          <w:i/>
          <w:iCs/>
          <w:lang w:val="en-US"/>
        </w:rPr>
        <w:t>green</w:t>
      </w:r>
      <w:r w:rsidRPr="00FB16C7">
        <w:rPr>
          <w:lang w:val="en-US"/>
        </w:rPr>
        <w:t xml:space="preserve">), </w:t>
      </w:r>
      <w:r>
        <w:rPr>
          <w:lang w:val="en-US"/>
        </w:rPr>
        <w:t>hippocampus</w:t>
      </w:r>
      <w:r w:rsidRPr="00FB16C7">
        <w:rPr>
          <w:lang w:val="en-US"/>
        </w:rPr>
        <w:t xml:space="preserve"> (</w:t>
      </w:r>
      <w:r w:rsidRPr="00FB16C7">
        <w:rPr>
          <w:i/>
          <w:iCs/>
          <w:lang w:val="en-US"/>
        </w:rPr>
        <w:t>cyan</w:t>
      </w:r>
      <w:r w:rsidRPr="00FB16C7">
        <w:rPr>
          <w:lang w:val="en-US"/>
        </w:rPr>
        <w:t xml:space="preserve">), </w:t>
      </w:r>
      <w:r>
        <w:rPr>
          <w:lang w:val="en-US"/>
        </w:rPr>
        <w:t>brain metastasis</w:t>
      </w:r>
      <w:r w:rsidRPr="00FB16C7">
        <w:rPr>
          <w:lang w:val="en-US"/>
        </w:rPr>
        <w:t xml:space="preserve"> (</w:t>
      </w:r>
      <w:r w:rsidRPr="00FB16C7">
        <w:rPr>
          <w:i/>
          <w:iCs/>
          <w:lang w:val="en-US"/>
        </w:rPr>
        <w:t>light</w:t>
      </w:r>
      <w:r w:rsidRPr="00FB16C7">
        <w:rPr>
          <w:lang w:val="en-US"/>
        </w:rPr>
        <w:t xml:space="preserve"> </w:t>
      </w:r>
      <w:r w:rsidRPr="00FB16C7">
        <w:rPr>
          <w:i/>
          <w:iCs/>
          <w:lang w:val="en-US"/>
        </w:rPr>
        <w:t>pink</w:t>
      </w:r>
      <w:r w:rsidRPr="00FB16C7">
        <w:rPr>
          <w:lang w:val="en-US"/>
        </w:rPr>
        <w:t>)</w:t>
      </w:r>
      <w:r>
        <w:rPr>
          <w:lang w:val="en-US"/>
        </w:rPr>
        <w:t>, and basal ganglia (</w:t>
      </w:r>
      <w:r>
        <w:rPr>
          <w:i/>
          <w:iCs/>
          <w:lang w:val="en-US"/>
        </w:rPr>
        <w:t>orange</w:t>
      </w:r>
      <w:r>
        <w:rPr>
          <w:lang w:val="en-US"/>
        </w:rPr>
        <w:t>)</w:t>
      </w:r>
      <w:r w:rsidRPr="00FB16C7">
        <w:rPr>
          <w:lang w:val="en-US"/>
        </w:rPr>
        <w:t xml:space="preserve">. </w:t>
      </w:r>
    </w:p>
    <w:sectPr w:rsidR="00827F5C" w:rsidRPr="00827F5C" w:rsidSect="00827F5C">
      <w:pgSz w:w="11906" w:h="16838" w:code="9"/>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5C"/>
    <w:rsid w:val="00057629"/>
    <w:rsid w:val="004B26F9"/>
    <w:rsid w:val="00510EA1"/>
    <w:rsid w:val="005700DB"/>
    <w:rsid w:val="00827F5C"/>
    <w:rsid w:val="00C857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15028"/>
  <w15:chartTrackingRefBased/>
  <w15:docId w15:val="{B1AA38BD-CD32-45E6-9DD9-5FEAFFE0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5C"/>
    <w:pPr>
      <w:spacing w:line="259" w:lineRule="auto"/>
    </w:pPr>
    <w:rPr>
      <w:sz w:val="22"/>
      <w:szCs w:val="22"/>
    </w:rPr>
  </w:style>
  <w:style w:type="paragraph" w:styleId="Titre1">
    <w:name w:val="heading 1"/>
    <w:basedOn w:val="Normal"/>
    <w:next w:val="Normal"/>
    <w:link w:val="Titre1Car"/>
    <w:uiPriority w:val="9"/>
    <w:qFormat/>
    <w:rsid w:val="00827F5C"/>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27F5C"/>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27F5C"/>
    <w:pPr>
      <w:keepNext/>
      <w:keepLines/>
      <w:spacing w:before="160" w:after="80" w:line="278" w:lineRule="auto"/>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27F5C"/>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Titre5">
    <w:name w:val="heading 5"/>
    <w:basedOn w:val="Normal"/>
    <w:next w:val="Normal"/>
    <w:link w:val="Titre5Car"/>
    <w:uiPriority w:val="9"/>
    <w:semiHidden/>
    <w:unhideWhenUsed/>
    <w:qFormat/>
    <w:rsid w:val="00827F5C"/>
    <w:pPr>
      <w:keepNext/>
      <w:keepLines/>
      <w:spacing w:before="80" w:after="40" w:line="278" w:lineRule="auto"/>
      <w:outlineLvl w:val="4"/>
    </w:pPr>
    <w:rPr>
      <w:rFonts w:eastAsiaTheme="majorEastAsia" w:cstheme="majorBidi"/>
      <w:color w:val="0F4761" w:themeColor="accent1" w:themeShade="BF"/>
      <w:sz w:val="24"/>
      <w:szCs w:val="24"/>
    </w:rPr>
  </w:style>
  <w:style w:type="paragraph" w:styleId="Titre6">
    <w:name w:val="heading 6"/>
    <w:basedOn w:val="Normal"/>
    <w:next w:val="Normal"/>
    <w:link w:val="Titre6Car"/>
    <w:uiPriority w:val="9"/>
    <w:semiHidden/>
    <w:unhideWhenUsed/>
    <w:qFormat/>
    <w:rsid w:val="00827F5C"/>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Titre7">
    <w:name w:val="heading 7"/>
    <w:basedOn w:val="Normal"/>
    <w:next w:val="Normal"/>
    <w:link w:val="Titre7Car"/>
    <w:uiPriority w:val="9"/>
    <w:semiHidden/>
    <w:unhideWhenUsed/>
    <w:qFormat/>
    <w:rsid w:val="00827F5C"/>
    <w:pPr>
      <w:keepNext/>
      <w:keepLines/>
      <w:spacing w:before="40" w:after="0" w:line="278" w:lineRule="auto"/>
      <w:outlineLvl w:val="6"/>
    </w:pPr>
    <w:rPr>
      <w:rFonts w:eastAsiaTheme="majorEastAsia"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827F5C"/>
    <w:pPr>
      <w:keepNext/>
      <w:keepLines/>
      <w:spacing w:after="0" w:line="278" w:lineRule="auto"/>
      <w:outlineLvl w:val="7"/>
    </w:pPr>
    <w:rPr>
      <w:rFonts w:eastAsiaTheme="majorEastAsia" w:cstheme="majorBidi"/>
      <w:i/>
      <w:iCs/>
      <w:color w:val="272727" w:themeColor="text1" w:themeTint="D8"/>
      <w:sz w:val="24"/>
      <w:szCs w:val="24"/>
    </w:rPr>
  </w:style>
  <w:style w:type="paragraph" w:styleId="Titre9">
    <w:name w:val="heading 9"/>
    <w:basedOn w:val="Normal"/>
    <w:next w:val="Normal"/>
    <w:link w:val="Titre9Car"/>
    <w:uiPriority w:val="9"/>
    <w:semiHidden/>
    <w:unhideWhenUsed/>
    <w:qFormat/>
    <w:rsid w:val="00827F5C"/>
    <w:pPr>
      <w:keepNext/>
      <w:keepLines/>
      <w:spacing w:after="0" w:line="278" w:lineRule="auto"/>
      <w:outlineLvl w:val="8"/>
    </w:pPr>
    <w:rPr>
      <w:rFonts w:eastAsiaTheme="majorEastAsia" w:cstheme="majorBidi"/>
      <w:color w:val="272727" w:themeColor="text1" w:themeTint="D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7F5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27F5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27F5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27F5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27F5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27F5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27F5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27F5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27F5C"/>
    <w:rPr>
      <w:rFonts w:eastAsiaTheme="majorEastAsia" w:cstheme="majorBidi"/>
      <w:color w:val="272727" w:themeColor="text1" w:themeTint="D8"/>
    </w:rPr>
  </w:style>
  <w:style w:type="paragraph" w:styleId="Titre">
    <w:name w:val="Title"/>
    <w:basedOn w:val="Normal"/>
    <w:next w:val="Normal"/>
    <w:link w:val="TitreCar"/>
    <w:uiPriority w:val="10"/>
    <w:qFormat/>
    <w:rsid w:val="00827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27F5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27F5C"/>
    <w:pPr>
      <w:numPr>
        <w:ilvl w:val="1"/>
      </w:numPr>
      <w:spacing w:line="278" w:lineRule="auto"/>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27F5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27F5C"/>
    <w:pPr>
      <w:spacing w:before="160" w:line="278" w:lineRule="auto"/>
      <w:jc w:val="center"/>
    </w:pPr>
    <w:rPr>
      <w:i/>
      <w:iCs/>
      <w:color w:val="404040" w:themeColor="text1" w:themeTint="BF"/>
      <w:sz w:val="24"/>
      <w:szCs w:val="24"/>
    </w:rPr>
  </w:style>
  <w:style w:type="character" w:customStyle="1" w:styleId="CitationCar">
    <w:name w:val="Citation Car"/>
    <w:basedOn w:val="Policepardfaut"/>
    <w:link w:val="Citation"/>
    <w:uiPriority w:val="29"/>
    <w:rsid w:val="00827F5C"/>
    <w:rPr>
      <w:i/>
      <w:iCs/>
      <w:color w:val="404040" w:themeColor="text1" w:themeTint="BF"/>
    </w:rPr>
  </w:style>
  <w:style w:type="paragraph" w:styleId="Paragraphedeliste">
    <w:name w:val="List Paragraph"/>
    <w:basedOn w:val="Normal"/>
    <w:uiPriority w:val="34"/>
    <w:qFormat/>
    <w:rsid w:val="00827F5C"/>
    <w:pPr>
      <w:spacing w:line="278" w:lineRule="auto"/>
      <w:ind w:left="720"/>
      <w:contextualSpacing/>
    </w:pPr>
    <w:rPr>
      <w:sz w:val="24"/>
      <w:szCs w:val="24"/>
    </w:rPr>
  </w:style>
  <w:style w:type="character" w:styleId="Accentuationintense">
    <w:name w:val="Intense Emphasis"/>
    <w:basedOn w:val="Policepardfaut"/>
    <w:uiPriority w:val="21"/>
    <w:qFormat/>
    <w:rsid w:val="00827F5C"/>
    <w:rPr>
      <w:i/>
      <w:iCs/>
      <w:color w:val="0F4761" w:themeColor="accent1" w:themeShade="BF"/>
    </w:rPr>
  </w:style>
  <w:style w:type="paragraph" w:styleId="Citationintense">
    <w:name w:val="Intense Quote"/>
    <w:basedOn w:val="Normal"/>
    <w:next w:val="Normal"/>
    <w:link w:val="CitationintenseCar"/>
    <w:uiPriority w:val="30"/>
    <w:qFormat/>
    <w:rsid w:val="00827F5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CitationintenseCar">
    <w:name w:val="Citation intense Car"/>
    <w:basedOn w:val="Policepardfaut"/>
    <w:link w:val="Citationintense"/>
    <w:uiPriority w:val="30"/>
    <w:rsid w:val="00827F5C"/>
    <w:rPr>
      <w:i/>
      <w:iCs/>
      <w:color w:val="0F4761" w:themeColor="accent1" w:themeShade="BF"/>
    </w:rPr>
  </w:style>
  <w:style w:type="character" w:styleId="Rfrenceintense">
    <w:name w:val="Intense Reference"/>
    <w:basedOn w:val="Policepardfaut"/>
    <w:uiPriority w:val="32"/>
    <w:qFormat/>
    <w:rsid w:val="00827F5C"/>
    <w:rPr>
      <w:b/>
      <w:bCs/>
      <w:smallCaps/>
      <w:color w:val="0F4761" w:themeColor="accent1" w:themeShade="BF"/>
      <w:spacing w:val="5"/>
    </w:rPr>
  </w:style>
  <w:style w:type="table" w:styleId="Tableausimple1">
    <w:name w:val="Plain Table 1"/>
    <w:basedOn w:val="TableauNormal"/>
    <w:uiPriority w:val="41"/>
    <w:rsid w:val="00827F5C"/>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502</Words>
  <Characters>2675</Characters>
  <Application>Microsoft Office Word</Application>
  <DocSecurity>0</DocSecurity>
  <Lines>148</Lines>
  <Paragraphs>113</Paragraphs>
  <ScaleCrop>false</ScaleCrop>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Boux</dc:creator>
  <cp:keywords/>
  <dc:description/>
  <cp:lastModifiedBy>Fabien Boux</cp:lastModifiedBy>
  <cp:revision>4</cp:revision>
  <dcterms:created xsi:type="dcterms:W3CDTF">2025-05-09T06:52:00Z</dcterms:created>
  <dcterms:modified xsi:type="dcterms:W3CDTF">2025-11-23T13:05:00Z</dcterms:modified>
</cp:coreProperties>
</file>