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BCB0A" w14:textId="77777777" w:rsidR="00F4255C" w:rsidRPr="000201EF" w:rsidRDefault="00F4255C" w:rsidP="00F4255C">
      <w:pPr>
        <w:spacing w:line="480" w:lineRule="auto"/>
        <w:jc w:val="both"/>
        <w:rPr>
          <w:rFonts w:ascii="Times New Roman" w:eastAsia="DengXian" w:hAnsi="Times New Roman" w:cs="Times New Roman"/>
          <w:b/>
          <w:bCs/>
          <w:sz w:val="24"/>
        </w:rPr>
      </w:pPr>
      <w:r w:rsidRPr="000201EF">
        <w:rPr>
          <w:rFonts w:ascii="Times New Roman" w:eastAsia="DengXian" w:hAnsi="Times New Roman" w:cs="Times New Roman"/>
          <w:b/>
          <w:bCs/>
          <w:sz w:val="24"/>
        </w:rPr>
        <w:t>Supplementary figures</w:t>
      </w:r>
    </w:p>
    <w:p w14:paraId="0D190BD0" w14:textId="77777777" w:rsidR="00F4255C" w:rsidRDefault="00F4255C" w:rsidP="00F4255C">
      <w:pPr>
        <w:spacing w:line="480" w:lineRule="auto"/>
        <w:jc w:val="both"/>
        <w:rPr>
          <w:rFonts w:ascii="Times New Roman" w:eastAsia="DengXian" w:hAnsi="Times New Roman" w:cs="Times New Roman"/>
          <w:b/>
          <w:bCs/>
          <w:sz w:val="24"/>
        </w:rPr>
      </w:pPr>
      <w:bookmarkStart w:id="0" w:name="_Hlk213854909"/>
    </w:p>
    <w:p w14:paraId="14E6E17D" w14:textId="77777777" w:rsidR="00F4255C" w:rsidRPr="000201EF" w:rsidRDefault="00F4255C" w:rsidP="00F4255C">
      <w:pPr>
        <w:spacing w:line="480" w:lineRule="auto"/>
        <w:jc w:val="both"/>
        <w:rPr>
          <w:rFonts w:ascii="Times New Roman" w:eastAsia="DengXian" w:hAnsi="Times New Roman" w:cs="Times New Roman"/>
          <w:sz w:val="24"/>
        </w:rPr>
      </w:pPr>
      <w:r w:rsidRPr="000201EF">
        <w:rPr>
          <w:rFonts w:ascii="Times New Roman" w:eastAsia="DengXian" w:hAnsi="Times New Roman" w:cs="Times New Roman"/>
          <w:b/>
          <w:bCs/>
          <w:sz w:val="24"/>
        </w:rPr>
        <w:t>Fig. S1A.</w:t>
      </w:r>
      <w:r w:rsidRPr="000201EF">
        <w:rPr>
          <w:rFonts w:ascii="Times New Roman" w:eastAsia="DengXian" w:hAnsi="Times New Roman" w:cs="Times New Roman"/>
          <w:sz w:val="24"/>
        </w:rPr>
        <w:t xml:space="preserve"> Differential abundance of bacterial families and ARG subtypes in </w:t>
      </w:r>
      <w:r w:rsidRPr="000201EF">
        <w:rPr>
          <w:rFonts w:ascii="Times New Roman" w:eastAsia="DengXian" w:hAnsi="Times New Roman" w:cs="Times New Roman"/>
          <w:i/>
          <w:iCs/>
          <w:sz w:val="24"/>
        </w:rPr>
        <w:t>Salmonella</w:t>
      </w:r>
      <w:r w:rsidRPr="000201EF">
        <w:rPr>
          <w:rFonts w:ascii="Times New Roman" w:eastAsia="DengXian" w:hAnsi="Times New Roman" w:cs="Times New Roman"/>
          <w:sz w:val="24"/>
        </w:rPr>
        <w:t xml:space="preserve"> inoculated leaf samples.</w:t>
      </w:r>
    </w:p>
    <w:p w14:paraId="7865315A" w14:textId="77777777" w:rsidR="00F4255C" w:rsidRPr="000201EF" w:rsidRDefault="00F4255C" w:rsidP="00F4255C">
      <w:pPr>
        <w:spacing w:line="480" w:lineRule="auto"/>
        <w:jc w:val="both"/>
        <w:rPr>
          <w:rFonts w:ascii="Times New Roman" w:eastAsia="DengXian" w:hAnsi="Times New Roman" w:cs="Times New Roman"/>
          <w:sz w:val="24"/>
        </w:rPr>
      </w:pPr>
      <w:r w:rsidRPr="000201EF">
        <w:rPr>
          <w:rFonts w:ascii="Times New Roman" w:eastAsia="DengXian" w:hAnsi="Times New Roman" w:cs="Times New Roman"/>
          <w:sz w:val="24"/>
        </w:rPr>
        <w:t xml:space="preserve">Analysis was performed using MaAsLin2 with linear mixed-effects models including the </w:t>
      </w:r>
      <w:r w:rsidRPr="000201EF">
        <w:rPr>
          <w:rFonts w:ascii="Times New Roman" w:eastAsia="DengXian" w:hAnsi="Times New Roman" w:cs="Times New Roman"/>
          <w:i/>
          <w:iCs/>
          <w:sz w:val="24"/>
        </w:rPr>
        <w:t>Salmonella</w:t>
      </w:r>
      <w:r w:rsidRPr="000201EF">
        <w:rPr>
          <w:rFonts w:ascii="Times New Roman" w:eastAsia="DengXian" w:hAnsi="Times New Roman" w:cs="Times New Roman"/>
          <w:sz w:val="24"/>
        </w:rPr>
        <w:t xml:space="preserve"> inoculation. Bars represent coefficient values indicating the direction and magnitude of association, with bar color intensity representing statistical significance (-log₁₀(q-value)). Positive coefficients indicate enrichment, while negative coefficients indicate depletion. </w:t>
      </w:r>
      <w:r w:rsidRPr="000201EF">
        <w:rPr>
          <w:rFonts w:ascii="Times New Roman" w:eastAsia="DengXian" w:hAnsi="Times New Roman" w:cs="Times New Roman"/>
          <w:i/>
          <w:iCs/>
          <w:sz w:val="24"/>
        </w:rPr>
        <w:t xml:space="preserve">Salmonella </w:t>
      </w:r>
      <w:r w:rsidRPr="000201EF">
        <w:rPr>
          <w:rFonts w:ascii="Times New Roman" w:eastAsia="DengXian" w:hAnsi="Times New Roman" w:cs="Times New Roman"/>
          <w:sz w:val="24"/>
        </w:rPr>
        <w:t xml:space="preserve">inoculation showed the strongest positive associations with Sphingomonadaceae and the </w:t>
      </w:r>
      <w:r w:rsidRPr="000201EF">
        <w:rPr>
          <w:rFonts w:ascii="Times New Roman" w:eastAsia="DengXian" w:hAnsi="Times New Roman" w:cs="Times New Roman"/>
          <w:i/>
          <w:iCs/>
          <w:sz w:val="24"/>
        </w:rPr>
        <w:t>acrB</w:t>
      </w:r>
      <w:r w:rsidRPr="000201EF">
        <w:rPr>
          <w:rFonts w:ascii="Times New Roman" w:eastAsia="DengXian" w:hAnsi="Times New Roman" w:cs="Times New Roman"/>
          <w:sz w:val="24"/>
        </w:rPr>
        <w:t xml:space="preserve"> gene. No significant associations with TET were detected in leaves. No significant responses to </w:t>
      </w:r>
      <w:r w:rsidRPr="000201EF">
        <w:rPr>
          <w:rFonts w:ascii="Times New Roman" w:eastAsia="DengXian" w:hAnsi="Times New Roman" w:cs="Times New Roman"/>
          <w:i/>
          <w:iCs/>
          <w:sz w:val="24"/>
        </w:rPr>
        <w:t>Salmonella</w:t>
      </w:r>
      <w:r w:rsidRPr="000201EF">
        <w:rPr>
          <w:rFonts w:ascii="Times New Roman" w:eastAsia="DengXian" w:hAnsi="Times New Roman" w:cs="Times New Roman"/>
          <w:sz w:val="24"/>
        </w:rPr>
        <w:t xml:space="preserve"> were detected in root or soil samples at this threshold (coef &gt; 0.5, q &lt; 0.05).</w:t>
      </w:r>
    </w:p>
    <w:p w14:paraId="5D234BB2" w14:textId="77777777" w:rsidR="00F4255C" w:rsidRPr="000201EF" w:rsidRDefault="00F4255C" w:rsidP="00F4255C">
      <w:pPr>
        <w:spacing w:line="480" w:lineRule="auto"/>
        <w:jc w:val="both"/>
        <w:rPr>
          <w:rFonts w:ascii="Times New Roman" w:eastAsia="DengXian" w:hAnsi="Times New Roman" w:cs="Times New Roman"/>
          <w:sz w:val="24"/>
        </w:rPr>
      </w:pPr>
    </w:p>
    <w:p w14:paraId="2E1BCB33" w14:textId="77777777" w:rsidR="00F4255C" w:rsidRPr="000201EF" w:rsidRDefault="00F4255C" w:rsidP="00F4255C">
      <w:pPr>
        <w:spacing w:line="480" w:lineRule="auto"/>
        <w:jc w:val="both"/>
        <w:rPr>
          <w:rFonts w:ascii="Times New Roman" w:hAnsi="Times New Roman" w:cs="Times New Roman"/>
          <w:sz w:val="24"/>
        </w:rPr>
      </w:pPr>
      <w:r w:rsidRPr="000201EF">
        <w:rPr>
          <w:rFonts w:ascii="Times New Roman" w:eastAsia="DengXian" w:hAnsi="Times New Roman" w:cs="Times New Roman"/>
          <w:b/>
          <w:bCs/>
          <w:kern w:val="0"/>
          <w:sz w:val="24"/>
          <w14:ligatures w14:val="none"/>
        </w:rPr>
        <w:t>Fig. S1B.</w:t>
      </w:r>
      <w:r w:rsidRPr="000201EF">
        <w:rPr>
          <w:rFonts w:ascii="Times New Roman" w:eastAsia="DengXian" w:hAnsi="Times New Roman" w:cs="Times New Roman"/>
          <w:kern w:val="0"/>
          <w:sz w:val="24"/>
          <w14:ligatures w14:val="none"/>
        </w:rPr>
        <w:t xml:space="preserve"> </w:t>
      </w:r>
      <w:r w:rsidRPr="000201EF">
        <w:rPr>
          <w:rFonts w:ascii="Times New Roman" w:hAnsi="Times New Roman" w:cs="Times New Roman"/>
          <w:i/>
          <w:iCs/>
          <w:sz w:val="24"/>
        </w:rPr>
        <w:t>Salmonella</w:t>
      </w:r>
      <w:r w:rsidRPr="000201EF">
        <w:rPr>
          <w:rFonts w:ascii="Times New Roman" w:hAnsi="Times New Roman" w:cs="Times New Roman"/>
          <w:sz w:val="24"/>
        </w:rPr>
        <w:t xml:space="preserve"> abundance across different lettuce parts over time</w:t>
      </w:r>
    </w:p>
    <w:p w14:paraId="7B4F2DB4" w14:textId="77777777" w:rsidR="00F4255C" w:rsidRPr="000201EF" w:rsidRDefault="00F4255C" w:rsidP="00F4255C">
      <w:pPr>
        <w:spacing w:line="480" w:lineRule="auto"/>
        <w:jc w:val="both"/>
        <w:rPr>
          <w:rFonts w:ascii="Times New Roman" w:hAnsi="Times New Roman" w:cs="Times New Roman"/>
          <w:sz w:val="24"/>
        </w:rPr>
      </w:pPr>
      <w:r w:rsidRPr="000201EF">
        <w:rPr>
          <w:rFonts w:ascii="Times New Roman" w:hAnsi="Times New Roman" w:cs="Times New Roman"/>
          <w:i/>
          <w:iCs/>
          <w:sz w:val="24"/>
        </w:rPr>
        <w:t>Salmonella</w:t>
      </w:r>
      <w:r w:rsidRPr="000201EF">
        <w:rPr>
          <w:rFonts w:ascii="Times New Roman" w:hAnsi="Times New Roman" w:cs="Times New Roman"/>
          <w:sz w:val="24"/>
        </w:rPr>
        <w:t xml:space="preserve"> abundance was normalized in log scale across different parts of lettuce over time. Boxplots show diversity in leaves, roots, and soils at weeks 1, 3, and 5 with or without </w:t>
      </w:r>
      <w:r w:rsidRPr="000201EF">
        <w:rPr>
          <w:rFonts w:ascii="Times New Roman" w:hAnsi="Times New Roman" w:cs="Times New Roman"/>
          <w:i/>
          <w:iCs/>
          <w:sz w:val="24"/>
        </w:rPr>
        <w:t>Salmonella</w:t>
      </w:r>
      <w:r w:rsidRPr="000201EF">
        <w:rPr>
          <w:rFonts w:ascii="Times New Roman" w:hAnsi="Times New Roman" w:cs="Times New Roman"/>
          <w:sz w:val="24"/>
        </w:rPr>
        <w:t xml:space="preserve"> inoculation.</w:t>
      </w:r>
    </w:p>
    <w:bookmarkEnd w:id="0"/>
    <w:p w14:paraId="27994BDA" w14:textId="77777777" w:rsidR="00F4255C" w:rsidRDefault="00F4255C" w:rsidP="00F4255C">
      <w:pPr>
        <w:spacing w:line="480" w:lineRule="auto"/>
        <w:jc w:val="both"/>
        <w:rPr>
          <w:rFonts w:ascii="Times New Roman" w:hAnsi="Times New Roman" w:cs="Times New Roman"/>
          <w:sz w:val="24"/>
        </w:rPr>
      </w:pPr>
      <w:r w:rsidRPr="000201EF">
        <w:rPr>
          <w:rFonts w:ascii="Times New Roman" w:hAnsi="Times New Roman" w:cs="Times New Roman"/>
          <w:b/>
          <w:bCs/>
          <w:sz w:val="24"/>
        </w:rPr>
        <w:t>Fig. S2.</w:t>
      </w:r>
      <w:r w:rsidRPr="000201EF">
        <w:rPr>
          <w:rFonts w:ascii="Times New Roman" w:hAnsi="Times New Roman" w:cs="Times New Roman"/>
          <w:sz w:val="24"/>
        </w:rPr>
        <w:t xml:space="preserve"> Antibiotic selection drives early resistome assembly but is superseded by community interactions as populations mature. </w:t>
      </w:r>
    </w:p>
    <w:p w14:paraId="3EFFAE9B" w14:textId="77777777" w:rsidR="00F4255C" w:rsidRPr="000201EF" w:rsidRDefault="00F4255C" w:rsidP="00F4255C">
      <w:pPr>
        <w:spacing w:line="480" w:lineRule="auto"/>
        <w:jc w:val="both"/>
        <w:rPr>
          <w:rFonts w:ascii="Times New Roman" w:hAnsi="Times New Roman" w:cs="Times New Roman"/>
          <w:sz w:val="24"/>
        </w:rPr>
      </w:pPr>
      <w:r w:rsidRPr="000201EF">
        <w:rPr>
          <w:rFonts w:ascii="Times New Roman" w:hAnsi="Times New Roman" w:cs="Times New Roman"/>
          <w:sz w:val="24"/>
        </w:rPr>
        <w:t xml:space="preserve">Conceptual models depicting stage-dependent forces shaping microbial community assembly under constant antibiotic pressure. Top panel (A) illustrates progressive microbial colonization </w:t>
      </w:r>
      <w:r w:rsidRPr="000201EF">
        <w:rPr>
          <w:rFonts w:ascii="Times New Roman" w:hAnsi="Times New Roman" w:cs="Times New Roman"/>
          <w:sz w:val="24"/>
        </w:rPr>
        <w:lastRenderedPageBreak/>
        <w:t>from initial sparse populations to an established community. Left middle panel shows increasing microbial abundance over time. Bottom left panel depicts constant antibiotic pressure maintained throughout the experimental period. Bottom right panel shows the temporal shift in dominant selective forces: antibiotic selection (red line) exerted maximal influence during early colonization when cell density was low, while community interactions (blue line) progressively strengthen to overtake antibiotic pressure in mature, high-density communities. The intersection point (dashed lines) marks the transition at which biotic interactions become dominant. The model explains the observed attenuation of TET-responsive ARG signals despite sustained high-level antibiotic exposure.</w:t>
      </w:r>
    </w:p>
    <w:p w14:paraId="71DA43ED" w14:textId="77777777" w:rsidR="00F4255C" w:rsidRPr="000201EF" w:rsidRDefault="00F4255C" w:rsidP="00F4255C">
      <w:pPr>
        <w:spacing w:line="480" w:lineRule="auto"/>
        <w:jc w:val="both"/>
        <w:rPr>
          <w:rFonts w:ascii="Times New Roman" w:eastAsia="DengXian" w:hAnsi="Times New Roman" w:cs="Times New Roman"/>
          <w:b/>
          <w:bCs/>
          <w:sz w:val="24"/>
        </w:rPr>
      </w:pPr>
    </w:p>
    <w:p w14:paraId="5D6CD036" w14:textId="77777777" w:rsidR="00F4255C" w:rsidRPr="000201EF" w:rsidRDefault="00F4255C" w:rsidP="00F4255C">
      <w:pPr>
        <w:spacing w:line="480" w:lineRule="auto"/>
        <w:jc w:val="both"/>
        <w:rPr>
          <w:rFonts w:ascii="Times New Roman" w:eastAsia="DengXian" w:hAnsi="Times New Roman" w:cs="Times New Roman"/>
          <w:b/>
          <w:bCs/>
          <w:sz w:val="24"/>
        </w:rPr>
      </w:pPr>
    </w:p>
    <w:p w14:paraId="327C7DDC" w14:textId="77777777" w:rsidR="00F4255C" w:rsidRPr="000201EF" w:rsidRDefault="00F4255C" w:rsidP="00F4255C">
      <w:pPr>
        <w:spacing w:line="480" w:lineRule="auto"/>
        <w:jc w:val="both"/>
        <w:rPr>
          <w:rFonts w:ascii="Times New Roman" w:eastAsia="DengXian" w:hAnsi="Times New Roman" w:cs="Times New Roman"/>
          <w:b/>
          <w:bCs/>
          <w:sz w:val="24"/>
        </w:rPr>
      </w:pPr>
      <w:r w:rsidRPr="000201EF">
        <w:rPr>
          <w:rFonts w:ascii="Times New Roman" w:eastAsia="DengXian" w:hAnsi="Times New Roman" w:cs="Times New Roman"/>
          <w:b/>
          <w:bCs/>
          <w:sz w:val="24"/>
        </w:rPr>
        <w:t>Supplementary tables</w:t>
      </w:r>
    </w:p>
    <w:p w14:paraId="6CF53D62" w14:textId="77777777" w:rsidR="00F4255C" w:rsidRPr="000201EF" w:rsidRDefault="00F4255C" w:rsidP="00F4255C">
      <w:pPr>
        <w:spacing w:line="480" w:lineRule="auto"/>
        <w:jc w:val="both"/>
        <w:rPr>
          <w:rFonts w:ascii="Times New Roman" w:eastAsia="DengXian" w:hAnsi="Times New Roman" w:cs="Times New Roman"/>
          <w:b/>
          <w:bCs/>
          <w:sz w:val="24"/>
        </w:rPr>
      </w:pPr>
    </w:p>
    <w:p w14:paraId="1740B7FD" w14:textId="77777777" w:rsidR="00F4255C" w:rsidRPr="000201EF" w:rsidRDefault="00F4255C" w:rsidP="00F4255C">
      <w:pPr>
        <w:spacing w:line="480" w:lineRule="auto"/>
        <w:jc w:val="both"/>
        <w:rPr>
          <w:rFonts w:ascii="Times New Roman" w:eastAsia="DengXian" w:hAnsi="Times New Roman" w:cs="Times New Roman"/>
          <w:sz w:val="24"/>
        </w:rPr>
      </w:pPr>
      <w:r w:rsidRPr="000201EF">
        <w:rPr>
          <w:rFonts w:ascii="Times New Roman" w:eastAsia="DengXian" w:hAnsi="Times New Roman" w:cs="Times New Roman"/>
          <w:b/>
          <w:bCs/>
          <w:sz w:val="24"/>
        </w:rPr>
        <w:t>Table S1.</w:t>
      </w:r>
      <w:r w:rsidRPr="000201EF">
        <w:rPr>
          <w:rFonts w:ascii="Times New Roman" w:eastAsia="DengXian" w:hAnsi="Times New Roman" w:cs="Times New Roman"/>
          <w:sz w:val="24"/>
        </w:rPr>
        <w:t xml:space="preserve"> Abundance of microbiome data across all samples.</w:t>
      </w:r>
    </w:p>
    <w:p w14:paraId="28DF213B" w14:textId="77777777" w:rsidR="00F4255C" w:rsidRPr="000201EF" w:rsidRDefault="00F4255C" w:rsidP="00F4255C">
      <w:pPr>
        <w:spacing w:line="480" w:lineRule="auto"/>
        <w:jc w:val="both"/>
        <w:rPr>
          <w:rFonts w:ascii="Times New Roman" w:eastAsia="DengXian" w:hAnsi="Times New Roman" w:cs="Times New Roman"/>
          <w:sz w:val="24"/>
        </w:rPr>
      </w:pPr>
    </w:p>
    <w:p w14:paraId="130A9061" w14:textId="77777777" w:rsidR="00F4255C" w:rsidRPr="000201EF" w:rsidRDefault="00F4255C" w:rsidP="00F4255C">
      <w:pPr>
        <w:spacing w:line="480" w:lineRule="auto"/>
        <w:jc w:val="both"/>
        <w:rPr>
          <w:rFonts w:ascii="Times New Roman" w:eastAsia="DengXian" w:hAnsi="Times New Roman" w:cs="Times New Roman"/>
          <w:sz w:val="24"/>
        </w:rPr>
      </w:pPr>
      <w:r w:rsidRPr="000201EF">
        <w:rPr>
          <w:rFonts w:ascii="Times New Roman" w:eastAsia="DengXian" w:hAnsi="Times New Roman" w:cs="Times New Roman"/>
          <w:b/>
          <w:bCs/>
          <w:sz w:val="24"/>
        </w:rPr>
        <w:t>Table S2.</w:t>
      </w:r>
      <w:r w:rsidRPr="000201EF">
        <w:rPr>
          <w:rFonts w:ascii="Times New Roman" w:eastAsia="DengXian" w:hAnsi="Times New Roman" w:cs="Times New Roman"/>
          <w:sz w:val="24"/>
        </w:rPr>
        <w:t xml:space="preserve"> Differential abundance of bacterial families and ARG subtypes.</w:t>
      </w:r>
    </w:p>
    <w:p w14:paraId="175198B5" w14:textId="77777777" w:rsidR="00F4255C" w:rsidRPr="000201EF" w:rsidRDefault="00F4255C" w:rsidP="00F4255C">
      <w:pPr>
        <w:spacing w:line="480" w:lineRule="auto"/>
        <w:jc w:val="both"/>
        <w:rPr>
          <w:rFonts w:ascii="Times New Roman" w:eastAsia="DengXian" w:hAnsi="Times New Roman" w:cs="Times New Roman"/>
          <w:sz w:val="24"/>
        </w:rPr>
      </w:pPr>
    </w:p>
    <w:p w14:paraId="305C0576" w14:textId="77777777" w:rsidR="00F4255C" w:rsidRPr="000201EF" w:rsidRDefault="00F4255C" w:rsidP="00F4255C">
      <w:pPr>
        <w:spacing w:line="480" w:lineRule="auto"/>
        <w:jc w:val="both"/>
        <w:rPr>
          <w:rFonts w:ascii="Times New Roman" w:eastAsia="DengXian" w:hAnsi="Times New Roman" w:cs="Times New Roman"/>
          <w:sz w:val="24"/>
        </w:rPr>
      </w:pPr>
      <w:r w:rsidRPr="000201EF">
        <w:rPr>
          <w:rFonts w:ascii="Times New Roman" w:eastAsia="DengXian" w:hAnsi="Times New Roman" w:cs="Times New Roman"/>
          <w:b/>
          <w:bCs/>
          <w:sz w:val="24"/>
        </w:rPr>
        <w:t>Table S3.</w:t>
      </w:r>
      <w:r w:rsidRPr="000201EF">
        <w:rPr>
          <w:rFonts w:ascii="Times New Roman" w:eastAsia="DengXian" w:hAnsi="Times New Roman" w:cs="Times New Roman"/>
          <w:sz w:val="24"/>
        </w:rPr>
        <w:t xml:space="preserve"> Abundance of resistome data across all samples.</w:t>
      </w:r>
    </w:p>
    <w:p w14:paraId="554A5210" w14:textId="77777777" w:rsidR="00F4255C" w:rsidRPr="000201EF" w:rsidRDefault="00F4255C" w:rsidP="00F4255C">
      <w:pPr>
        <w:spacing w:line="480" w:lineRule="auto"/>
        <w:jc w:val="both"/>
        <w:rPr>
          <w:rFonts w:ascii="Times New Roman" w:eastAsia="DengXian" w:hAnsi="Times New Roman" w:cs="Times New Roman"/>
          <w:sz w:val="24"/>
        </w:rPr>
      </w:pPr>
    </w:p>
    <w:p w14:paraId="1F3B139F" w14:textId="77777777" w:rsidR="00F4255C" w:rsidRPr="008F2DB5" w:rsidRDefault="00F4255C" w:rsidP="00F4255C">
      <w:pPr>
        <w:spacing w:line="480" w:lineRule="auto"/>
        <w:jc w:val="both"/>
        <w:rPr>
          <w:rFonts w:ascii="Times New Roman" w:eastAsia="DengXian" w:hAnsi="Times New Roman" w:cs="Times New Roman"/>
          <w:sz w:val="24"/>
        </w:rPr>
      </w:pPr>
      <w:r w:rsidRPr="000201EF">
        <w:rPr>
          <w:rFonts w:ascii="Times New Roman" w:eastAsia="DengXian" w:hAnsi="Times New Roman" w:cs="Times New Roman"/>
          <w:b/>
          <w:bCs/>
          <w:sz w:val="24"/>
        </w:rPr>
        <w:t>Table S4.</w:t>
      </w:r>
      <w:r w:rsidRPr="000201EF">
        <w:rPr>
          <w:rFonts w:ascii="Times New Roman" w:eastAsia="DengXian" w:hAnsi="Times New Roman" w:cs="Times New Roman"/>
          <w:sz w:val="24"/>
        </w:rPr>
        <w:t xml:space="preserve"> </w:t>
      </w:r>
      <w:bookmarkStart w:id="1" w:name="_Hlk212621353"/>
      <w:r w:rsidRPr="000201EF">
        <w:rPr>
          <w:rFonts w:ascii="Times New Roman" w:eastAsia="DengXian" w:hAnsi="Times New Roman" w:cs="Times New Roman"/>
          <w:sz w:val="24"/>
        </w:rPr>
        <w:t>ARG-</w:t>
      </w:r>
      <w:r w:rsidRPr="000201EF">
        <w:rPr>
          <w:rFonts w:ascii="Times New Roman" w:eastAsia="DengXian" w:hAnsi="Times New Roman" w:cs="Times New Roman" w:hint="eastAsia"/>
          <w:sz w:val="24"/>
        </w:rPr>
        <w:t>h</w:t>
      </w:r>
      <w:r w:rsidRPr="000201EF">
        <w:rPr>
          <w:rFonts w:ascii="Times New Roman" w:eastAsia="DengXian" w:hAnsi="Times New Roman" w:cs="Times New Roman"/>
          <w:sz w:val="24"/>
        </w:rPr>
        <w:t>ost profile data</w:t>
      </w:r>
      <w:bookmarkEnd w:id="1"/>
      <w:r w:rsidRPr="000201EF">
        <w:rPr>
          <w:rFonts w:ascii="Times New Roman" w:eastAsia="DengXian" w:hAnsi="Times New Roman" w:cs="Times New Roman"/>
          <w:sz w:val="24"/>
        </w:rPr>
        <w:t>.</w:t>
      </w:r>
    </w:p>
    <w:p w14:paraId="666DA4ED"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55C"/>
    <w:rsid w:val="002978F5"/>
    <w:rsid w:val="003852CF"/>
    <w:rsid w:val="004E780C"/>
    <w:rsid w:val="00E372F2"/>
    <w:rsid w:val="00F4255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67088"/>
  <w15:chartTrackingRefBased/>
  <w15:docId w15:val="{863413B2-1521-4253-B6EA-C88191C1E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255C"/>
    <w:pPr>
      <w:widowControl w:val="0"/>
    </w:pPr>
    <w:rPr>
      <w:rFonts w:eastAsiaTheme="minorEastAsia"/>
      <w:sz w:val="22"/>
      <w:lang w:eastAsia="zh-CN"/>
    </w:rPr>
  </w:style>
  <w:style w:type="paragraph" w:styleId="Heading1">
    <w:name w:val="heading 1"/>
    <w:basedOn w:val="Normal"/>
    <w:next w:val="Normal"/>
    <w:link w:val="Heading1Char"/>
    <w:uiPriority w:val="9"/>
    <w:qFormat/>
    <w:rsid w:val="00F4255C"/>
    <w:pPr>
      <w:keepNext/>
      <w:keepLines/>
      <w:widowControl/>
      <w:spacing w:before="360" w:after="80"/>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F4255C"/>
    <w:pPr>
      <w:keepNext/>
      <w:keepLines/>
      <w:widowControl/>
      <w:spacing w:before="160" w:after="80"/>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F4255C"/>
    <w:pPr>
      <w:keepNext/>
      <w:keepLines/>
      <w:widowControl/>
      <w:spacing w:before="160" w:after="80"/>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F4255C"/>
    <w:pPr>
      <w:keepNext/>
      <w:keepLines/>
      <w:widowControl/>
      <w:spacing w:before="80" w:after="40"/>
      <w:outlineLvl w:val="3"/>
    </w:pPr>
    <w:rPr>
      <w:rFonts w:eastAsiaTheme="majorEastAsia" w:cstheme="majorBidi"/>
      <w:i/>
      <w:iCs/>
      <w:color w:val="0F4761" w:themeColor="accent1" w:themeShade="BF"/>
      <w:sz w:val="24"/>
      <w:lang w:eastAsia="en-US"/>
    </w:rPr>
  </w:style>
  <w:style w:type="paragraph" w:styleId="Heading5">
    <w:name w:val="heading 5"/>
    <w:basedOn w:val="Normal"/>
    <w:next w:val="Normal"/>
    <w:link w:val="Heading5Char"/>
    <w:uiPriority w:val="9"/>
    <w:semiHidden/>
    <w:unhideWhenUsed/>
    <w:qFormat/>
    <w:rsid w:val="00F4255C"/>
    <w:pPr>
      <w:keepNext/>
      <w:keepLines/>
      <w:widowControl/>
      <w:spacing w:before="80" w:after="40"/>
      <w:outlineLvl w:val="4"/>
    </w:pPr>
    <w:rPr>
      <w:rFonts w:eastAsiaTheme="majorEastAsia" w:cstheme="majorBidi"/>
      <w:color w:val="0F4761" w:themeColor="accent1" w:themeShade="BF"/>
      <w:sz w:val="24"/>
      <w:lang w:eastAsia="en-US"/>
    </w:rPr>
  </w:style>
  <w:style w:type="paragraph" w:styleId="Heading6">
    <w:name w:val="heading 6"/>
    <w:basedOn w:val="Normal"/>
    <w:next w:val="Normal"/>
    <w:link w:val="Heading6Char"/>
    <w:uiPriority w:val="9"/>
    <w:semiHidden/>
    <w:unhideWhenUsed/>
    <w:qFormat/>
    <w:rsid w:val="00F4255C"/>
    <w:pPr>
      <w:keepNext/>
      <w:keepLines/>
      <w:widowControl/>
      <w:spacing w:before="40" w:after="0"/>
      <w:outlineLvl w:val="5"/>
    </w:pPr>
    <w:rPr>
      <w:rFonts w:eastAsiaTheme="majorEastAsia" w:cstheme="majorBidi"/>
      <w:i/>
      <w:iCs/>
      <w:color w:val="595959" w:themeColor="text1" w:themeTint="A6"/>
      <w:sz w:val="24"/>
      <w:lang w:eastAsia="en-US"/>
    </w:rPr>
  </w:style>
  <w:style w:type="paragraph" w:styleId="Heading7">
    <w:name w:val="heading 7"/>
    <w:basedOn w:val="Normal"/>
    <w:next w:val="Normal"/>
    <w:link w:val="Heading7Char"/>
    <w:uiPriority w:val="9"/>
    <w:semiHidden/>
    <w:unhideWhenUsed/>
    <w:qFormat/>
    <w:rsid w:val="00F4255C"/>
    <w:pPr>
      <w:keepNext/>
      <w:keepLines/>
      <w:widowControl/>
      <w:spacing w:before="40" w:after="0"/>
      <w:outlineLvl w:val="6"/>
    </w:pPr>
    <w:rPr>
      <w:rFonts w:eastAsiaTheme="majorEastAsia" w:cstheme="majorBidi"/>
      <w:color w:val="595959" w:themeColor="text1" w:themeTint="A6"/>
      <w:sz w:val="24"/>
      <w:lang w:eastAsia="en-US"/>
    </w:rPr>
  </w:style>
  <w:style w:type="paragraph" w:styleId="Heading8">
    <w:name w:val="heading 8"/>
    <w:basedOn w:val="Normal"/>
    <w:next w:val="Normal"/>
    <w:link w:val="Heading8Char"/>
    <w:uiPriority w:val="9"/>
    <w:semiHidden/>
    <w:unhideWhenUsed/>
    <w:qFormat/>
    <w:rsid w:val="00F4255C"/>
    <w:pPr>
      <w:keepNext/>
      <w:keepLines/>
      <w:widowControl/>
      <w:spacing w:after="0"/>
      <w:outlineLvl w:val="7"/>
    </w:pPr>
    <w:rPr>
      <w:rFonts w:eastAsiaTheme="majorEastAsia" w:cstheme="majorBidi"/>
      <w:i/>
      <w:iCs/>
      <w:color w:val="272727" w:themeColor="text1" w:themeTint="D8"/>
      <w:sz w:val="24"/>
      <w:lang w:eastAsia="en-US"/>
    </w:rPr>
  </w:style>
  <w:style w:type="paragraph" w:styleId="Heading9">
    <w:name w:val="heading 9"/>
    <w:basedOn w:val="Normal"/>
    <w:next w:val="Normal"/>
    <w:link w:val="Heading9Char"/>
    <w:uiPriority w:val="9"/>
    <w:semiHidden/>
    <w:unhideWhenUsed/>
    <w:qFormat/>
    <w:rsid w:val="00F4255C"/>
    <w:pPr>
      <w:keepNext/>
      <w:keepLines/>
      <w:widowControl/>
      <w:spacing w:after="0"/>
      <w:outlineLvl w:val="8"/>
    </w:pPr>
    <w:rPr>
      <w:rFonts w:eastAsiaTheme="majorEastAsia" w:cstheme="majorBidi"/>
      <w:color w:val="272727" w:themeColor="text1" w:themeTint="D8"/>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25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25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25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25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25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25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25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25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255C"/>
    <w:rPr>
      <w:rFonts w:eastAsiaTheme="majorEastAsia" w:cstheme="majorBidi"/>
      <w:color w:val="272727" w:themeColor="text1" w:themeTint="D8"/>
    </w:rPr>
  </w:style>
  <w:style w:type="paragraph" w:styleId="Title">
    <w:name w:val="Title"/>
    <w:basedOn w:val="Normal"/>
    <w:next w:val="Normal"/>
    <w:link w:val="TitleChar"/>
    <w:uiPriority w:val="10"/>
    <w:qFormat/>
    <w:rsid w:val="00F4255C"/>
    <w:pPr>
      <w:widowControl/>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F425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255C"/>
    <w:pPr>
      <w:widowControl/>
      <w:numPr>
        <w:ilvl w:val="1"/>
      </w:numPr>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F425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255C"/>
    <w:pPr>
      <w:widowControl/>
      <w:spacing w:before="160"/>
      <w:jc w:val="center"/>
    </w:pPr>
    <w:rPr>
      <w:rFonts w:eastAsiaTheme="minorHAnsi"/>
      <w:i/>
      <w:iCs/>
      <w:color w:val="404040" w:themeColor="text1" w:themeTint="BF"/>
      <w:sz w:val="24"/>
      <w:lang w:eastAsia="en-US"/>
    </w:rPr>
  </w:style>
  <w:style w:type="character" w:customStyle="1" w:styleId="QuoteChar">
    <w:name w:val="Quote Char"/>
    <w:basedOn w:val="DefaultParagraphFont"/>
    <w:link w:val="Quote"/>
    <w:uiPriority w:val="29"/>
    <w:rsid w:val="00F4255C"/>
    <w:rPr>
      <w:i/>
      <w:iCs/>
      <w:color w:val="404040" w:themeColor="text1" w:themeTint="BF"/>
    </w:rPr>
  </w:style>
  <w:style w:type="paragraph" w:styleId="ListParagraph">
    <w:name w:val="List Paragraph"/>
    <w:basedOn w:val="Normal"/>
    <w:uiPriority w:val="34"/>
    <w:qFormat/>
    <w:rsid w:val="00F4255C"/>
    <w:pPr>
      <w:widowControl/>
      <w:ind w:left="720"/>
      <w:contextualSpacing/>
    </w:pPr>
    <w:rPr>
      <w:rFonts w:eastAsiaTheme="minorHAnsi"/>
      <w:sz w:val="24"/>
      <w:lang w:eastAsia="en-US"/>
    </w:rPr>
  </w:style>
  <w:style w:type="character" w:styleId="IntenseEmphasis">
    <w:name w:val="Intense Emphasis"/>
    <w:basedOn w:val="DefaultParagraphFont"/>
    <w:uiPriority w:val="21"/>
    <w:qFormat/>
    <w:rsid w:val="00F4255C"/>
    <w:rPr>
      <w:i/>
      <w:iCs/>
      <w:color w:val="0F4761" w:themeColor="accent1" w:themeShade="BF"/>
    </w:rPr>
  </w:style>
  <w:style w:type="paragraph" w:styleId="IntenseQuote">
    <w:name w:val="Intense Quote"/>
    <w:basedOn w:val="Normal"/>
    <w:next w:val="Normal"/>
    <w:link w:val="IntenseQuoteChar"/>
    <w:uiPriority w:val="30"/>
    <w:qFormat/>
    <w:rsid w:val="00F4255C"/>
    <w:pPr>
      <w:widowControl/>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sz w:val="24"/>
      <w:lang w:eastAsia="en-US"/>
    </w:rPr>
  </w:style>
  <w:style w:type="character" w:customStyle="1" w:styleId="IntenseQuoteChar">
    <w:name w:val="Intense Quote Char"/>
    <w:basedOn w:val="DefaultParagraphFont"/>
    <w:link w:val="IntenseQuote"/>
    <w:uiPriority w:val="30"/>
    <w:rsid w:val="00F4255C"/>
    <w:rPr>
      <w:i/>
      <w:iCs/>
      <w:color w:val="0F4761" w:themeColor="accent1" w:themeShade="BF"/>
    </w:rPr>
  </w:style>
  <w:style w:type="character" w:styleId="IntenseReference">
    <w:name w:val="Intense Reference"/>
    <w:basedOn w:val="DefaultParagraphFont"/>
    <w:uiPriority w:val="32"/>
    <w:qFormat/>
    <w:rsid w:val="00F4255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339</Words>
  <Characters>2079</Characters>
  <Application>Microsoft Office Word</Application>
  <DocSecurity>0</DocSecurity>
  <Lines>35</Lines>
  <Paragraphs>7</Paragraphs>
  <ScaleCrop>false</ScaleCrop>
  <Company/>
  <LinksUpToDate>false</LinksUpToDate>
  <CharactersWithSpaces>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2025-12-24T12:32:00Z</dcterms:created>
  <dcterms:modified xsi:type="dcterms:W3CDTF">2025-12-24T12:33:00Z</dcterms:modified>
</cp:coreProperties>
</file>