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BC640B" w14:textId="77777777" w:rsidR="00094FBB" w:rsidRPr="00B43ECA" w:rsidRDefault="00094FBB" w:rsidP="00094FBB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B43ECA">
        <w:rPr>
          <w:rFonts w:ascii="Arial" w:hAnsi="Arial" w:cs="Arial"/>
          <w:b/>
          <w:bCs/>
          <w:sz w:val="22"/>
          <w:szCs w:val="22"/>
        </w:rPr>
        <w:t xml:space="preserve">Supplementary Fig. 1 Schematic diagrams of the genetic </w:t>
      </w:r>
      <w:r>
        <w:rPr>
          <w:rFonts w:ascii="Arial" w:hAnsi="Arial" w:cs="Arial"/>
          <w:b/>
          <w:bCs/>
          <w:sz w:val="22"/>
          <w:szCs w:val="22"/>
        </w:rPr>
        <w:t>approaches used in</w:t>
      </w:r>
      <w:r w:rsidRPr="00B43ECA">
        <w:rPr>
          <w:rFonts w:ascii="Arial" w:hAnsi="Arial" w:cs="Arial"/>
          <w:b/>
          <w:bCs/>
          <w:sz w:val="22"/>
          <w:szCs w:val="22"/>
        </w:rPr>
        <w:t xml:space="preserve"> different mouse models. </w:t>
      </w:r>
      <w:r w:rsidRPr="00B43ECA">
        <w:rPr>
          <w:rFonts w:ascii="Arial" w:hAnsi="Arial" w:cs="Arial"/>
          <w:sz w:val="22"/>
          <w:szCs w:val="22"/>
        </w:rPr>
        <w:t xml:space="preserve">(a) </w:t>
      </w:r>
      <w:r w:rsidRPr="00B43ECA">
        <w:rPr>
          <w:rFonts w:ascii="Arial" w:hAnsi="Arial" w:cs="Arial"/>
          <w:i/>
          <w:iCs/>
          <w:sz w:val="22"/>
          <w:szCs w:val="22"/>
        </w:rPr>
        <w:t>Ad-K8-Cre</w:t>
      </w:r>
      <w:r w:rsidRPr="00B43ECA">
        <w:rPr>
          <w:rFonts w:ascii="Arial" w:hAnsi="Arial" w:cs="Arial"/>
          <w:sz w:val="22"/>
          <w:szCs w:val="22"/>
        </w:rPr>
        <w:t xml:space="preserve"> intraductal injection model; (b) </w:t>
      </w:r>
      <w:r w:rsidRPr="00B43ECA">
        <w:rPr>
          <w:rFonts w:ascii="Arial" w:hAnsi="Arial" w:cs="Arial"/>
          <w:i/>
          <w:iCs/>
          <w:sz w:val="22"/>
          <w:szCs w:val="22"/>
        </w:rPr>
        <w:t>K8-CreER</w:t>
      </w:r>
      <w:r w:rsidRPr="00B43ECA">
        <w:rPr>
          <w:rFonts w:ascii="Arial" w:hAnsi="Arial" w:cs="Arial"/>
          <w:sz w:val="22"/>
          <w:szCs w:val="22"/>
        </w:rPr>
        <w:t>/TAM model.</w:t>
      </w:r>
    </w:p>
    <w:p w14:paraId="5956D87B" w14:textId="77777777" w:rsidR="00094FBB" w:rsidRPr="00B43ECA" w:rsidRDefault="00094FBB" w:rsidP="00094FBB">
      <w:pPr>
        <w:spacing w:line="480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73BBC265" w14:textId="77777777" w:rsidR="00094FBB" w:rsidRPr="00B43ECA" w:rsidRDefault="00094FBB" w:rsidP="00094FBB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B43ECA">
        <w:rPr>
          <w:rFonts w:ascii="Arial" w:hAnsi="Arial" w:cs="Arial"/>
          <w:b/>
          <w:bCs/>
          <w:sz w:val="22"/>
          <w:szCs w:val="22"/>
        </w:rPr>
        <w:t xml:space="preserve">Supplementary Fig. 2 Initial induction rates and clonal expansion trajectories </w:t>
      </w:r>
      <w:r>
        <w:rPr>
          <w:rFonts w:ascii="Arial" w:hAnsi="Arial" w:cs="Arial"/>
          <w:b/>
          <w:bCs/>
          <w:sz w:val="22"/>
          <w:szCs w:val="22"/>
        </w:rPr>
        <w:t>based on</w:t>
      </w:r>
      <w:r w:rsidRPr="00B43ECA">
        <w:rPr>
          <w:rFonts w:ascii="Arial" w:hAnsi="Arial" w:cs="Arial"/>
          <w:b/>
          <w:bCs/>
          <w:sz w:val="22"/>
          <w:szCs w:val="22"/>
        </w:rPr>
        <w:t xml:space="preserve"> different induction schemes.</w:t>
      </w:r>
      <w:r w:rsidRPr="00B43ECA">
        <w:rPr>
          <w:rFonts w:ascii="Arial" w:hAnsi="Arial" w:cs="Arial"/>
          <w:sz w:val="22"/>
          <w:szCs w:val="22"/>
        </w:rPr>
        <w:t xml:space="preserve"> </w:t>
      </w:r>
      <w:bookmarkStart w:id="0" w:name="OLE_LINK31"/>
      <w:bookmarkStart w:id="1" w:name="OLE_LINK33"/>
      <w:r w:rsidRPr="00B43ECA">
        <w:rPr>
          <w:rFonts w:ascii="Arial" w:hAnsi="Arial" w:cs="Arial"/>
          <w:sz w:val="22"/>
          <w:szCs w:val="22"/>
        </w:rPr>
        <w:t>Representative</w:t>
      </w:r>
      <w:bookmarkEnd w:id="0"/>
      <w:r w:rsidRPr="00B43ECA">
        <w:rPr>
          <w:rFonts w:ascii="Arial" w:hAnsi="Arial" w:cs="Arial"/>
          <w:sz w:val="22"/>
          <w:szCs w:val="22"/>
        </w:rPr>
        <w:t xml:space="preserve"> FACS plots </w:t>
      </w:r>
      <w:bookmarkEnd w:id="1"/>
      <w:r w:rsidRPr="00B43ECA">
        <w:rPr>
          <w:rFonts w:ascii="Arial" w:hAnsi="Arial" w:cs="Arial"/>
          <w:sz w:val="22"/>
          <w:szCs w:val="22"/>
        </w:rPr>
        <w:t>(a) and statistical analysis (b) of the proportion of YFP</w:t>
      </w:r>
      <w:r w:rsidRPr="00B43ECA">
        <w:rPr>
          <w:rFonts w:ascii="Arial" w:hAnsi="Arial" w:cs="Arial"/>
          <w:sz w:val="22"/>
          <w:szCs w:val="22"/>
          <w:vertAlign w:val="superscript"/>
        </w:rPr>
        <w:t>+</w:t>
      </w:r>
      <w:r w:rsidRPr="00B43ECA">
        <w:rPr>
          <w:rFonts w:ascii="Arial" w:hAnsi="Arial" w:cs="Arial"/>
          <w:sz w:val="22"/>
          <w:szCs w:val="22"/>
        </w:rPr>
        <w:t xml:space="preserve"> mutant MECs within the lineage negative (Lin</w:t>
      </w:r>
      <w:r w:rsidRPr="00B43ECA">
        <w:rPr>
          <w:rFonts w:ascii="Arial" w:hAnsi="Arial" w:cs="Arial"/>
          <w:sz w:val="22"/>
          <w:szCs w:val="22"/>
          <w:vertAlign w:val="superscript"/>
        </w:rPr>
        <w:t>-</w:t>
      </w:r>
      <w:r>
        <w:rPr>
          <w:rFonts w:ascii="Arial" w:hAnsi="Arial" w:cs="Arial"/>
          <w:sz w:val="22"/>
          <w:szCs w:val="22"/>
        </w:rPr>
        <w:t>,</w:t>
      </w:r>
      <w:r w:rsidRPr="00B43ECA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i.e., </w:t>
      </w:r>
      <w:r w:rsidRPr="00B43ECA">
        <w:rPr>
          <w:rFonts w:ascii="Arial" w:hAnsi="Arial" w:cs="Arial"/>
          <w:sz w:val="22"/>
          <w:szCs w:val="22"/>
        </w:rPr>
        <w:t>CD31</w:t>
      </w:r>
      <w:r w:rsidRPr="00B43ECA">
        <w:rPr>
          <w:rFonts w:ascii="Arial" w:hAnsi="Arial" w:cs="Arial"/>
          <w:sz w:val="22"/>
          <w:szCs w:val="22"/>
          <w:vertAlign w:val="superscript"/>
        </w:rPr>
        <w:t>-</w:t>
      </w:r>
      <w:r w:rsidRPr="00B43ECA">
        <w:rPr>
          <w:rFonts w:ascii="Arial" w:hAnsi="Arial" w:cs="Arial"/>
          <w:sz w:val="22"/>
          <w:szCs w:val="22"/>
        </w:rPr>
        <w:t>TER</w:t>
      </w:r>
      <w:r w:rsidRPr="00B43ECA">
        <w:rPr>
          <w:rFonts w:ascii="Arial" w:hAnsi="Arial" w:cs="Arial"/>
          <w:sz w:val="22"/>
          <w:szCs w:val="22"/>
          <w:vertAlign w:val="superscript"/>
        </w:rPr>
        <w:t>-</w:t>
      </w:r>
      <w:r w:rsidRPr="00B43ECA">
        <w:rPr>
          <w:rFonts w:ascii="Arial" w:hAnsi="Arial" w:cs="Arial"/>
          <w:sz w:val="22"/>
          <w:szCs w:val="22"/>
        </w:rPr>
        <w:t>119</w:t>
      </w:r>
      <w:r w:rsidRPr="00B43ECA">
        <w:rPr>
          <w:rFonts w:ascii="Arial" w:hAnsi="Arial" w:cs="Arial"/>
          <w:sz w:val="22"/>
          <w:szCs w:val="22"/>
          <w:vertAlign w:val="superscript"/>
        </w:rPr>
        <w:t>-</w:t>
      </w:r>
      <w:r w:rsidRPr="00B43ECA">
        <w:rPr>
          <w:rFonts w:ascii="Arial" w:hAnsi="Arial" w:cs="Arial"/>
          <w:sz w:val="22"/>
          <w:szCs w:val="22"/>
        </w:rPr>
        <w:t>CD45</w:t>
      </w:r>
      <w:r w:rsidRPr="00B43ECA">
        <w:rPr>
          <w:rFonts w:ascii="Arial" w:hAnsi="Arial" w:cs="Arial"/>
          <w:sz w:val="22"/>
          <w:szCs w:val="22"/>
          <w:vertAlign w:val="superscript"/>
        </w:rPr>
        <w:t>-</w:t>
      </w:r>
      <w:r w:rsidRPr="00B43ECA">
        <w:rPr>
          <w:rFonts w:ascii="Arial" w:hAnsi="Arial" w:cs="Arial"/>
          <w:sz w:val="22"/>
          <w:szCs w:val="22"/>
        </w:rPr>
        <w:t>) compartment. (c) FACS plots represent the CD24/CD29 expression pattern of Lin</w:t>
      </w:r>
      <w:r w:rsidRPr="00B43ECA">
        <w:rPr>
          <w:rFonts w:ascii="Arial" w:hAnsi="Arial" w:cs="Arial"/>
          <w:sz w:val="22"/>
          <w:szCs w:val="22"/>
          <w:vertAlign w:val="superscript"/>
        </w:rPr>
        <w:t>-</w:t>
      </w:r>
      <w:r w:rsidRPr="00B43ECA">
        <w:rPr>
          <w:rFonts w:ascii="Arial" w:hAnsi="Arial" w:cs="Arial"/>
          <w:sz w:val="22"/>
          <w:szCs w:val="22"/>
        </w:rPr>
        <w:t xml:space="preserve"> cells (right) or Lin</w:t>
      </w:r>
      <w:r w:rsidRPr="00B43ECA">
        <w:rPr>
          <w:rFonts w:ascii="Arial" w:hAnsi="Arial" w:cs="Arial"/>
          <w:sz w:val="22"/>
          <w:szCs w:val="22"/>
          <w:vertAlign w:val="superscript"/>
        </w:rPr>
        <w:t>-</w:t>
      </w:r>
      <w:r w:rsidRPr="00B43ECA">
        <w:rPr>
          <w:rFonts w:ascii="Arial" w:hAnsi="Arial" w:cs="Arial"/>
          <w:sz w:val="22"/>
          <w:szCs w:val="22"/>
        </w:rPr>
        <w:t>YFP</w:t>
      </w:r>
      <w:r w:rsidRPr="00B43ECA">
        <w:rPr>
          <w:rFonts w:ascii="Arial" w:hAnsi="Arial" w:cs="Arial"/>
          <w:sz w:val="22"/>
          <w:szCs w:val="22"/>
          <w:vertAlign w:val="superscript"/>
        </w:rPr>
        <w:t>+</w:t>
      </w:r>
      <w:r w:rsidRPr="00B43ECA">
        <w:rPr>
          <w:rFonts w:ascii="Arial" w:hAnsi="Arial" w:cs="Arial"/>
          <w:sz w:val="22"/>
          <w:szCs w:val="22"/>
        </w:rPr>
        <w:t xml:space="preserve"> mutant cells (left)</w:t>
      </w:r>
      <w:r>
        <w:rPr>
          <w:rFonts w:ascii="Arial" w:hAnsi="Arial" w:cs="Arial"/>
          <w:sz w:val="22"/>
          <w:szCs w:val="22"/>
        </w:rPr>
        <w:t xml:space="preserve">, which </w:t>
      </w:r>
      <w:r w:rsidRPr="00B43ECA">
        <w:rPr>
          <w:rFonts w:ascii="Arial" w:hAnsi="Arial" w:cs="Arial"/>
          <w:sz w:val="22"/>
          <w:szCs w:val="22"/>
        </w:rPr>
        <w:t>define</w:t>
      </w:r>
      <w:r>
        <w:rPr>
          <w:rFonts w:ascii="Arial" w:hAnsi="Arial" w:cs="Arial"/>
          <w:sz w:val="22"/>
          <w:szCs w:val="22"/>
        </w:rPr>
        <w:t>s</w:t>
      </w:r>
      <w:r w:rsidRPr="00B43ECA">
        <w:rPr>
          <w:rFonts w:ascii="Arial" w:hAnsi="Arial" w:cs="Arial"/>
          <w:sz w:val="22"/>
          <w:szCs w:val="22"/>
        </w:rPr>
        <w:t xml:space="preserve"> the luminal MECs (CD24</w:t>
      </w:r>
      <w:r w:rsidRPr="00B43ECA">
        <w:rPr>
          <w:rFonts w:ascii="Arial" w:hAnsi="Arial" w:cs="Arial"/>
          <w:sz w:val="22"/>
          <w:szCs w:val="22"/>
          <w:vertAlign w:val="superscript"/>
        </w:rPr>
        <w:t>+</w:t>
      </w:r>
      <w:r w:rsidRPr="00B43ECA">
        <w:rPr>
          <w:rFonts w:ascii="Arial" w:hAnsi="Arial" w:cs="Arial"/>
          <w:sz w:val="22"/>
          <w:szCs w:val="22"/>
        </w:rPr>
        <w:t>CD29</w:t>
      </w:r>
      <w:r w:rsidRPr="00B43ECA">
        <w:rPr>
          <w:rFonts w:ascii="Arial" w:hAnsi="Arial" w:cs="Arial"/>
          <w:sz w:val="22"/>
          <w:szCs w:val="22"/>
          <w:vertAlign w:val="superscript"/>
        </w:rPr>
        <w:t>low</w:t>
      </w:r>
      <w:r w:rsidRPr="00B43ECA">
        <w:rPr>
          <w:rFonts w:ascii="Arial" w:hAnsi="Arial" w:cs="Arial"/>
          <w:sz w:val="22"/>
          <w:szCs w:val="22"/>
        </w:rPr>
        <w:t>), basal MECs (CD24</w:t>
      </w:r>
      <w:r w:rsidRPr="00B43ECA">
        <w:rPr>
          <w:rFonts w:ascii="Arial" w:hAnsi="Arial" w:cs="Arial"/>
          <w:sz w:val="22"/>
          <w:szCs w:val="22"/>
          <w:vertAlign w:val="superscript"/>
        </w:rPr>
        <w:t>+</w:t>
      </w:r>
      <w:r w:rsidRPr="00B43ECA">
        <w:rPr>
          <w:rFonts w:ascii="Arial" w:hAnsi="Arial" w:cs="Arial"/>
          <w:sz w:val="22"/>
          <w:szCs w:val="22"/>
        </w:rPr>
        <w:t>CD29</w:t>
      </w:r>
      <w:r w:rsidRPr="00B43ECA">
        <w:rPr>
          <w:rFonts w:ascii="Arial" w:hAnsi="Arial" w:cs="Arial"/>
          <w:sz w:val="22"/>
          <w:szCs w:val="22"/>
          <w:vertAlign w:val="superscript"/>
        </w:rPr>
        <w:t>high</w:t>
      </w:r>
      <w:r w:rsidRPr="00B43ECA">
        <w:rPr>
          <w:rFonts w:ascii="Arial" w:hAnsi="Arial" w:cs="Arial"/>
          <w:sz w:val="22"/>
          <w:szCs w:val="22"/>
        </w:rPr>
        <w:t>), and mesenchymal-like cells (CD24</w:t>
      </w:r>
      <w:r w:rsidRPr="00B43ECA">
        <w:rPr>
          <w:rFonts w:ascii="Arial" w:hAnsi="Arial" w:cs="Arial"/>
          <w:sz w:val="22"/>
          <w:szCs w:val="22"/>
          <w:vertAlign w:val="superscript"/>
        </w:rPr>
        <w:t>-</w:t>
      </w:r>
      <w:r w:rsidRPr="00B43ECA">
        <w:rPr>
          <w:rFonts w:ascii="Arial" w:hAnsi="Arial" w:cs="Arial"/>
          <w:sz w:val="22"/>
          <w:szCs w:val="22"/>
        </w:rPr>
        <w:t>CD29</w:t>
      </w:r>
      <w:r w:rsidRPr="00B43ECA">
        <w:rPr>
          <w:rFonts w:ascii="Arial" w:hAnsi="Arial" w:cs="Arial"/>
          <w:sz w:val="22"/>
          <w:szCs w:val="22"/>
          <w:vertAlign w:val="superscript"/>
        </w:rPr>
        <w:t>+</w:t>
      </w:r>
      <w:r w:rsidRPr="00B43ECA">
        <w:rPr>
          <w:rFonts w:ascii="Arial" w:hAnsi="Arial" w:cs="Arial"/>
          <w:sz w:val="22"/>
          <w:szCs w:val="22"/>
        </w:rPr>
        <w:t>). (d, e) The proportion (%) of mutant MECs (YFP</w:t>
      </w:r>
      <w:r w:rsidRPr="00B43ECA">
        <w:rPr>
          <w:rFonts w:ascii="Arial" w:hAnsi="Arial" w:cs="Arial"/>
          <w:sz w:val="22"/>
          <w:szCs w:val="22"/>
          <w:vertAlign w:val="superscript"/>
        </w:rPr>
        <w:t>+</w:t>
      </w:r>
      <w:r w:rsidRPr="00B43ECA">
        <w:rPr>
          <w:rFonts w:ascii="Arial" w:hAnsi="Arial" w:cs="Arial"/>
          <w:sz w:val="22"/>
          <w:szCs w:val="22"/>
        </w:rPr>
        <w:t>) within the Lin</w:t>
      </w:r>
      <w:r w:rsidRPr="00B43ECA">
        <w:rPr>
          <w:rFonts w:ascii="Arial" w:hAnsi="Arial" w:cs="Arial"/>
          <w:sz w:val="22"/>
          <w:szCs w:val="22"/>
          <w:vertAlign w:val="superscript"/>
        </w:rPr>
        <w:t>-</w:t>
      </w:r>
      <w:r w:rsidRPr="00B43ECA">
        <w:rPr>
          <w:rFonts w:ascii="Arial" w:hAnsi="Arial" w:cs="Arial"/>
          <w:sz w:val="22"/>
          <w:szCs w:val="22"/>
        </w:rPr>
        <w:t xml:space="preserve"> compartment from each model.</w:t>
      </w:r>
    </w:p>
    <w:p w14:paraId="051D831F" w14:textId="77777777" w:rsidR="00094FBB" w:rsidRPr="00B43ECA" w:rsidRDefault="00094FBB" w:rsidP="00094FBB">
      <w:pPr>
        <w:spacing w:line="480" w:lineRule="auto"/>
        <w:jc w:val="both"/>
        <w:rPr>
          <w:rFonts w:ascii="Arial" w:hAnsi="Arial" w:cs="Arial"/>
          <w:sz w:val="22"/>
          <w:szCs w:val="22"/>
        </w:rPr>
      </w:pPr>
    </w:p>
    <w:p w14:paraId="583BFB6D" w14:textId="77777777" w:rsidR="00094FBB" w:rsidRPr="00B43ECA" w:rsidRDefault="00094FBB" w:rsidP="00094FBB">
      <w:pPr>
        <w:spacing w:line="48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B43ECA">
        <w:rPr>
          <w:rFonts w:ascii="Arial" w:hAnsi="Arial" w:cs="Arial"/>
          <w:b/>
          <w:bCs/>
          <w:sz w:val="22"/>
          <w:szCs w:val="22"/>
        </w:rPr>
        <w:t>Supplementary Fig. 3 FACS gating strategy for major immune cell populations in the mammary glands.</w:t>
      </w:r>
    </w:p>
    <w:p w14:paraId="10296329" w14:textId="77777777" w:rsidR="00094FBB" w:rsidRPr="00B43ECA" w:rsidRDefault="00094FBB" w:rsidP="00094FBB">
      <w:pPr>
        <w:spacing w:line="480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1ECDD837" w14:textId="77777777" w:rsidR="00094FBB" w:rsidRPr="00B43ECA" w:rsidRDefault="00094FBB" w:rsidP="00094FBB">
      <w:pPr>
        <w:spacing w:line="48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B43ECA">
        <w:rPr>
          <w:rFonts w:ascii="Arial" w:hAnsi="Arial" w:cs="Arial"/>
          <w:b/>
          <w:bCs/>
          <w:sz w:val="22"/>
          <w:szCs w:val="22"/>
        </w:rPr>
        <w:t>Supplementary Fig. 4 Tissue-resident CD8</w:t>
      </w:r>
      <w:r w:rsidRPr="00B43ECA">
        <w:rPr>
          <w:rFonts w:ascii="Arial" w:hAnsi="Arial" w:cs="Arial"/>
          <w:b/>
          <w:bCs/>
          <w:sz w:val="22"/>
          <w:szCs w:val="22"/>
          <w:vertAlign w:val="superscript"/>
        </w:rPr>
        <w:t>+</w:t>
      </w:r>
      <w:r w:rsidRPr="00B43ECA">
        <w:rPr>
          <w:rFonts w:ascii="Arial" w:hAnsi="Arial" w:cs="Arial"/>
          <w:b/>
          <w:bCs/>
          <w:sz w:val="22"/>
          <w:szCs w:val="22"/>
        </w:rPr>
        <w:t xml:space="preserve"> T cells </w:t>
      </w:r>
      <w:r>
        <w:rPr>
          <w:rFonts w:ascii="Arial" w:hAnsi="Arial" w:cs="Arial"/>
          <w:b/>
          <w:bCs/>
          <w:sz w:val="22"/>
          <w:szCs w:val="22"/>
        </w:rPr>
        <w:t>exhibited</w:t>
      </w:r>
      <w:r w:rsidRPr="00B43ECA">
        <w:rPr>
          <w:rFonts w:ascii="Arial" w:hAnsi="Arial" w:cs="Arial"/>
          <w:b/>
          <w:bCs/>
          <w:sz w:val="22"/>
          <w:szCs w:val="22"/>
        </w:rPr>
        <w:t xml:space="preserve"> an activation phenotype in mammary glands of the virus-induced model. </w:t>
      </w:r>
      <w:r w:rsidRPr="00B43ECA">
        <w:rPr>
          <w:rFonts w:ascii="Arial" w:hAnsi="Arial" w:cs="Arial"/>
          <w:sz w:val="22"/>
          <w:szCs w:val="22"/>
        </w:rPr>
        <w:t>Expression of CD69, PD-1, and CD103 in CD8</w:t>
      </w:r>
      <w:r w:rsidRPr="00B43ECA">
        <w:rPr>
          <w:rFonts w:ascii="Arial" w:hAnsi="Arial" w:cs="Arial"/>
          <w:sz w:val="22"/>
          <w:szCs w:val="22"/>
          <w:vertAlign w:val="superscript"/>
        </w:rPr>
        <w:t>+</w:t>
      </w:r>
      <w:r w:rsidRPr="00B43ECA">
        <w:rPr>
          <w:rFonts w:ascii="Arial" w:hAnsi="Arial" w:cs="Arial"/>
          <w:sz w:val="22"/>
          <w:szCs w:val="22"/>
        </w:rPr>
        <w:t xml:space="preserve"> (a) and CD4</w:t>
      </w:r>
      <w:r w:rsidRPr="00B43ECA">
        <w:rPr>
          <w:rFonts w:ascii="Arial" w:hAnsi="Arial" w:cs="Arial"/>
          <w:sz w:val="22"/>
          <w:szCs w:val="22"/>
          <w:vertAlign w:val="superscript"/>
        </w:rPr>
        <w:t>+</w:t>
      </w:r>
      <w:r w:rsidRPr="00B43ECA">
        <w:rPr>
          <w:rFonts w:ascii="Arial" w:hAnsi="Arial" w:cs="Arial"/>
          <w:sz w:val="22"/>
          <w:szCs w:val="22"/>
        </w:rPr>
        <w:t xml:space="preserve"> (b) T cells in mammary glands of mice from both models with the indicated genotypes.</w:t>
      </w:r>
    </w:p>
    <w:p w14:paraId="59EC71EC" w14:textId="77777777" w:rsidR="00094FBB" w:rsidRPr="00035385" w:rsidRDefault="00094FBB" w:rsidP="00094FBB">
      <w:pPr>
        <w:spacing w:line="480" w:lineRule="auto"/>
        <w:jc w:val="both"/>
        <w:rPr>
          <w:rFonts w:ascii="Arial" w:hAnsi="Arial" w:cs="Arial"/>
          <w:sz w:val="22"/>
          <w:szCs w:val="22"/>
        </w:rPr>
      </w:pPr>
    </w:p>
    <w:p w14:paraId="5EDB508F" w14:textId="77777777" w:rsidR="00094FBB" w:rsidRDefault="00094FBB" w:rsidP="00094FBB">
      <w:pPr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sz w:val="36"/>
          <w:szCs w:val="36"/>
        </w:rPr>
        <w:br w:type="page"/>
      </w:r>
    </w:p>
    <w:p w14:paraId="0E5A08E9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FBB"/>
    <w:rsid w:val="00094FBB"/>
    <w:rsid w:val="000C4033"/>
    <w:rsid w:val="004B42CB"/>
    <w:rsid w:val="00B85331"/>
    <w:rsid w:val="00CE3A99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9BC7BD"/>
  <w15:chartTrackingRefBased/>
  <w15:docId w15:val="{60A064B0-8A37-4211-8164-64EF0A7BF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4FBB"/>
    <w:rPr>
      <w:rFonts w:eastAsiaTheme="minorEastAsia"/>
      <w:lang w:val="en-US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094F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4F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4F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4F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IN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4F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IN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4F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4F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IN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4F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4F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IN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4F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4F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4F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4FB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4FB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4F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4F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4F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4F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4F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</w:rPr>
  </w:style>
  <w:style w:type="character" w:customStyle="1" w:styleId="TitleChar">
    <w:name w:val="Title Char"/>
    <w:basedOn w:val="DefaultParagraphFont"/>
    <w:link w:val="Title"/>
    <w:uiPriority w:val="10"/>
    <w:rsid w:val="00094F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4F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094F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4FBB"/>
    <w:pPr>
      <w:spacing w:before="160"/>
      <w:jc w:val="center"/>
    </w:pPr>
    <w:rPr>
      <w:rFonts w:eastAsiaTheme="minorHAnsi"/>
      <w:i/>
      <w:iCs/>
      <w:color w:val="404040" w:themeColor="text1" w:themeTint="BF"/>
      <w:lang w:val="en-IN" w:eastAsia="en-US"/>
    </w:rPr>
  </w:style>
  <w:style w:type="character" w:customStyle="1" w:styleId="QuoteChar">
    <w:name w:val="Quote Char"/>
    <w:basedOn w:val="DefaultParagraphFont"/>
    <w:link w:val="Quote"/>
    <w:uiPriority w:val="29"/>
    <w:rsid w:val="00094F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4FBB"/>
    <w:pPr>
      <w:ind w:left="720"/>
      <w:contextualSpacing/>
    </w:pPr>
    <w:rPr>
      <w:rFonts w:eastAsiaTheme="minorHAnsi"/>
      <w:lang w:val="en-IN" w:eastAsia="en-US"/>
    </w:rPr>
  </w:style>
  <w:style w:type="character" w:styleId="IntenseEmphasis">
    <w:name w:val="Intense Emphasis"/>
    <w:basedOn w:val="DefaultParagraphFont"/>
    <w:uiPriority w:val="21"/>
    <w:qFormat/>
    <w:rsid w:val="00094FB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4F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lang w:val="en-IN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4FB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4FB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164</Words>
  <Characters>989</Characters>
  <Application>Microsoft Office Word</Application>
  <DocSecurity>0</DocSecurity>
  <Lines>17</Lines>
  <Paragraphs>6</Paragraphs>
  <ScaleCrop>false</ScaleCrop>
  <Company/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2026-01-09T10:10:00Z</dcterms:created>
  <dcterms:modified xsi:type="dcterms:W3CDTF">2026-01-09T10:10:00Z</dcterms:modified>
</cp:coreProperties>
</file>