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Supplementary Data 1: Data and Materials Package</w:t>
      </w:r>
    </w:p>
    <w:p>
      <w:r>
        <w:t>Manuscript title: Automating Accountability: Smart Contracts and the Legal Future of Digital Product Passports in the EU Circular Economy</w:t>
      </w:r>
    </w:p>
    <w:p>
      <w:r>
        <w:t>Purpose: This file provides the supporting documentation needed for editors and referees to verify and scrutinise the legal-doctrinal methods and the sources underpinning the analysis.</w:t>
      </w:r>
    </w:p>
    <w:p>
      <w:r>
        <w:rPr>
          <w:b/>
        </w:rPr>
        <w:t>1. Study design and scope</w:t>
      </w:r>
    </w:p>
    <w:p>
      <w:r>
        <w:t>Design: Legal-doctrinal and comparative analysis of the EU regulatory framework governing Digital Product Passports (DPPs) and smart contracts, with a focus on accountability and contestability requirements. Unit of analysis: binding EU legal acts (regulations/directives), official guidance (EDPB), and EU case law (CJEU). No human participants or proprietary datasets were used.</w:t>
      </w:r>
    </w:p>
    <w:p>
      <w:r>
        <w:rPr>
          <w:b/>
        </w:rPr>
        <w:t>2. Primary sources and stable direct links</w:t>
      </w:r>
    </w:p>
    <w:p>
      <w:r>
        <w:t>Table S1 lists the core primary sources used in the manuscript and provides stable direct URLs.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Source type</w:t>
            </w:r>
          </w:p>
        </w:tc>
        <w:tc>
          <w:tcPr>
            <w:tcW w:type="dxa" w:w="2160"/>
          </w:tcPr>
          <w:p>
            <w:r>
              <w:t>Instrument / document</w:t>
            </w:r>
          </w:p>
        </w:tc>
        <w:tc>
          <w:tcPr>
            <w:tcW w:type="dxa" w:w="2160"/>
          </w:tcPr>
          <w:p>
            <w:r>
              <w:t>Identifier</w:t>
            </w:r>
          </w:p>
        </w:tc>
        <w:tc>
          <w:tcPr>
            <w:tcW w:type="dxa" w:w="2160"/>
          </w:tcPr>
          <w:p>
            <w:r>
              <w:t>Stable direct URL</w:t>
            </w:r>
          </w:p>
        </w:tc>
      </w:tr>
      <w:tr>
        <w:tc>
          <w:tcPr>
            <w:tcW w:type="dxa" w:w="2160"/>
          </w:tcPr>
          <w:p>
            <w:r>
              <w:t>Regulation (EU)</w:t>
            </w:r>
          </w:p>
        </w:tc>
        <w:tc>
          <w:tcPr>
            <w:tcW w:type="dxa" w:w="2160"/>
          </w:tcPr>
          <w:p>
            <w:r>
              <w:t>Ecodesign for Sustainable Products Regulation (ESPR)</w:t>
            </w:r>
          </w:p>
        </w:tc>
        <w:tc>
          <w:tcPr>
            <w:tcW w:type="dxa" w:w="2160"/>
          </w:tcPr>
          <w:p>
            <w:r>
              <w:t>2024/1781</w:t>
            </w:r>
          </w:p>
        </w:tc>
        <w:tc>
          <w:tcPr>
            <w:tcW w:type="dxa" w:w="2160"/>
          </w:tcPr>
          <w:p>
            <w:r>
              <w:t>https://eur-lex.europa.eu/eli/reg/2024/1781/oj/eng</w:t>
            </w:r>
          </w:p>
        </w:tc>
      </w:tr>
      <w:tr>
        <w:tc>
          <w:tcPr>
            <w:tcW w:type="dxa" w:w="2160"/>
          </w:tcPr>
          <w:p>
            <w:r>
              <w:t>Regulation (EU)</w:t>
            </w:r>
          </w:p>
        </w:tc>
        <w:tc>
          <w:tcPr>
            <w:tcW w:type="dxa" w:w="2160"/>
          </w:tcPr>
          <w:p>
            <w:r>
              <w:t>Data Act</w:t>
            </w:r>
          </w:p>
        </w:tc>
        <w:tc>
          <w:tcPr>
            <w:tcW w:type="dxa" w:w="2160"/>
          </w:tcPr>
          <w:p>
            <w:r>
              <w:t>2023/2854</w:t>
            </w:r>
          </w:p>
        </w:tc>
        <w:tc>
          <w:tcPr>
            <w:tcW w:type="dxa" w:w="2160"/>
          </w:tcPr>
          <w:p>
            <w:r>
              <w:t>https://eur-lex.europa.eu/legal-content/EN/TXT/PDF/?uri=OJ%3AL_202302854</w:t>
            </w:r>
          </w:p>
        </w:tc>
      </w:tr>
      <w:tr>
        <w:tc>
          <w:tcPr>
            <w:tcW w:type="dxa" w:w="2160"/>
          </w:tcPr>
          <w:p>
            <w:r>
              <w:t>Regulation (EU)</w:t>
            </w:r>
          </w:p>
        </w:tc>
        <w:tc>
          <w:tcPr>
            <w:tcW w:type="dxa" w:w="2160"/>
          </w:tcPr>
          <w:p>
            <w:r>
              <w:t>General Data Protection Regulation (GDPR)</w:t>
            </w:r>
          </w:p>
        </w:tc>
        <w:tc>
          <w:tcPr>
            <w:tcW w:type="dxa" w:w="2160"/>
          </w:tcPr>
          <w:p>
            <w:r>
              <w:t>2016/679</w:t>
            </w:r>
          </w:p>
        </w:tc>
        <w:tc>
          <w:tcPr>
            <w:tcW w:type="dxa" w:w="2160"/>
          </w:tcPr>
          <w:p>
            <w:r>
              <w:t>https://eur-lex.europa.eu/legal-content/EN/TXT/PDF/?uri=CELEX:32016R0679</w:t>
            </w:r>
          </w:p>
        </w:tc>
      </w:tr>
      <w:tr>
        <w:tc>
          <w:tcPr>
            <w:tcW w:type="dxa" w:w="2160"/>
          </w:tcPr>
          <w:p>
            <w:r>
              <w:t>Regulation (EU)</w:t>
            </w:r>
          </w:p>
        </w:tc>
        <w:tc>
          <w:tcPr>
            <w:tcW w:type="dxa" w:w="2160"/>
          </w:tcPr>
          <w:p>
            <w:r>
              <w:t>Batteries and Waste Batteries Regulation</w:t>
            </w:r>
          </w:p>
        </w:tc>
        <w:tc>
          <w:tcPr>
            <w:tcW w:type="dxa" w:w="2160"/>
          </w:tcPr>
          <w:p>
            <w:r>
              <w:t>2023/1542</w:t>
            </w:r>
          </w:p>
        </w:tc>
        <w:tc>
          <w:tcPr>
            <w:tcW w:type="dxa" w:w="2160"/>
          </w:tcPr>
          <w:p>
            <w:r>
              <w:t>https://eur-lex.europa.eu/legal-content/EN/TXT/PDF/?uri=CELEX%3A32023R1542</w:t>
            </w:r>
          </w:p>
        </w:tc>
      </w:tr>
      <w:tr>
        <w:tc>
          <w:tcPr>
            <w:tcW w:type="dxa" w:w="2160"/>
          </w:tcPr>
          <w:p>
            <w:r>
              <w:t>Directive (EU)</w:t>
            </w:r>
          </w:p>
        </w:tc>
        <w:tc>
          <w:tcPr>
            <w:tcW w:type="dxa" w:w="2160"/>
          </w:tcPr>
          <w:p>
            <w:r>
              <w:t>Product Liability Directive (recast)</w:t>
            </w:r>
          </w:p>
        </w:tc>
        <w:tc>
          <w:tcPr>
            <w:tcW w:type="dxa" w:w="2160"/>
          </w:tcPr>
          <w:p>
            <w:r>
              <w:t>2024/2853</w:t>
            </w:r>
          </w:p>
        </w:tc>
        <w:tc>
          <w:tcPr>
            <w:tcW w:type="dxa" w:w="2160"/>
          </w:tcPr>
          <w:p>
            <w:r>
              <w:t>https://eur-lex.europa.eu/legal-content/EN/TXT/PDF/?uri=CELEX%3A32024L2853</w:t>
            </w:r>
          </w:p>
        </w:tc>
      </w:tr>
      <w:tr>
        <w:tc>
          <w:tcPr>
            <w:tcW w:type="dxa" w:w="2160"/>
          </w:tcPr>
          <w:p>
            <w:r>
              <w:t>Regulation (EU)</w:t>
            </w:r>
          </w:p>
        </w:tc>
        <w:tc>
          <w:tcPr>
            <w:tcW w:type="dxa" w:w="2160"/>
          </w:tcPr>
          <w:p>
            <w:r>
              <w:t>Cyber Resilience Act</w:t>
            </w:r>
          </w:p>
        </w:tc>
        <w:tc>
          <w:tcPr>
            <w:tcW w:type="dxa" w:w="2160"/>
          </w:tcPr>
          <w:p>
            <w:r>
              <w:t>2024/2847</w:t>
            </w:r>
          </w:p>
        </w:tc>
        <w:tc>
          <w:tcPr>
            <w:tcW w:type="dxa" w:w="2160"/>
          </w:tcPr>
          <w:p>
            <w:r>
              <w:t>https://eur-lex.europa.eu/legal-content/EN/TXT/PDF/?uri=CELEX%3A32024R2847</w:t>
            </w:r>
          </w:p>
        </w:tc>
      </w:tr>
      <w:tr>
        <w:tc>
          <w:tcPr>
            <w:tcW w:type="dxa" w:w="2160"/>
          </w:tcPr>
          <w:p>
            <w:r>
              <w:t>Regulation (EU)</w:t>
            </w:r>
          </w:p>
        </w:tc>
        <w:tc>
          <w:tcPr>
            <w:tcW w:type="dxa" w:w="2160"/>
          </w:tcPr>
          <w:p>
            <w:r>
              <w:t>Artificial Intelligence Act</w:t>
            </w:r>
          </w:p>
        </w:tc>
        <w:tc>
          <w:tcPr>
            <w:tcW w:type="dxa" w:w="2160"/>
          </w:tcPr>
          <w:p>
            <w:r>
              <w:t>2024/1689</w:t>
            </w:r>
          </w:p>
        </w:tc>
        <w:tc>
          <w:tcPr>
            <w:tcW w:type="dxa" w:w="2160"/>
          </w:tcPr>
          <w:p>
            <w:r>
              <w:t>https://eur-lex.europa.eu/legal-content/EN/TXT/PDF/?from=EN&amp;uri=CELEX%3A32024R1689</w:t>
            </w:r>
          </w:p>
        </w:tc>
      </w:tr>
      <w:tr>
        <w:tc>
          <w:tcPr>
            <w:tcW w:type="dxa" w:w="2160"/>
          </w:tcPr>
          <w:p>
            <w:r>
              <w:t>EDPB Guidelines</w:t>
            </w:r>
          </w:p>
        </w:tc>
        <w:tc>
          <w:tcPr>
            <w:tcW w:type="dxa" w:w="2160"/>
          </w:tcPr>
          <w:p>
            <w:r>
              <w:t>Guidelines 02/2025 on processing of personal data through blockchain technologies (draft)</w:t>
            </w:r>
          </w:p>
        </w:tc>
        <w:tc>
          <w:tcPr>
            <w:tcW w:type="dxa" w:w="2160"/>
          </w:tcPr>
          <w:p>
            <w:r>
              <w:t>02/2025</w:t>
            </w:r>
          </w:p>
        </w:tc>
        <w:tc>
          <w:tcPr>
            <w:tcW w:type="dxa" w:w="2160"/>
          </w:tcPr>
          <w:p>
            <w:r>
              <w:t>https://www.edpb.europa.eu/system/files/2025-04/edpb_guidelines_202502_blockchain_en.pdf</w:t>
            </w:r>
          </w:p>
        </w:tc>
      </w:tr>
      <w:tr>
        <w:tc>
          <w:tcPr>
            <w:tcW w:type="dxa" w:w="2160"/>
          </w:tcPr>
          <w:p>
            <w:r>
              <w:t>CJEU Judgment</w:t>
            </w:r>
          </w:p>
        </w:tc>
        <w:tc>
          <w:tcPr>
            <w:tcW w:type="dxa" w:w="2160"/>
          </w:tcPr>
          <w:p>
            <w:r>
              <w:t>SCHUFA Holding (automated decision-making; GDPR Art. 22)</w:t>
            </w:r>
          </w:p>
        </w:tc>
        <w:tc>
          <w:tcPr>
            <w:tcW w:type="dxa" w:w="2160"/>
          </w:tcPr>
          <w:p>
            <w:r>
              <w:t>C‑634/21 (ECLI:EU:C:2023:957)</w:t>
            </w:r>
          </w:p>
        </w:tc>
        <w:tc>
          <w:tcPr>
            <w:tcW w:type="dxa" w:w="2160"/>
          </w:tcPr>
          <w:p>
            <w:r>
              <w:t>https://curia.europa.eu/juris/document/document.jsf?docid=280426&amp;doclang=EN</w:t>
            </w:r>
          </w:p>
        </w:tc>
      </w:tr>
    </w:tbl>
    <w:p>
      <w:r>
        <w:rPr>
          <w:b/>
        </w:rPr>
        <w:t>3. Coding scheme (operational definitions)</w:t>
      </w:r>
    </w:p>
    <w:p>
      <w:r>
        <w:t>Table S2 summarises the coding scheme applied when extracting legal requirements from primary sources into the manuscript’s accountability framework.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Construct (code)</w:t>
            </w:r>
          </w:p>
        </w:tc>
        <w:tc>
          <w:tcPr>
            <w:tcW w:type="dxa" w:w="2880"/>
          </w:tcPr>
          <w:p>
            <w:r>
              <w:t>Operational definition used in this study</w:t>
            </w:r>
          </w:p>
        </w:tc>
        <w:tc>
          <w:tcPr>
            <w:tcW w:type="dxa" w:w="2880"/>
          </w:tcPr>
          <w:p>
            <w:r>
              <w:t>Examples of indicators in legal text</w:t>
            </w:r>
          </w:p>
        </w:tc>
      </w:tr>
      <w:tr>
        <w:tc>
          <w:tcPr>
            <w:tcW w:type="dxa" w:w="2880"/>
          </w:tcPr>
          <w:p>
            <w:r>
              <w:t>Explainability (EXPL)</w:t>
            </w:r>
          </w:p>
        </w:tc>
        <w:tc>
          <w:tcPr>
            <w:tcW w:type="dxa" w:w="2880"/>
          </w:tcPr>
          <w:p>
            <w:r>
              <w:t>Requirements that enable an affected person or supervisor to understand how an automated outcome was produced.</w:t>
            </w:r>
          </w:p>
        </w:tc>
        <w:tc>
          <w:tcPr>
            <w:tcW w:type="dxa" w:w="2880"/>
          </w:tcPr>
          <w:p>
            <w:r>
              <w:t>Reasons/logic disclosure; intelligible information; documentation duties.</w:t>
            </w:r>
          </w:p>
        </w:tc>
      </w:tr>
      <w:tr>
        <w:tc>
          <w:tcPr>
            <w:tcW w:type="dxa" w:w="2880"/>
          </w:tcPr>
          <w:p>
            <w:r>
              <w:t>Contestability (CONT)</w:t>
            </w:r>
          </w:p>
        </w:tc>
        <w:tc>
          <w:tcPr>
            <w:tcW w:type="dxa" w:w="2880"/>
          </w:tcPr>
          <w:p>
            <w:r>
              <w:t>Requirements enabling challenge, review, appeal, or meaningful human intervention in automated outcomes.</w:t>
            </w:r>
          </w:p>
        </w:tc>
        <w:tc>
          <w:tcPr>
            <w:tcW w:type="dxa" w:w="2880"/>
          </w:tcPr>
          <w:p>
            <w:r>
              <w:t>Right to obtain human intervention; complaint/appeal; review procedures.</w:t>
            </w:r>
          </w:p>
        </w:tc>
      </w:tr>
      <w:tr>
        <w:tc>
          <w:tcPr>
            <w:tcW w:type="dxa" w:w="2880"/>
          </w:tcPr>
          <w:p>
            <w:r>
              <w:t>Termination &amp; Control (TERM)</w:t>
            </w:r>
          </w:p>
        </w:tc>
        <w:tc>
          <w:tcPr>
            <w:tcW w:type="dxa" w:w="2880"/>
          </w:tcPr>
          <w:p>
            <w:r>
              <w:t>Requirements ensuring smart contracts can be stopped/overridden safely and access can be revoked.</w:t>
            </w:r>
          </w:p>
        </w:tc>
        <w:tc>
          <w:tcPr>
            <w:tcW w:type="dxa" w:w="2880"/>
          </w:tcPr>
          <w:p>
            <w:r>
              <w:t>Kill switch; termination clause; access control; emergency shutdown.</w:t>
            </w:r>
          </w:p>
        </w:tc>
      </w:tr>
      <w:tr>
        <w:tc>
          <w:tcPr>
            <w:tcW w:type="dxa" w:w="2880"/>
          </w:tcPr>
          <w:p>
            <w:r>
              <w:t>Auditability &amp; Record-Keeping (AUD)</w:t>
            </w:r>
          </w:p>
        </w:tc>
        <w:tc>
          <w:tcPr>
            <w:tcW w:type="dxa" w:w="2880"/>
          </w:tcPr>
          <w:p>
            <w:r>
              <w:t>Requirements that support traceability, logging, and verification by competent authorities or third parties.</w:t>
            </w:r>
          </w:p>
        </w:tc>
        <w:tc>
          <w:tcPr>
            <w:tcW w:type="dxa" w:w="2880"/>
          </w:tcPr>
          <w:p>
            <w:r>
              <w:t>Logging, archiving, retention; audit trails; supervisory access.</w:t>
            </w:r>
          </w:p>
        </w:tc>
      </w:tr>
      <w:tr>
        <w:tc>
          <w:tcPr>
            <w:tcW w:type="dxa" w:w="2880"/>
          </w:tcPr>
          <w:p>
            <w:r>
              <w:t>Liability Allocation (LIAB)</w:t>
            </w:r>
          </w:p>
        </w:tc>
        <w:tc>
          <w:tcPr>
            <w:tcW w:type="dxa" w:w="2880"/>
          </w:tcPr>
          <w:p>
            <w:r>
              <w:t>Rules assigning responsibility and remedies for harm from defective products/software or unlawful processing/automation.</w:t>
            </w:r>
          </w:p>
        </w:tc>
        <w:tc>
          <w:tcPr>
            <w:tcW w:type="dxa" w:w="2880"/>
          </w:tcPr>
          <w:p>
            <w:r>
              <w:t>Defectiveness; causation presumptions; controller/processor roles; damages.</w:t>
            </w:r>
          </w:p>
        </w:tc>
      </w:tr>
      <w:tr>
        <w:tc>
          <w:tcPr>
            <w:tcW w:type="dxa" w:w="2880"/>
          </w:tcPr>
          <w:p>
            <w:r>
              <w:t>Conformity Assessment / Certification (CERT)</w:t>
            </w:r>
          </w:p>
        </w:tc>
        <w:tc>
          <w:tcPr>
            <w:tcW w:type="dxa" w:w="2880"/>
          </w:tcPr>
          <w:p>
            <w:r>
              <w:t>Requirements for assessment against standards and/or third-party certification obligations.</w:t>
            </w:r>
          </w:p>
        </w:tc>
        <w:tc>
          <w:tcPr>
            <w:tcW w:type="dxa" w:w="2880"/>
          </w:tcPr>
          <w:p>
            <w:r>
              <w:t>CE marking; conformity modules; cybersecurity certification.</w:t>
            </w:r>
          </w:p>
        </w:tc>
      </w:tr>
      <w:tr>
        <w:tc>
          <w:tcPr>
            <w:tcW w:type="dxa" w:w="2880"/>
          </w:tcPr>
          <w:p>
            <w:r>
              <w:t>Governance &amp; Oversight (GOV)</w:t>
            </w:r>
          </w:p>
        </w:tc>
        <w:tc>
          <w:tcPr>
            <w:tcW w:type="dxa" w:w="2880"/>
          </w:tcPr>
          <w:p>
            <w:r>
              <w:t>Institutional governance mechanisms for supervision, enforcement, and accountability in DPP ecosystems.</w:t>
            </w:r>
          </w:p>
        </w:tc>
        <w:tc>
          <w:tcPr>
            <w:tcW w:type="dxa" w:w="2880"/>
          </w:tcPr>
          <w:p>
            <w:r>
              <w:t>Market surveillance; competent authorities; enforcement powers; penalties.</w:t>
            </w:r>
          </w:p>
        </w:tc>
      </w:tr>
    </w:tbl>
    <w:p>
      <w:r>
        <w:rPr>
          <w:b/>
        </w:rPr>
        <w:t>4. Provision-to-framework mapping matrix</w:t>
      </w:r>
    </w:p>
    <w:p>
      <w:r>
        <w:t>Table S3 provides a compact mapping of the key provisions cited in the manuscript to the framework layers. This mapping supports verification of how primary legal requirements were translated into the article’s analytical categories.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Primary source</w:t>
            </w:r>
          </w:p>
        </w:tc>
        <w:tc>
          <w:tcPr>
            <w:tcW w:type="dxa" w:w="2160"/>
          </w:tcPr>
          <w:p>
            <w:r>
              <w:t>Provision(s) emphasised</w:t>
            </w:r>
          </w:p>
        </w:tc>
        <w:tc>
          <w:tcPr>
            <w:tcW w:type="dxa" w:w="2160"/>
          </w:tcPr>
          <w:p>
            <w:r>
              <w:t>Main coded constructs</w:t>
            </w:r>
          </w:p>
        </w:tc>
        <w:tc>
          <w:tcPr>
            <w:tcW w:type="dxa" w:w="2160"/>
          </w:tcPr>
          <w:p>
            <w:r>
              <w:t>How used in the manuscript</w:t>
            </w:r>
          </w:p>
        </w:tc>
      </w:tr>
      <w:tr>
        <w:tc>
          <w:tcPr>
            <w:tcW w:type="dxa" w:w="2160"/>
          </w:tcPr>
          <w:p>
            <w:r>
              <w:t>Data Act (EU) 2023/2854</w:t>
            </w:r>
          </w:p>
        </w:tc>
        <w:tc>
          <w:tcPr>
            <w:tcW w:type="dxa" w:w="2160"/>
          </w:tcPr>
          <w:p>
            <w:r>
              <w:t>Art. 36 (smart contracts for data sharing)</w:t>
            </w:r>
          </w:p>
        </w:tc>
        <w:tc>
          <w:tcPr>
            <w:tcW w:type="dxa" w:w="2160"/>
          </w:tcPr>
          <w:p>
            <w:r>
              <w:t>TERM; AUD; GOV</w:t>
            </w:r>
          </w:p>
        </w:tc>
        <w:tc>
          <w:tcPr>
            <w:tcW w:type="dxa" w:w="2160"/>
          </w:tcPr>
          <w:p>
            <w:r>
              <w:t>Baseline requirements for robustness, termination, access control, and archiving; identified gaps on explainability/contestability.</w:t>
            </w:r>
          </w:p>
        </w:tc>
      </w:tr>
      <w:tr>
        <w:tc>
          <w:tcPr>
            <w:tcW w:type="dxa" w:w="2160"/>
          </w:tcPr>
          <w:p>
            <w:r>
              <w:t>GDPR (EU) 2016/679</w:t>
            </w:r>
          </w:p>
        </w:tc>
        <w:tc>
          <w:tcPr>
            <w:tcW w:type="dxa" w:w="2160"/>
          </w:tcPr>
          <w:p>
            <w:r>
              <w:t>Art. 22; Arts. 12–15; Arts. 16–18; Art. 25; Art. 28; Art. 32; Art. 35</w:t>
            </w:r>
          </w:p>
        </w:tc>
        <w:tc>
          <w:tcPr>
            <w:tcW w:type="dxa" w:w="2160"/>
          </w:tcPr>
          <w:p>
            <w:r>
              <w:t>EXPL; CONT; LIAB; GOV</w:t>
            </w:r>
          </w:p>
        </w:tc>
        <w:tc>
          <w:tcPr>
            <w:tcW w:type="dxa" w:w="2160"/>
          </w:tcPr>
          <w:p>
            <w:r>
              <w:t>Constraints on automated decisions; transparency; rights; DPIA and accountability obligations.</w:t>
            </w:r>
          </w:p>
        </w:tc>
      </w:tr>
      <w:tr>
        <w:tc>
          <w:tcPr>
            <w:tcW w:type="dxa" w:w="2160"/>
          </w:tcPr>
          <w:p>
            <w:r>
              <w:t>CJEU C‑634/21 SCHUFA</w:t>
            </w:r>
          </w:p>
        </w:tc>
        <w:tc>
          <w:tcPr>
            <w:tcW w:type="dxa" w:w="2160"/>
          </w:tcPr>
          <w:p>
            <w:r>
              <w:t>Judgment (7 Dec 2023) interpreting Art. 22</w:t>
            </w:r>
          </w:p>
        </w:tc>
        <w:tc>
          <w:tcPr>
            <w:tcW w:type="dxa" w:w="2160"/>
          </w:tcPr>
          <w:p>
            <w:r>
              <w:t>CONT; EXPL</w:t>
            </w:r>
          </w:p>
        </w:tc>
        <w:tc>
          <w:tcPr>
            <w:tcW w:type="dxa" w:w="2160"/>
          </w:tcPr>
          <w:p>
            <w:r>
              <w:t>Clarifies when automated outputs constitute ‘decisions’ producing legal/similar significant effects.</w:t>
            </w:r>
          </w:p>
        </w:tc>
      </w:tr>
      <w:tr>
        <w:tc>
          <w:tcPr>
            <w:tcW w:type="dxa" w:w="2160"/>
          </w:tcPr>
          <w:p>
            <w:r>
              <w:t>EDPB Guidelines 02/2025</w:t>
            </w:r>
          </w:p>
        </w:tc>
        <w:tc>
          <w:tcPr>
            <w:tcW w:type="dxa" w:w="2160"/>
          </w:tcPr>
          <w:p>
            <w:r>
              <w:t>Blockchain roles; data subject rights; off-chain/on-chain design guidance</w:t>
            </w:r>
          </w:p>
        </w:tc>
        <w:tc>
          <w:tcPr>
            <w:tcW w:type="dxa" w:w="2160"/>
          </w:tcPr>
          <w:p>
            <w:r>
              <w:t>LIAB; GOV; AUD; EXPL</w:t>
            </w:r>
          </w:p>
        </w:tc>
        <w:tc>
          <w:tcPr>
            <w:tcW w:type="dxa" w:w="2160"/>
          </w:tcPr>
          <w:p>
            <w:r>
              <w:t>Interpretive guidance for GDPR compliance in blockchain-based DPP designs.</w:t>
            </w:r>
          </w:p>
        </w:tc>
      </w:tr>
      <w:tr>
        <w:tc>
          <w:tcPr>
            <w:tcW w:type="dxa" w:w="2160"/>
          </w:tcPr>
          <w:p>
            <w:r>
              <w:t>ESPR (EU) 2024/1781</w:t>
            </w:r>
          </w:p>
        </w:tc>
        <w:tc>
          <w:tcPr>
            <w:tcW w:type="dxa" w:w="2160"/>
          </w:tcPr>
          <w:p>
            <w:r>
              <w:t>Framework for DPP; delegated acts</w:t>
            </w:r>
          </w:p>
        </w:tc>
        <w:tc>
          <w:tcPr>
            <w:tcW w:type="dxa" w:w="2160"/>
          </w:tcPr>
          <w:p>
            <w:r>
              <w:t>AUD; GOV; CERT</w:t>
            </w:r>
          </w:p>
        </w:tc>
        <w:tc>
          <w:tcPr>
            <w:tcW w:type="dxa" w:w="2160"/>
          </w:tcPr>
          <w:p>
            <w:r>
              <w:t>Defines the DPP system context and governance; highlights delegated acts as key implementation layer.</w:t>
            </w:r>
          </w:p>
        </w:tc>
      </w:tr>
      <w:tr>
        <w:tc>
          <w:tcPr>
            <w:tcW w:type="dxa" w:w="2160"/>
          </w:tcPr>
          <w:p>
            <w:r>
              <w:t>Batteries Reg (EU) 2023/1542</w:t>
            </w:r>
          </w:p>
        </w:tc>
        <w:tc>
          <w:tcPr>
            <w:tcW w:type="dxa" w:w="2160"/>
          </w:tcPr>
          <w:p>
            <w:r>
              <w:t>Battery passport obligations</w:t>
            </w:r>
          </w:p>
        </w:tc>
        <w:tc>
          <w:tcPr>
            <w:tcW w:type="dxa" w:w="2160"/>
          </w:tcPr>
          <w:p>
            <w:r>
              <w:t>AUD; CERT; GOV</w:t>
            </w:r>
          </w:p>
        </w:tc>
        <w:tc>
          <w:tcPr>
            <w:tcW w:type="dxa" w:w="2160"/>
          </w:tcPr>
          <w:p>
            <w:r>
              <w:t>Sectoral DPP example; used to ground practical compliance and phased deployment.</w:t>
            </w:r>
          </w:p>
        </w:tc>
      </w:tr>
      <w:tr>
        <w:tc>
          <w:tcPr>
            <w:tcW w:type="dxa" w:w="2160"/>
          </w:tcPr>
          <w:p>
            <w:r>
              <w:t>Cyber Resilience Act (EU) 2024/2847</w:t>
            </w:r>
          </w:p>
        </w:tc>
        <w:tc>
          <w:tcPr>
            <w:tcW w:type="dxa" w:w="2160"/>
          </w:tcPr>
          <w:p>
            <w:r>
              <w:t>Security requirements for products with digital elements</w:t>
            </w:r>
          </w:p>
        </w:tc>
        <w:tc>
          <w:tcPr>
            <w:tcW w:type="dxa" w:w="2160"/>
          </w:tcPr>
          <w:p>
            <w:r>
              <w:t>CERT; AUD; GOV</w:t>
            </w:r>
          </w:p>
        </w:tc>
        <w:tc>
          <w:tcPr>
            <w:tcW w:type="dxa" w:w="2160"/>
          </w:tcPr>
          <w:p>
            <w:r>
              <w:t>Illustrates cybersecurity baseline expectations and potential conformity mechanisms.</w:t>
            </w:r>
          </w:p>
        </w:tc>
      </w:tr>
      <w:tr>
        <w:tc>
          <w:tcPr>
            <w:tcW w:type="dxa" w:w="2160"/>
          </w:tcPr>
          <w:p>
            <w:r>
              <w:t>Product Liability Dir (EU) 2024/2853</w:t>
            </w:r>
          </w:p>
        </w:tc>
        <w:tc>
          <w:tcPr>
            <w:tcW w:type="dxa" w:w="2160"/>
          </w:tcPr>
          <w:p>
            <w:r>
              <w:t>Liability for defective products incl. software</w:t>
            </w:r>
          </w:p>
        </w:tc>
        <w:tc>
          <w:tcPr>
            <w:tcW w:type="dxa" w:w="2160"/>
          </w:tcPr>
          <w:p>
            <w:r>
              <w:t>LIAB</w:t>
            </w:r>
          </w:p>
        </w:tc>
        <w:tc>
          <w:tcPr>
            <w:tcW w:type="dxa" w:w="2160"/>
          </w:tcPr>
          <w:p>
            <w:r>
              <w:t>Supports discussion of liability allocation across operators and software components.</w:t>
            </w:r>
          </w:p>
        </w:tc>
      </w:tr>
    </w:tbl>
    <w:p>
      <w:r>
        <w:rPr>
          <w:b/>
        </w:rPr>
        <w:t>5. Notes on statistical code and scripts</w:t>
      </w:r>
    </w:p>
    <w:p>
      <w:r>
        <w:t>Not applicable. The study does not use statistical modelling or computational analysis of datasets. The ‘data’ underpinning the study consist of the primary legal materials above and the structured coding/mapping contained in this file.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  <cp:contentStatus/>
</cp:coreProperties>
</file>