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7D313">
      <w:pPr>
        <w:pStyle w:val="12"/>
        <w:spacing w:after="0" w:line="240" w:lineRule="atLeast"/>
        <w:jc w:val="center"/>
        <w:rPr>
          <w:rFonts w:hint="default" w:ascii="Times New Roman" w:hAnsi="Times New Roman" w:eastAsia="黑体" w:cs="Times New Roman"/>
          <w:i w:val="0"/>
          <w:iCs/>
          <w:lang w:eastAsia="zh-CN"/>
        </w:rPr>
      </w:pPr>
      <w:bookmarkStart w:id="0" w:name="研究对象社会人口学特征分析"/>
      <w:bookmarkStart w:id="1" w:name="table1基本特征与差异性分析"/>
      <w:bookmarkStart w:id="4" w:name="_GoBack"/>
      <w:bookmarkEnd w:id="4"/>
      <w:r>
        <w:rPr>
          <w:rFonts w:hint="default" w:ascii="Times New Roman" w:hAnsi="Times New Roman" w:eastAsia="黑体" w:cs="Times New Roman"/>
          <w:b/>
          <w:bCs/>
          <w:i w:val="0"/>
          <w:iCs/>
          <w:lang w:val="en-US" w:eastAsia="zh-CN"/>
        </w:rPr>
        <w:t>Table 1</w:t>
      </w:r>
      <w:r>
        <w:rPr>
          <w:rFonts w:hint="default" w:ascii="Times New Roman" w:hAnsi="Times New Roman" w:eastAsia="黑体" w:cs="Times New Roman"/>
          <w:i w:val="0"/>
          <w:iCs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i w:val="0"/>
          <w:iCs/>
          <w:lang w:val="en-US" w:eastAsia="zh-CN"/>
        </w:rPr>
        <w:t>P</w:t>
      </w:r>
      <w:r>
        <w:rPr>
          <w:rFonts w:hint="default" w:ascii="Times New Roman" w:hAnsi="Times New Roman" w:eastAsia="黑体" w:cs="Times New Roman"/>
          <w:i w:val="0"/>
          <w:iCs/>
          <w:lang w:eastAsia="zh-CN"/>
        </w:rPr>
        <w:t>opulation demographic and clinical baseline characteristics</w:t>
      </w:r>
    </w:p>
    <w:tbl>
      <w:tblPr>
        <w:tblStyle w:val="20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0"/>
        <w:gridCol w:w="1509"/>
        <w:gridCol w:w="1600"/>
        <w:gridCol w:w="1601"/>
        <w:gridCol w:w="740"/>
        <w:gridCol w:w="656"/>
      </w:tblGrid>
      <w:tr w14:paraId="37C7D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tblHeader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ALL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(n = 138)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Non-depression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(n = 68)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Depression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(n = 70)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both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</w:rPr>
              <w:t>P</w:t>
            </w:r>
            <w:r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  <w:lang w:val="en-US" w:eastAsia="zh-CN"/>
              </w:rPr>
              <w:t>-value</w:t>
            </w:r>
          </w:p>
        </w:tc>
      </w:tr>
      <w:tr w14:paraId="37C7D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tblHeader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1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</w:rPr>
            </w:pPr>
          </w:p>
        </w:tc>
      </w:tr>
      <w:tr w14:paraId="37C7D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Age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（岁;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64.00 (55.50, 71.75)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61.50 (57.00, 72.00)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65.50 (55.00, 69.75)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2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0.956</w:t>
            </w:r>
          </w:p>
        </w:tc>
      </w:tr>
      <w:tr w14:paraId="37C7D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Male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  <w:lang w:eastAsia="zh-CN"/>
              </w:rPr>
              <w:t>n,%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97 (70.29)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47 (69.12)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50 (71.43)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0.766</w:t>
            </w:r>
          </w:p>
        </w:tc>
      </w:tr>
      <w:tr w14:paraId="37C7D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BMI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(kg/m2;</w:t>
            </w:r>
            <m:oMath>
              <m:acc>
                <m:accPr>
                  <m:chr m:val="̅"/>
                  <m:ctrlPr>
                    <w:rPr>
                      <w:rFonts w:hint="default" w:ascii="Cambria Math" w:hAnsi="Cambria Math" w:cs="Times New Roman" w:eastAsiaTheme="minorEastAsia"/>
                      <w:i/>
                      <w:color w:val="000000"/>
                      <w:sz w:val="15"/>
                      <w:szCs w:val="15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hint="default" w:ascii="Times New Roman" w:hAnsi="Times New Roman" w:cs="Times New Roman" w:eastAsiaTheme="minorEastAsia"/>
                      <w:i/>
                      <w:color w:val="000000"/>
                      <w:sz w:val="15"/>
                      <w:szCs w:val="15"/>
                      <w:lang w:eastAsia="zh-CN"/>
                    </w:rPr>
                    <m:t>x</m:t>
                  </m:r>
                  <m:ctrlPr>
                    <w:rPr>
                      <w:rFonts w:hint="default" w:ascii="Cambria Math" w:hAnsi="Cambria Math" w:cs="Times New Roman" w:eastAsiaTheme="minorEastAsia"/>
                      <w:i/>
                      <w:color w:val="000000"/>
                      <w:sz w:val="15"/>
                      <w:szCs w:val="15"/>
                    </w:rPr>
                  </m:ctrlPr>
                </m:e>
              </m:acc>
            </m:oMath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±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25.11 ± 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24.74 ± 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25.46 ± 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0.208</w:t>
            </w:r>
          </w:p>
        </w:tc>
      </w:tr>
      <w:tr w14:paraId="37C7D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Insomnia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n,%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3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68 (49.28)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19 (27.94)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49 (70.00)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&lt;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.0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01</w:t>
            </w:r>
          </w:p>
        </w:tc>
      </w:tr>
      <w:tr w14:paraId="37C7D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SBP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(mmHg;</w:t>
            </w:r>
            <m:oMath>
              <m:acc>
                <m:accPr>
                  <m:chr m:val="̅"/>
                  <m:ctrlPr>
                    <w:rPr>
                      <w:rFonts w:hint="default" w:ascii="Cambria Math" w:hAnsi="Cambria Math" w:cs="Times New Roman" w:eastAsiaTheme="minorEastAsia"/>
                      <w:i/>
                      <w:color w:val="000000"/>
                      <w:sz w:val="15"/>
                      <w:szCs w:val="15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hint="default" w:ascii="Times New Roman" w:hAnsi="Times New Roman" w:cs="Times New Roman" w:eastAsiaTheme="minorEastAsia"/>
                      <w:i/>
                      <w:color w:val="000000"/>
                      <w:sz w:val="15"/>
                      <w:szCs w:val="15"/>
                      <w:lang w:eastAsia="zh-CN"/>
                    </w:rPr>
                    <m:t>x</m:t>
                  </m:r>
                  <m:ctrlPr>
                    <w:rPr>
                      <w:rFonts w:hint="default" w:ascii="Cambria Math" w:hAnsi="Cambria Math" w:cs="Times New Roman" w:eastAsiaTheme="minorEastAsia"/>
                      <w:i/>
                      <w:color w:val="000000"/>
                      <w:sz w:val="15"/>
                      <w:szCs w:val="15"/>
                    </w:rPr>
                  </m:ctrlPr>
                </m:e>
              </m:acc>
            </m:oMath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±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149.01 ± 20.93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148.75 ± 22.34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149.27 ± 19.63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0.884</w:t>
            </w:r>
          </w:p>
        </w:tc>
      </w:tr>
      <w:tr w14:paraId="37C7D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DBP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(mmHg;</w:t>
            </w:r>
            <m:oMath>
              <m:acc>
                <m:accPr>
                  <m:chr m:val="̅"/>
                  <m:ctrlPr>
                    <w:rPr>
                      <w:rFonts w:hint="default" w:ascii="Cambria Math" w:hAnsi="Cambria Math" w:cs="Times New Roman" w:eastAsiaTheme="minorEastAsia"/>
                      <w:i/>
                      <w:color w:val="000000"/>
                      <w:sz w:val="15"/>
                      <w:szCs w:val="15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hint="default" w:ascii="Times New Roman" w:hAnsi="Times New Roman" w:cs="Times New Roman" w:eastAsiaTheme="minorEastAsia"/>
                      <w:i/>
                      <w:color w:val="000000"/>
                      <w:sz w:val="15"/>
                      <w:szCs w:val="15"/>
                      <w:lang w:eastAsia="zh-CN"/>
                    </w:rPr>
                    <m:t>x</m:t>
                  </m:r>
                  <m:ctrlPr>
                    <w:rPr>
                      <w:rFonts w:hint="default" w:ascii="Cambria Math" w:hAnsi="Cambria Math" w:cs="Times New Roman" w:eastAsiaTheme="minorEastAsia"/>
                      <w:i/>
                      <w:color w:val="000000"/>
                      <w:sz w:val="15"/>
                      <w:szCs w:val="15"/>
                    </w:rPr>
                  </m:ctrlPr>
                </m:e>
              </m:acc>
            </m:oMath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±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87.08 ± 13.48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87.13 ± 13.58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4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87.03 ± 13.47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0.964</w:t>
            </w:r>
          </w:p>
        </w:tc>
      </w:tr>
      <w:tr w14:paraId="37C7D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Vascular risk factors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  <w:lang w:eastAsia="zh-CN"/>
              </w:rPr>
              <w:t>n,%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HBP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98 (71.01)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47 (69.12)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51 (72.86)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5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0.628</w:t>
            </w:r>
          </w:p>
        </w:tc>
      </w:tr>
      <w:tr w14:paraId="37C7D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49 (35.51)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23 (33.82)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26 (37.14)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0.684</w:t>
            </w:r>
          </w:p>
        </w:tc>
      </w:tr>
      <w:tr w14:paraId="37C7D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CHD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 (5.07)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 (2.94)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 (7.14)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0.461</w:t>
            </w:r>
          </w:p>
        </w:tc>
      </w:tr>
      <w:tr w14:paraId="37C7D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6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 (1.45)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 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 (2.86)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0.496</w:t>
            </w:r>
          </w:p>
        </w:tc>
      </w:tr>
      <w:tr w14:paraId="37C7D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9 (6.52)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 (2.94)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 (10.00)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0.182</w:t>
            </w:r>
          </w:p>
        </w:tc>
      </w:tr>
      <w:tr w14:paraId="37C7D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Smoke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60 (43.48)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7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27 (39.71)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33 (47.14)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0.378</w:t>
            </w:r>
          </w:p>
        </w:tc>
      </w:tr>
      <w:tr w14:paraId="37C7D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 xml:space="preserve">    Drink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48 (34.78)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23 (33.82)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25 (35.71)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0.816</w:t>
            </w:r>
          </w:p>
        </w:tc>
      </w:tr>
      <w:tr w14:paraId="37C7D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AHI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次/h;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</w:rPr>
              <w:t>M, 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18.15 (11.70, 28.82)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15.15 (11.20, 23.30)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21.65 (13.67, 33.65)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8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0.011</w:t>
            </w:r>
          </w:p>
        </w:tc>
      </w:tr>
      <w:tr w14:paraId="37C7D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OSA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 xml:space="preserve"> Severity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  <w:lang w:eastAsia="zh-CN"/>
              </w:rPr>
              <w:t>n,%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0.016</w:t>
            </w:r>
          </w:p>
        </w:tc>
      </w:tr>
      <w:tr w14:paraId="37C7D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AHI&lt;15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 xml:space="preserve"> times per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our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 xml:space="preserve">Non or Mild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OSA)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55 (39.86)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34 (50.00)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21 (30.00)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9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AHI≥15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 xml:space="preserve"> times per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our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(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 xml:space="preserve">Moderate to severe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OSA)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83 (60.14)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34 (50.00)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49 (70.00)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Min-Oxygen saturation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i/>
                <w:color w:val="000000"/>
                <w:sz w:val="15"/>
                <w:szCs w:val="15"/>
                <w:lang w:eastAsia="zh-CN"/>
              </w:rPr>
              <w:t>%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77.00 (64.00, 83.00)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78.00 (70.75, 84.00)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72.50 (60.25, 82.00)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0.042</w:t>
            </w:r>
          </w:p>
        </w:tc>
      </w:tr>
      <w:tr w14:paraId="37C7D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Stroke Severity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score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,IQR)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A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NIHSS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3.00 (2.00, 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3.00 (2.00, 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3.00 (2.00, 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0.122</w:t>
            </w:r>
          </w:p>
        </w:tc>
      </w:tr>
      <w:tr w14:paraId="37C7D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mRS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2.00 (1.00, 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2.00 (1.00, 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B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2.00 (1.00, 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0.148</w:t>
            </w:r>
          </w:p>
        </w:tc>
      </w:tr>
      <w:tr w14:paraId="37C7D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Laboratory tests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b/>
                <w:color w:val="FF0000"/>
                <w:sz w:val="15"/>
                <w:szCs w:val="15"/>
              </w:rPr>
            </w:pPr>
          </w:p>
        </w:tc>
      </w:tr>
      <w:tr w14:paraId="37C7D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TG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1.48 (1.07, 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1.40 (1.02, 1.95)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1.58 (1.14, 2.23)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C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0.031</w:t>
            </w:r>
          </w:p>
        </w:tc>
      </w:tr>
      <w:tr w14:paraId="37C7D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TC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4.63 (3.81, 5.44)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4.67 (3.44, 5.49)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4.57 (4.02, 5.40)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0.291</w:t>
            </w:r>
          </w:p>
        </w:tc>
      </w:tr>
      <w:tr w14:paraId="37C7D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HDLC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1.15 (0.94, 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1.14 (0.92, 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1.15 (1.02, 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0.870</w:t>
            </w:r>
          </w:p>
        </w:tc>
      </w:tr>
      <w:tr w14:paraId="37C7D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D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LDLC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2.93 (2.40, 3.61)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2.77 (2.30, 3.56)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2.98 (2.43, 3.62)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0.252</w:t>
            </w:r>
          </w:p>
        </w:tc>
      </w:tr>
      <w:tr w14:paraId="37C7D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VLDLC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0.29 (0.21, 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0.28 (0.20, 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0.32 (0.23, 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0.026</w:t>
            </w:r>
          </w:p>
        </w:tc>
      </w:tr>
      <w:tr w14:paraId="37C7D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FBG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(mmol/L;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5.88 (5.06, 7.41)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E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5.54 (5.00, 6.74)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6.16 (5.34, 7.46)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0.025</w:t>
            </w:r>
          </w:p>
        </w:tc>
      </w:tr>
      <w:tr w14:paraId="37C7D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HbA1c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(%;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6.30 (5.70, 7.60)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6.20 (5.65, 7.45)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6.50 (5.70, 7.60)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0.367</w:t>
            </w:r>
          </w:p>
        </w:tc>
      </w:tr>
      <w:tr w14:paraId="37C7D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UA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(umol/L;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334.00 (284.60, 379.10)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303.20 (263.65, 366.30)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350.00 (300.92, 389.35)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3F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0.005</w:t>
            </w:r>
          </w:p>
        </w:tc>
      </w:tr>
      <w:tr w14:paraId="37C7D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CRP(mg/L;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1.79 (0.72, 4.31)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1.36 (0.57, 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2.36 (0.86, 5.10)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0.040</w:t>
            </w:r>
          </w:p>
        </w:tc>
      </w:tr>
      <w:tr w14:paraId="37C7D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HCY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(umol/L;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15"/>
                <w:szCs w:val="15"/>
                <w:lang w:eastAsia="zh-CN"/>
              </w:rPr>
              <w:t>M,IQR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11.27 (9.20, 14.01)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11.07 (9.05, 14.23)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11.30 (9.34, 13.63)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0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0.654</w:t>
            </w:r>
          </w:p>
        </w:tc>
      </w:tr>
      <w:tr w14:paraId="37C7D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Treatment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iCs/>
                <w:color w:val="000000"/>
                <w:sz w:val="15"/>
                <w:szCs w:val="15"/>
                <w:lang w:eastAsia="zh-CN"/>
              </w:rPr>
              <w:t>n,%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</w:p>
        </w:tc>
      </w:tr>
      <w:tr w14:paraId="37C7D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  <w:t xml:space="preserve">    Antiplatelet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135 (97.83)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66 (97.06)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69 (98.57)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0.980</w:t>
            </w:r>
          </w:p>
        </w:tc>
      </w:tr>
      <w:tr w14:paraId="37C7D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  <w:t>Statin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1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137 (99.28)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67 (98.53)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70 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0.493</w:t>
            </w:r>
          </w:p>
        </w:tc>
      </w:tr>
      <w:tr w14:paraId="37C7D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  <w:t>Anticoagulant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15 (10.87)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 (8.82)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9 (12.86)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0.447</w:t>
            </w:r>
          </w:p>
        </w:tc>
      </w:tr>
      <w:tr w14:paraId="45D25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517A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  <w:t>Antihypertensive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1EB3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82 (59.42)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97EA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42 (61.76)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0C43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40 (57.14)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4DF1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380B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0.580</w:t>
            </w:r>
          </w:p>
        </w:tc>
      </w:tr>
      <w:tr w14:paraId="37C7D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 w:bidi="ar-SA"/>
              </w:rPr>
              <w:t>Hypoglycemic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51 (36.96)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21 (30.88)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2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30 (42.86)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leftChars="0" w:right="40" w:rightChar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en-US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0.145</w:t>
            </w:r>
          </w:p>
        </w:tc>
      </w:tr>
      <w:tr w14:paraId="37C7D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TOAST Clasification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0.369</w:t>
            </w:r>
          </w:p>
        </w:tc>
      </w:tr>
      <w:tr w14:paraId="37C7D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LAA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53 (38.41)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22 (32.35)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31 (44.29)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3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SVO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62 (44.93)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34 (50.00)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28 (40.00)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 (1.45)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0 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2 (2.86)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4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7 (5.07)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4 (5.88)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3 (4.29)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firstLine="150" w:firstLineChars="100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SUE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14 (10.14)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8 (11.76)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  <w:t>6 (8.57)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</w:rPr>
            </w:pPr>
          </w:p>
        </w:tc>
      </w:tr>
      <w:tr w14:paraId="37C7D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6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7D45D">
            <w:pP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 xml:space="preserve"> BMI:Body Mass Index；AHI：apnea-hypopnea index；CRP：C-reactive protein；IQR：Interquartile Range；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15"/>
                <w:szCs w:val="15"/>
                <w:lang w:eastAsia="zh-CN"/>
              </w:rPr>
              <w:t>：Median；mRS：Modified Rankin Scale；NIHSS：National Institute of Health Stroke Scale；OSA：obstructive sleep apnea；</w:t>
            </w:r>
          </w:p>
        </w:tc>
      </w:tr>
      <w:bookmarkEnd w:id="0"/>
      <w:bookmarkEnd w:id="1"/>
    </w:tbl>
    <w:p w14:paraId="4E05DDE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 w14:paraId="5AF0EAC6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 2</w:t>
      </w:r>
      <w:r>
        <w:rPr>
          <w:rFonts w:hint="default" w:ascii="Times New Roman" w:hAnsi="Times New Roman" w:cs="Times New Roman"/>
          <w:lang w:val="en-US" w:eastAsia="zh-CN"/>
        </w:rPr>
        <w:t xml:space="preserve"> Multiple Logistic Analysis Results for Patients with AIS（AHI as a continuous variable）</w:t>
      </w:r>
    </w:p>
    <w:tbl>
      <w:tblPr>
        <w:tblStyle w:val="20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553"/>
        <w:gridCol w:w="553"/>
        <w:gridCol w:w="553"/>
        <w:gridCol w:w="568"/>
        <w:gridCol w:w="2014"/>
      </w:tblGrid>
      <w:tr w14:paraId="7360A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8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B0BF3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right="0" w:firstLine="0" w:firstLineChars="0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Variables</w:t>
            </w:r>
          </w:p>
        </w:tc>
        <w:tc>
          <w:tcPr>
            <w:tcW w:w="55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3825B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β</w:t>
            </w:r>
          </w:p>
        </w:tc>
        <w:tc>
          <w:tcPr>
            <w:tcW w:w="55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EE431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S.E</w:t>
            </w:r>
          </w:p>
        </w:tc>
        <w:tc>
          <w:tcPr>
            <w:tcW w:w="55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AD75E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</w:t>
            </w:r>
          </w:p>
        </w:tc>
        <w:tc>
          <w:tcPr>
            <w:tcW w:w="56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E1037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/>
                <w:color w:val="000000"/>
                <w:sz w:val="21"/>
                <w:szCs w:val="21"/>
                <w:u w:val="none"/>
              </w:rPr>
              <w:t>P</w:t>
            </w:r>
          </w:p>
        </w:tc>
        <w:tc>
          <w:tcPr>
            <w:tcW w:w="201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BC03A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OR (95%CI)</w:t>
            </w:r>
          </w:p>
        </w:tc>
      </w:tr>
      <w:tr w14:paraId="6DA32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8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BDDCD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right="0" w:firstLine="0" w:firstLineChars="0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AA950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5B58F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D299A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24F68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F6D43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right="4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FA6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6FDDE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leftChars="0" w:right="0" w:rightChars="0" w:firstLine="0" w:firstLineChars="0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Insomnia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273E9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5EEB5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31DA8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76CEB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6C2B2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C17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722B1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40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32631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082E9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8153B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CE276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EB09B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1.000 (Reference)</w:t>
            </w:r>
          </w:p>
        </w:tc>
      </w:tr>
      <w:tr w14:paraId="1FE2E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1DBDC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40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Yes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FD068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1.873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7C13D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0.407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A9162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4.603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B4EC8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&lt;.001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D205C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6.507 (2.931 ~ 14.447)</w:t>
            </w:r>
          </w:p>
        </w:tc>
      </w:tr>
      <w:tr w14:paraId="4BAA5ED5">
        <w:trPr>
          <w:trHeight w:val="0" w:hRule="atLeast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9EC4B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leftChars="0" w:right="0" w:rightChars="0" w:firstLine="0" w:firstLineChars="0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AHI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FB248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0.038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A01BE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0.016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6661E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2.416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A74CB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0.016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68F8F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1.039 (1.007 ~ 1.072)</w:t>
            </w:r>
          </w:p>
        </w:tc>
      </w:tr>
      <w:tr w14:paraId="587E8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A0B44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ind w:left="0" w:leftChars="0" w:right="0" w:rightChars="0" w:firstLine="0" w:firstLineChars="0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UA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C41C7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0.006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A745D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0.003</w:t>
            </w: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4024A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2.211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3C84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0.027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5802E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0" w:after="40" w:line="0" w:lineRule="atLeast"/>
              <w:ind w:left="40" w:leftChars="0" w:right="40" w:rightChars="0" w:firstLine="0" w:firstLineChars="0"/>
              <w:jc w:val="center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1.006 (1.001 ~ 1.011)</w:t>
            </w:r>
          </w:p>
        </w:tc>
      </w:tr>
      <w:tr w14:paraId="3BE10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61" w:type="dxa"/>
            <w:gridSpan w:val="6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20897">
            <w:pPr>
              <w:keepNext w:val="0"/>
              <w:keepLines w:val="0"/>
              <w:pageBreakBefore w:val="0"/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after="100" w:line="0" w:lineRule="atLeast"/>
              <w:ind w:left="100" w:right="100" w:firstLine="0" w:firstLineChars="0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OR: Odds Ratio, CI: Confidence Interval</w:t>
            </w:r>
          </w:p>
        </w:tc>
      </w:tr>
    </w:tbl>
    <w:p w14:paraId="69460A9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 w14:paraId="2991DC1F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 3</w:t>
      </w:r>
      <w:r>
        <w:rPr>
          <w:rFonts w:hint="default" w:ascii="Times New Roman" w:hAnsi="Times New Roman" w:cs="Times New Roman"/>
          <w:lang w:val="en-US" w:eastAsia="zh-CN"/>
        </w:rPr>
        <w:t xml:space="preserve"> Multiple Logistic Analysis Results for Patients with AIS（AHI as a categorical variable）</w:t>
      </w:r>
    </w:p>
    <w:tbl>
      <w:tblPr>
        <w:tblStyle w:val="20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553"/>
        <w:gridCol w:w="553"/>
        <w:gridCol w:w="553"/>
        <w:gridCol w:w="591"/>
        <w:gridCol w:w="2014"/>
      </w:tblGrid>
      <w:tr w14:paraId="5C729774">
        <w:trPr>
          <w:trHeight w:val="0" w:hRule="atLeast"/>
          <w:tblHeader/>
          <w:jc w:val="center"/>
        </w:trPr>
        <w:tc>
          <w:tcPr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65B2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Variables</w:t>
            </w:r>
          </w:p>
        </w:tc>
        <w:tc>
          <w:tcPr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C592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β</w:t>
            </w:r>
          </w:p>
        </w:tc>
        <w:tc>
          <w:tcPr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BC33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S.E</w:t>
            </w:r>
          </w:p>
        </w:tc>
        <w:tc>
          <w:tcPr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EA61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Z</w:t>
            </w:r>
          </w:p>
        </w:tc>
        <w:tc>
          <w:tcPr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9A46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/>
                <w:color w:val="000000"/>
                <w:sz w:val="21"/>
                <w:szCs w:val="21"/>
                <w:u w:val="none"/>
              </w:rPr>
              <w:t>P</w:t>
            </w:r>
          </w:p>
        </w:tc>
        <w:tc>
          <w:tcPr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FDB8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OR (95%CI)</w:t>
            </w:r>
          </w:p>
        </w:tc>
      </w:tr>
      <w:tr w14:paraId="27B71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2D69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9C8D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8C52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8C98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90E9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/>
                <w:color w:val="000000"/>
                <w:sz w:val="21"/>
                <w:szCs w:val="21"/>
                <w:u w:val="none"/>
              </w:rPr>
            </w:pPr>
          </w:p>
        </w:tc>
        <w:tc>
          <w:tcPr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9330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C87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0EA0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Insomnia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4D28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C061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0BD2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8093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42F0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7D4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C8B4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400" w:right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5B21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5265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6869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31DE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6871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1.000 (Reference)</w:t>
            </w:r>
          </w:p>
        </w:tc>
      </w:tr>
      <w:tr w14:paraId="33182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9E8C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400" w:right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Yes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6508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1.762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2CEC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0.398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D182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4.431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2519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&lt;</w:t>
            </w: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.001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8126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5.825 (2.672 ~ 12.702)</w:t>
            </w:r>
          </w:p>
        </w:tc>
      </w:tr>
      <w:tr w14:paraId="59CC9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2965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OSASeverity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BB74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E7EB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877A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4387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7EAA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BC5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2242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Non or Mild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3313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B124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7293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7125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8BCD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1.000 (Reference)</w:t>
            </w:r>
          </w:p>
        </w:tc>
      </w:tr>
      <w:tr w14:paraId="0DBD7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DBB6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Moderate to severe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6B7E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0.810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D5C3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0.410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3A1D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1.976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2F60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0.048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24AF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2.248 (1.006 ~ 5.023)</w:t>
            </w:r>
          </w:p>
        </w:tc>
      </w:tr>
      <w:tr w14:paraId="7C530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4946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UA</w:t>
            </w:r>
          </w:p>
        </w:tc>
        <w:tc>
          <w:tcPr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CFC8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0.006</w:t>
            </w:r>
          </w:p>
        </w:tc>
        <w:tc>
          <w:tcPr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99EA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0.002</w:t>
            </w:r>
          </w:p>
        </w:tc>
        <w:tc>
          <w:tcPr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2893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2.477</w:t>
            </w:r>
          </w:p>
        </w:tc>
        <w:tc>
          <w:tcPr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F4D9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0.013</w:t>
            </w:r>
          </w:p>
        </w:tc>
        <w:tc>
          <w:tcPr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743E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1.006 (1.001 ~ 1.011)</w:t>
            </w:r>
          </w:p>
        </w:tc>
      </w:tr>
      <w:tr w14:paraId="3E940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gridSpan w:val="6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121C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OR: Odds Ratio, CI: Confidence Interval</w:t>
            </w:r>
          </w:p>
        </w:tc>
      </w:tr>
    </w:tbl>
    <w:p w14:paraId="1A65FF2D">
      <w:pPr>
        <w:pStyle w:val="12"/>
        <w:jc w:val="center"/>
        <w:rPr>
          <w:rFonts w:hint="eastAsia" w:eastAsia="黑体"/>
          <w:lang w:val="en-US" w:eastAsia="zh-CN"/>
        </w:rPr>
      </w:pPr>
    </w:p>
    <w:p w14:paraId="35AFE0E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tbl>
      <w:tblPr>
        <w:tblStyle w:val="20"/>
        <w:tblpPr w:leftFromText="180" w:rightFromText="180" w:vertAnchor="page" w:horzAnchor="page" w:tblpX="748" w:tblpY="1456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868"/>
        <w:gridCol w:w="1790"/>
        <w:gridCol w:w="1897"/>
        <w:gridCol w:w="1897"/>
        <w:gridCol w:w="1897"/>
        <w:gridCol w:w="1897"/>
        <w:gridCol w:w="693"/>
      </w:tblGrid>
      <w:tr w14:paraId="08C8B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F0567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bookmarkStart w:id="2" w:name="混淆矩阵"/>
            <w:bookmarkStart w:id="3" w:name="table1混淆矩阵训练集"/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/>
                <w:sz w:val="24"/>
                <w:szCs w:val="24"/>
                <w:lang w:val="en-US" w:eastAsia="zh-CN" w:bidi="ar-SA"/>
              </w:rPr>
              <w:t>Table</w:t>
            </w: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/>
                <w:sz w:val="24"/>
                <w:szCs w:val="24"/>
                <w:lang w:val="en-US" w:eastAsia="zh-CN" w:bidi="ar-SA"/>
              </w:rPr>
              <w:t xml:space="preserve"> 4</w:t>
            </w:r>
            <w:r>
              <w:rPr>
                <w:rFonts w:hint="default" w:ascii="Times New Roman" w:hAnsi="Times New Roman" w:eastAsia="黑体" w:cs="Times New Roman"/>
                <w:i w:val="0"/>
                <w:iCs/>
                <w:sz w:val="24"/>
                <w:szCs w:val="24"/>
                <w:lang w:val="en-US" w:eastAsia="zh-CN" w:bidi="ar-SA"/>
              </w:rPr>
              <w:t xml:space="preserve"> Early depression risk factors in AIS patients and the ROC curve analysis results of the nomogram model</w:t>
            </w:r>
          </w:p>
        </w:tc>
      </w:tr>
      <w:tr w14:paraId="65E35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tblHeader/>
        </w:trPr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73D4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Variables</w:t>
            </w:r>
          </w:p>
        </w:tc>
        <w:tc>
          <w:tcPr>
            <w:tcW w:w="18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653F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AUC (95%CI)</w:t>
            </w:r>
          </w:p>
        </w:tc>
        <w:tc>
          <w:tcPr>
            <w:tcW w:w="179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172C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Accuracy (95%CI)</w:t>
            </w:r>
          </w:p>
        </w:tc>
        <w:tc>
          <w:tcPr>
            <w:tcW w:w="189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AECB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Sensitivity (95%CI)</w:t>
            </w:r>
          </w:p>
        </w:tc>
        <w:tc>
          <w:tcPr>
            <w:tcW w:w="189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B5F6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Specificity (95%CI)</w:t>
            </w:r>
          </w:p>
        </w:tc>
        <w:tc>
          <w:tcPr>
            <w:tcW w:w="189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E888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PPV (95%CI)</w:t>
            </w:r>
          </w:p>
        </w:tc>
        <w:tc>
          <w:tcPr>
            <w:tcW w:w="189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DB43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NPV (95%CI)</w:t>
            </w:r>
          </w:p>
        </w:tc>
        <w:tc>
          <w:tcPr>
            <w:tcW w:w="69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0CA2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cut off</w:t>
            </w:r>
          </w:p>
        </w:tc>
      </w:tr>
      <w:tr w14:paraId="5C955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C49F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Continuous AHI mode</w:t>
            </w:r>
            <w:r>
              <w:rPr>
                <w:rFonts w:ascii="Times New Roman" w:hAnsi="Times New Roman" w:eastAsia="宋体" w:cs="Times New Roman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2437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0.784 (0.704-0.863)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E975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0.759 (0.679-0.828)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0F59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0.761 (0.659 - 0.863)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E36B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0.757 (0.657 - 0.858)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9B44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0.750 (0.647 - 0.853)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0597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0.768 (0.669 - 0.868)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3361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0.592</w:t>
            </w:r>
          </w:p>
        </w:tc>
      </w:tr>
      <w:tr w14:paraId="244A2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A8FA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Categorical AHI mode</w:t>
            </w:r>
            <w:r>
              <w:rPr>
                <w:rFonts w:ascii="Times New Roman" w:hAnsi="Times New Roman" w:eastAsia="宋体" w:cs="Times New Roman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281B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0.776 (0.695-0.858)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D433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0.766 (0.687-0.834)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E14B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0.761 (0.659 - 0.863)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0AC4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0.771 (0.673 - 0.870)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A61D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0.761 (0.659 - 0.863)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B10C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0.771 (0.673 - 0.870)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CB12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0.525</w:t>
            </w:r>
          </w:p>
        </w:tc>
      </w:tr>
      <w:tr w14:paraId="663D8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E31C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Insomnia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074D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0.710 (0.634-0.787)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DA7B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0.710 (0.627-0.784)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8DD6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0.721 (0.614 - 0.827)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E8C6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0.700 (0.593 - 0.807)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5FCA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0.700 (0.593 - 0.807)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D044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0.721 (0.614 - 0.827)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7D4E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0.5</w:t>
            </w:r>
          </w:p>
        </w:tc>
      </w:tr>
      <w:tr w14:paraId="1A04F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DAFD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FB4B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0.638 (0.546-0.731)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C7FFF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0.628 (0.541-0.709)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4B95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0.522 (0.403 - 0.642)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6914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0.729 (0.624 - 0.833)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563B6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0.648 (0.521 - 0.776)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C9078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0.614 (0.510 - 0.719)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6DAA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304.7</w:t>
            </w:r>
          </w:p>
        </w:tc>
      </w:tr>
      <w:tr w14:paraId="198F9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B3B2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AHI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2F23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0.625 (0.531-0.719)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2D37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0.630 (0.544-0.711)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6C38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0.559 (0.441 - 0.677)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16A0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0.700 (0.593 - 0.807)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989E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0.644 (0.522 - 0.766)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C4FD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0.620 (0.513 - 0.727)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F8E5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1"/>
                <w:szCs w:val="21"/>
                <w:u w:val="none"/>
              </w:rPr>
              <w:t>16.25</w:t>
            </w:r>
          </w:p>
        </w:tc>
      </w:tr>
      <w:bookmarkEnd w:id="2"/>
      <w:bookmarkEnd w:id="3"/>
    </w:tbl>
    <w:p w14:paraId="128B2FA9">
      <w:pPr>
        <w:rPr>
          <w:rFonts w:hint="eastAsia"/>
          <w:lang w:eastAsia="zh-CN"/>
        </w:rPr>
      </w:pPr>
    </w:p>
    <w:sectPr>
      <w:footerReference r:id="rId4" w:type="default"/>
      <w:footerReference r:id="rId5" w:type="even"/>
      <w:type w:val="continuous"/>
      <w:pgSz w:w="12240" w:h="15840"/>
      <w:pgMar w:top="1417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86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7D465">
    <w:pPr>
      <w:pStyle w:val="1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342282442"/>
    </w:sdtPr>
    <w:sdtEndPr>
      <w:rPr>
        <w:rStyle w:val="22"/>
      </w:rPr>
    </w:sdtEndPr>
    <w:sdtContent>
      <w:p w14:paraId="37C7D462"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 w14:paraId="37C7D463">
    <w:pPr>
      <w:pStyle w:val="1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91783"/>
    <w:multiLevelType w:val="multilevel"/>
    <w:tmpl w:val="78191783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4"/>
      <w:lvlText w:val="%1.%2."/>
      <w:lvlJc w:val="left"/>
      <w:pPr>
        <w:ind w:left="792" w:hanging="432"/>
      </w:pPr>
    </w:lvl>
    <w:lvl w:ilvl="2" w:tentative="0">
      <w:start w:val="1"/>
      <w:numFmt w:val="decimal"/>
      <w:pStyle w:val="5"/>
      <w:lvlText w:val="%1.%2.%3."/>
      <w:lvlJc w:val="left"/>
      <w:pPr>
        <w:ind w:left="1224" w:hanging="504"/>
      </w:pPr>
    </w:lvl>
    <w:lvl w:ilvl="3" w:tentative="0">
      <w:start w:val="1"/>
      <w:numFmt w:val="decimal"/>
      <w:pStyle w:val="6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7"/>
      <w:lvlText w:val="%1.%2.%3.%4.%5."/>
      <w:lvlJc w:val="left"/>
      <w:pPr>
        <w:ind w:left="2232" w:hanging="792"/>
      </w:pPr>
    </w:lvl>
    <w:lvl w:ilvl="5" w:tentative="0">
      <w:start w:val="1"/>
      <w:numFmt w:val="decimal"/>
      <w:pStyle w:val="8"/>
      <w:lvlText w:val="%1.%2.%3.%4.%5.%6."/>
      <w:lvlJc w:val="left"/>
      <w:pPr>
        <w:ind w:left="2736" w:hanging="936"/>
      </w:pPr>
    </w:lvl>
    <w:lvl w:ilvl="6" w:tentative="0">
      <w:start w:val="1"/>
      <w:numFmt w:val="decimal"/>
      <w:pStyle w:val="9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pStyle w:val="10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pStyle w:val="11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5DD"/>
    <w:rsid w:val="001962CB"/>
    <w:rsid w:val="00360854"/>
    <w:rsid w:val="00414082"/>
    <w:rsid w:val="004F3B21"/>
    <w:rsid w:val="005335DD"/>
    <w:rsid w:val="005C65EE"/>
    <w:rsid w:val="006055CE"/>
    <w:rsid w:val="00735578"/>
    <w:rsid w:val="00866A4E"/>
    <w:rsid w:val="008B5284"/>
    <w:rsid w:val="009F0170"/>
    <w:rsid w:val="00B45B02"/>
    <w:rsid w:val="00C114D1"/>
    <w:rsid w:val="00DA15E1"/>
    <w:rsid w:val="00F371F3"/>
    <w:rsid w:val="09D00198"/>
    <w:rsid w:val="0C7354E7"/>
    <w:rsid w:val="0C7630A1"/>
    <w:rsid w:val="0EFD148A"/>
    <w:rsid w:val="0F16079E"/>
    <w:rsid w:val="146645E1"/>
    <w:rsid w:val="15244D8C"/>
    <w:rsid w:val="19BC1F42"/>
    <w:rsid w:val="1CDA2FE3"/>
    <w:rsid w:val="1D197F5B"/>
    <w:rsid w:val="1D835251"/>
    <w:rsid w:val="1E25455A"/>
    <w:rsid w:val="1FDB4DB4"/>
    <w:rsid w:val="231F5A1C"/>
    <w:rsid w:val="248D4C07"/>
    <w:rsid w:val="27082C6B"/>
    <w:rsid w:val="28B8612A"/>
    <w:rsid w:val="29EA322F"/>
    <w:rsid w:val="2E821554"/>
    <w:rsid w:val="300617B7"/>
    <w:rsid w:val="32FE7465"/>
    <w:rsid w:val="3437693D"/>
    <w:rsid w:val="349519A4"/>
    <w:rsid w:val="37230486"/>
    <w:rsid w:val="37670DC1"/>
    <w:rsid w:val="3B800EA0"/>
    <w:rsid w:val="3BD90083"/>
    <w:rsid w:val="442E38B9"/>
    <w:rsid w:val="46A936CA"/>
    <w:rsid w:val="47AD5FEC"/>
    <w:rsid w:val="47DE55F6"/>
    <w:rsid w:val="49303C2F"/>
    <w:rsid w:val="49437E06"/>
    <w:rsid w:val="49E60B4D"/>
    <w:rsid w:val="4A192FB5"/>
    <w:rsid w:val="4ADD02BC"/>
    <w:rsid w:val="4DCF00EA"/>
    <w:rsid w:val="50CC7553"/>
    <w:rsid w:val="53D53D51"/>
    <w:rsid w:val="565D552A"/>
    <w:rsid w:val="58793AE1"/>
    <w:rsid w:val="58A12453"/>
    <w:rsid w:val="5B1977F9"/>
    <w:rsid w:val="5EF50DCA"/>
    <w:rsid w:val="61774E1C"/>
    <w:rsid w:val="64F90675"/>
    <w:rsid w:val="667E4699"/>
    <w:rsid w:val="704640D8"/>
    <w:rsid w:val="707D50FC"/>
    <w:rsid w:val="7996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qFormat="1"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hAnsiTheme="majorHAnsi" w:eastAsiaTheme="majorEastAsia"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80"/>
    <w:qFormat/>
    <w:uiPriority w:val="0"/>
    <w:pPr>
      <w:spacing w:before="180" w:after="180"/>
    </w:pPr>
  </w:style>
  <w:style w:type="paragraph" w:styleId="12">
    <w:name w:val="caption"/>
    <w:basedOn w:val="1"/>
    <w:next w:val="1"/>
    <w:link w:val="77"/>
    <w:qFormat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81"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16">
    <w:name w:val="header"/>
    <w:basedOn w:val="1"/>
    <w:link w:val="82"/>
    <w:unhideWhenUsed/>
    <w:qFormat/>
    <w:uiPriority w:val="0"/>
    <w:pPr>
      <w:tabs>
        <w:tab w:val="center" w:pos="4536"/>
        <w:tab w:val="right" w:pos="9072"/>
      </w:tabs>
      <w:spacing w:after="0"/>
    </w:pPr>
  </w:style>
  <w:style w:type="paragraph" w:styleId="17">
    <w:name w:val="Subtitle"/>
    <w:basedOn w:val="18"/>
    <w:next w:val="3"/>
    <w:qFormat/>
    <w:uiPriority w:val="0"/>
    <w:pPr>
      <w:pBdr>
        <w:bottom w:val="none" w:color="auto" w:sz="0" w:space="0"/>
      </w:pBdr>
      <w:spacing w:before="240"/>
    </w:pPr>
    <w:rPr>
      <w:sz w:val="30"/>
      <w:szCs w:val="30"/>
    </w:rPr>
  </w:style>
  <w:style w:type="paragraph" w:styleId="18">
    <w:name w:val="Title"/>
    <w:basedOn w:val="1"/>
    <w:next w:val="3"/>
    <w:qFormat/>
    <w:uiPriority w:val="0"/>
    <w:pPr>
      <w:keepNext/>
      <w:keepLines/>
      <w:pBdr>
        <w:bottom w:val="single" w:color="auto" w:sz="4" w:space="1"/>
      </w:pBdr>
      <w:spacing w:before="480" w:after="240"/>
      <w:jc w:val="center"/>
    </w:pPr>
    <w:rPr>
      <w:rFonts w:asciiTheme="majorHAnsi" w:hAnsiTheme="majorHAnsi" w:eastAsiaTheme="majorEastAsia" w:cstheme="majorBidi"/>
      <w:b/>
      <w:bCs/>
      <w:color w:val="000000" w:themeColor="text1"/>
      <w:sz w:val="36"/>
      <w:szCs w:val="36"/>
      <w14:textFill>
        <w14:solidFill>
          <w14:schemeClr w14:val="tx1"/>
        </w14:solidFill>
      </w14:textFill>
    </w:rPr>
  </w:style>
  <w:style w:type="paragraph" w:styleId="19">
    <w:name w:val="footnote text"/>
    <w:basedOn w:val="1"/>
    <w:unhideWhenUsed/>
    <w:qFormat/>
    <w:uiPriority w:val="9"/>
  </w:style>
  <w:style w:type="character" w:styleId="22">
    <w:name w:val="page number"/>
    <w:basedOn w:val="21"/>
    <w:semiHidden/>
    <w:unhideWhenUsed/>
    <w:qFormat/>
    <w:uiPriority w:val="0"/>
  </w:style>
  <w:style w:type="character" w:styleId="23">
    <w:name w:val="Emphasis"/>
    <w:basedOn w:val="21"/>
    <w:uiPriority w:val="0"/>
    <w:rPr>
      <w:i/>
    </w:rPr>
  </w:style>
  <w:style w:type="character" w:styleId="24">
    <w:name w:val="Hyperlink"/>
    <w:basedOn w:val="25"/>
    <w:qFormat/>
    <w:uiPriority w:val="0"/>
    <w:rPr>
      <w:color w:val="C00000"/>
    </w:rPr>
  </w:style>
  <w:style w:type="character" w:customStyle="1" w:styleId="25">
    <w:name w:val="题注 字符"/>
    <w:basedOn w:val="21"/>
    <w:link w:val="12"/>
    <w:qFormat/>
    <w:uiPriority w:val="0"/>
  </w:style>
  <w:style w:type="character" w:styleId="26">
    <w:name w:val="footnote reference"/>
    <w:basedOn w:val="25"/>
    <w:qFormat/>
    <w:uiPriority w:val="0"/>
    <w:rPr>
      <w:vertAlign w:val="superscript"/>
    </w:rPr>
  </w:style>
  <w:style w:type="paragraph" w:customStyle="1" w:styleId="27">
    <w:name w:val="First Paragraph"/>
    <w:basedOn w:val="3"/>
    <w:next w:val="3"/>
    <w:qFormat/>
    <w:uiPriority w:val="0"/>
  </w:style>
  <w:style w:type="paragraph" w:customStyle="1" w:styleId="28">
    <w:name w:val="Compact"/>
    <w:basedOn w:val="3"/>
    <w:qFormat/>
    <w:uiPriority w:val="0"/>
    <w:pPr>
      <w:spacing w:before="36" w:after="36"/>
    </w:pPr>
  </w:style>
  <w:style w:type="paragraph" w:customStyle="1" w:styleId="29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30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1">
    <w:name w:val="书目1"/>
    <w:basedOn w:val="1"/>
    <w:qFormat/>
    <w:uiPriority w:val="0"/>
  </w:style>
  <w:style w:type="table" w:customStyle="1" w:styleId="32">
    <w:name w:val="Table"/>
    <w:semiHidden/>
    <w:unhideWhenUsed/>
    <w:qFormat/>
    <w:uiPriority w:val="0"/>
    <w:tblPr>
      <w:tblBorders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color="000000" w:themeColor="text1" w:sz="4" w:space="0"/>
        </w:tcBorders>
      </w:tcPr>
    </w:tblStylePr>
    <w:tblStylePr w:type="firstCol">
      <w:tcPr>
        <w:tcBorders>
          <w:right w:val="single" w:color="000000" w:themeColor="text1" w:sz="4" w:space="0"/>
        </w:tcBorders>
        <w:shd w:val="clear" w:color="auto" w:fill="auto"/>
      </w:tcPr>
    </w:tblStylePr>
    <w:tblStylePr w:type="band1Horz">
      <w:tcPr>
        <w:shd w:val="clear" w:color="auto" w:fill="EEECE1" w:themeFill="background2"/>
      </w:tcPr>
    </w:tblStylePr>
  </w:style>
  <w:style w:type="paragraph" w:customStyle="1" w:styleId="33">
    <w:name w:val="Definition Term"/>
    <w:basedOn w:val="1"/>
    <w:next w:val="34"/>
    <w:qFormat/>
    <w:uiPriority w:val="0"/>
    <w:pPr>
      <w:keepNext/>
      <w:keepLines/>
      <w:spacing w:after="0"/>
    </w:pPr>
    <w:rPr>
      <w:b/>
    </w:rPr>
  </w:style>
  <w:style w:type="paragraph" w:customStyle="1" w:styleId="34">
    <w:name w:val="Definition"/>
    <w:basedOn w:val="1"/>
    <w:qFormat/>
    <w:uiPriority w:val="0"/>
  </w:style>
  <w:style w:type="paragraph" w:customStyle="1" w:styleId="35">
    <w:name w:val="Table Caption"/>
    <w:basedOn w:val="12"/>
    <w:qFormat/>
    <w:uiPriority w:val="0"/>
    <w:pPr>
      <w:jc w:val="center"/>
    </w:pPr>
  </w:style>
  <w:style w:type="paragraph" w:customStyle="1" w:styleId="36">
    <w:name w:val="Image Caption"/>
    <w:basedOn w:val="12"/>
    <w:qFormat/>
    <w:uiPriority w:val="0"/>
    <w:pPr>
      <w:widowControl w:val="0"/>
      <w:jc w:val="center"/>
    </w:pPr>
  </w:style>
  <w:style w:type="paragraph" w:customStyle="1" w:styleId="37">
    <w:name w:val="Figure"/>
    <w:basedOn w:val="1"/>
    <w:qFormat/>
    <w:uiPriority w:val="0"/>
    <w:pPr>
      <w:keepNext/>
      <w:keepLines/>
      <w:spacing w:before="60"/>
      <w:jc w:val="center"/>
    </w:pPr>
  </w:style>
  <w:style w:type="paragraph" w:customStyle="1" w:styleId="38">
    <w:name w:val="Captioned Figure"/>
    <w:basedOn w:val="37"/>
    <w:qFormat/>
    <w:uiPriority w:val="0"/>
    <w:pPr>
      <w:keepNext w:val="0"/>
      <w:keepLines w:val="0"/>
      <w:widowControl w:val="0"/>
    </w:pPr>
  </w:style>
  <w:style w:type="character" w:customStyle="1" w:styleId="39">
    <w:name w:val="Verbatim Char"/>
    <w:basedOn w:val="25"/>
    <w:link w:val="40"/>
    <w:qFormat/>
    <w:uiPriority w:val="0"/>
    <w:rPr>
      <w:rFonts w:ascii="Consolas" w:hAnsi="Consolas"/>
      <w:color w:val="C00000"/>
      <w:sz w:val="22"/>
      <w:u w:val="none"/>
      <w:shd w:val="clear" w:color="auto" w:fill="F1F1F1" w:themeFill="background1" w:themeFillShade="F2"/>
    </w:rPr>
  </w:style>
  <w:style w:type="paragraph" w:customStyle="1" w:styleId="40">
    <w:name w:val="Source Code"/>
    <w:basedOn w:val="1"/>
    <w:link w:val="39"/>
    <w:qFormat/>
    <w:uiPriority w:val="0"/>
    <w:pPr>
      <w:shd w:val="clear" w:color="auto" w:fill="F8F8F8"/>
      <w:wordWrap w:val="0"/>
    </w:pPr>
  </w:style>
  <w:style w:type="paragraph" w:customStyle="1" w:styleId="41">
    <w:name w:val="TOC 标题1"/>
    <w:basedOn w:val="2"/>
    <w:next w:val="3"/>
    <w:unhideWhenUsed/>
    <w:qFormat/>
    <w:uiPriority w:val="39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42">
    <w:name w:val="正文文本 字符"/>
    <w:basedOn w:val="21"/>
    <w:link w:val="3"/>
    <w:qFormat/>
    <w:uiPriority w:val="0"/>
  </w:style>
  <w:style w:type="paragraph" w:styleId="43">
    <w:name w:val="List Paragraph"/>
    <w:basedOn w:val="1"/>
    <w:qFormat/>
    <w:uiPriority w:val="0"/>
    <w:pPr>
      <w:ind w:left="720"/>
      <w:contextualSpacing/>
    </w:pPr>
  </w:style>
  <w:style w:type="character" w:customStyle="1" w:styleId="44">
    <w:name w:val="页脚 字符"/>
    <w:basedOn w:val="21"/>
    <w:link w:val="15"/>
    <w:qFormat/>
    <w:uiPriority w:val="99"/>
  </w:style>
  <w:style w:type="character" w:customStyle="1" w:styleId="45">
    <w:name w:val="页眉 字符"/>
    <w:basedOn w:val="21"/>
    <w:link w:val="16"/>
    <w:qFormat/>
    <w:uiPriority w:val="0"/>
  </w:style>
  <w:style w:type="character" w:customStyle="1" w:styleId="46">
    <w:name w:val="KeywordTok"/>
    <w:basedOn w:val="39"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47">
    <w:name w:val="DataTypeTok"/>
    <w:basedOn w:val="39"/>
    <w:qFormat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48">
    <w:name w:val="DecValTok"/>
    <w:basedOn w:val="39"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9">
    <w:name w:val="BaseNTok"/>
    <w:basedOn w:val="39"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0">
    <w:name w:val="FloatTok"/>
    <w:basedOn w:val="39"/>
    <w:qFormat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1">
    <w:name w:val="ConstantTok"/>
    <w:basedOn w:val="39"/>
    <w:qFormat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52">
    <w:name w:val="CharTok"/>
    <w:basedOn w:val="39"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3">
    <w:name w:val="SpecialCharTok"/>
    <w:basedOn w:val="39"/>
    <w:qFormat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54">
    <w:name w:val="StringTok"/>
    <w:basedOn w:val="39"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5">
    <w:name w:val="VerbatimStringTok"/>
    <w:basedOn w:val="39"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6">
    <w:name w:val="SpecialStringTok"/>
    <w:basedOn w:val="39"/>
    <w:qFormat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7">
    <w:name w:val="ImportTok"/>
    <w:basedOn w:val="39"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58">
    <w:name w:val="CommentTok"/>
    <w:basedOn w:val="39"/>
    <w:qFormat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59">
    <w:name w:val="DocumentationTok"/>
    <w:basedOn w:val="39"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0">
    <w:name w:val="AnnotationTok"/>
    <w:basedOn w:val="39"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1">
    <w:name w:val="CommentVarTok"/>
    <w:basedOn w:val="39"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2">
    <w:name w:val="OtherTok"/>
    <w:basedOn w:val="39"/>
    <w:qFormat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63">
    <w:name w:val="FunctionTok"/>
    <w:basedOn w:val="39"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4">
    <w:name w:val="VariableTok"/>
    <w:basedOn w:val="39"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5">
    <w:name w:val="ControlFlowTok"/>
    <w:basedOn w:val="39"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6">
    <w:name w:val="OperatorTok"/>
    <w:basedOn w:val="39"/>
    <w:qFormat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67">
    <w:name w:val="BuiltInTok"/>
    <w:basedOn w:val="39"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8">
    <w:name w:val="ExtensionTok"/>
    <w:basedOn w:val="39"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9">
    <w:name w:val="PreprocessorTok"/>
    <w:basedOn w:val="39"/>
    <w:qFormat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70">
    <w:name w:val="AttributeTok"/>
    <w:basedOn w:val="39"/>
    <w:qFormat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71">
    <w:name w:val="RegionMarkerTok"/>
    <w:basedOn w:val="39"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2">
    <w:name w:val="InformationTok"/>
    <w:basedOn w:val="39"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3">
    <w:name w:val="WarningTok"/>
    <w:basedOn w:val="39"/>
    <w:qFormat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4">
    <w:name w:val="AlertTok"/>
    <w:basedOn w:val="39"/>
    <w:qFormat/>
    <w:uiPriority w:val="0"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75">
    <w:name w:val="ErrorTok"/>
    <w:basedOn w:val="39"/>
    <w:qFormat/>
    <w:uiPriority w:val="0"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76">
    <w:name w:val="NormalTok"/>
    <w:basedOn w:val="39"/>
    <w:qFormat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7">
    <w:name w:val="Légende Car"/>
    <w:basedOn w:val="21"/>
    <w:link w:val="12"/>
    <w:qFormat/>
    <w:uiPriority w:val="0"/>
    <w:rPr>
      <w:rFonts w:asciiTheme="minorHAnsi" w:hAnsiTheme="minorHAnsi" w:eastAsiaTheme="minorHAnsi" w:cstheme="minorBidi"/>
    </w:rPr>
  </w:style>
  <w:style w:type="paragraph" w:customStyle="1" w:styleId="78">
    <w:name w:val="Bibliography"/>
    <w:basedOn w:val="1"/>
    <w:qFormat/>
    <w:uiPriority w:val="0"/>
  </w:style>
  <w:style w:type="paragraph" w:customStyle="1" w:styleId="79">
    <w:name w:val="TOC Heading"/>
    <w:basedOn w:val="2"/>
    <w:next w:val="3"/>
    <w:unhideWhenUsed/>
    <w:qFormat/>
    <w:uiPriority w:val="39"/>
    <w:pPr>
      <w:numPr>
        <w:ilvl w:val="0"/>
        <w:numId w:val="0"/>
      </w:numPr>
      <w:spacing w:before="240" w:line="259" w:lineRule="auto"/>
      <w:jc w:val="center"/>
      <w:outlineLvl w:val="9"/>
    </w:pPr>
    <w:rPr>
      <w:b w:val="0"/>
      <w:bCs w:val="0"/>
      <w:color w:val="000000" w:themeColor="text1"/>
      <w14:textFill>
        <w14:solidFill>
          <w14:schemeClr w14:val="tx1"/>
        </w14:solidFill>
      </w14:textFill>
    </w:rPr>
  </w:style>
  <w:style w:type="character" w:customStyle="1" w:styleId="80">
    <w:name w:val="Corps de texte Car"/>
    <w:basedOn w:val="21"/>
    <w:link w:val="3"/>
    <w:qFormat/>
    <w:uiPriority w:val="0"/>
    <w:rPr>
      <w:rFonts w:asciiTheme="minorHAnsi" w:hAnsiTheme="minorHAnsi" w:eastAsiaTheme="minorHAnsi" w:cstheme="minorBidi"/>
    </w:rPr>
  </w:style>
  <w:style w:type="character" w:customStyle="1" w:styleId="81">
    <w:name w:val="Pied de page Car"/>
    <w:basedOn w:val="21"/>
    <w:link w:val="15"/>
    <w:qFormat/>
    <w:uiPriority w:val="0"/>
    <w:rPr>
      <w:rFonts w:asciiTheme="minorHAnsi" w:hAnsiTheme="minorHAnsi" w:eastAsiaTheme="minorHAnsi" w:cstheme="minorBidi"/>
    </w:rPr>
  </w:style>
  <w:style w:type="character" w:customStyle="1" w:styleId="82">
    <w:name w:val="En-tête Car"/>
    <w:basedOn w:val="21"/>
    <w:link w:val="16"/>
    <w:qFormat/>
    <w:uiPriority w:val="0"/>
    <w:rPr>
      <w:rFonts w:asciiTheme="minorHAnsi" w:hAnsiTheme="minorHAnsi" w:eastAsiaTheme="minorHAnsi" w:cstheme="minorBidi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520</Words>
  <Characters>2565</Characters>
  <Lines>19</Lines>
  <Paragraphs>5</Paragraphs>
  <TotalTime>1</TotalTime>
  <ScaleCrop>false</ScaleCrop>
  <LinksUpToDate>false</LinksUpToDate>
  <CharactersWithSpaces>2808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2025-07-08T07:45:00Z</dcterms:created>
  <dc:creator>何讯</dc:creator>
  <cp:lastModifiedBy>何讯</cp:lastModifiedBy>
  <dcterms:modified xsi:type="dcterms:W3CDTF">2025-10-31T02:29:08Z</dcterms:modified>
  <dc:title>统计分析报告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2025-07-08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TemplateDocerSaveRecord">
    <vt:lpwstr>eyJoZGlkIjoiNjc4MDQyODYxNjk5NTJkODc4NjAwNmU5MTQ1NDY4MDEiLCJ1c2VySWQiOiIzMzQxMDM1MDgifQ==</vt:lpwstr>
  </property>
  <property fmtid="{D5CDD505-2E9C-101B-9397-08002B2CF9AE}" pid="6" name="KSOProductBuildVer">
    <vt:lpwstr>2052-12.1.0.23125</vt:lpwstr>
  </property>
  <property fmtid="{D5CDD505-2E9C-101B-9397-08002B2CF9AE}" pid="7" name="ICV">
    <vt:lpwstr>3082E53CD5E246B3B0DEB042FCDFD6E0_13</vt:lpwstr>
  </property>
</Properties>
</file>