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9CB" w:rsidRPr="00B77C17" w:rsidRDefault="007419CB" w:rsidP="007419CB">
      <w:pPr>
        <w:spacing w:line="480" w:lineRule="auto"/>
        <w:jc w:val="center"/>
        <w:rPr>
          <w:rFonts w:cs="Times New Roman"/>
          <w:b/>
          <w:sz w:val="44"/>
          <w:szCs w:val="44"/>
          <w:lang w:val="en-US"/>
        </w:rPr>
      </w:pPr>
      <w:bookmarkStart w:id="0" w:name="_Ref205240849"/>
      <w:bookmarkStart w:id="1" w:name="_Ref205243465"/>
      <w:bookmarkStart w:id="2" w:name="_Toc214314319"/>
      <w:r w:rsidRPr="00B77C17">
        <w:rPr>
          <w:rFonts w:cs="Times New Roman"/>
          <w:b/>
          <w:sz w:val="44"/>
          <w:szCs w:val="44"/>
          <w:lang w:val="en-US"/>
        </w:rPr>
        <w:t>SUPPLEMENTARY INFORMATION</w:t>
      </w:r>
    </w:p>
    <w:p w:rsidR="007419CB" w:rsidRDefault="007419CB" w:rsidP="007419CB">
      <w:pPr>
        <w:spacing w:line="480" w:lineRule="auto"/>
        <w:jc w:val="center"/>
        <w:rPr>
          <w:rFonts w:cs="Times New Roman"/>
          <w:b/>
          <w:szCs w:val="24"/>
          <w:lang w:val="en-US"/>
        </w:rPr>
      </w:pPr>
      <w:r w:rsidRPr="00A44990">
        <w:rPr>
          <w:rFonts w:cs="Times New Roman"/>
          <w:b/>
          <w:szCs w:val="24"/>
          <w:lang w:val="en-US"/>
        </w:rPr>
        <w:t>Inverse Design of High-Entropy Superalloys Using Machine Learning and Generative Artificial Intelligence</w:t>
      </w:r>
    </w:p>
    <w:p w:rsidR="007419CB" w:rsidRPr="00A56D92" w:rsidRDefault="007419CB" w:rsidP="007419CB">
      <w:pPr>
        <w:spacing w:line="480" w:lineRule="auto"/>
        <w:jc w:val="center"/>
        <w:rPr>
          <w:rFonts w:cs="Times New Roman"/>
          <w:szCs w:val="24"/>
          <w:vertAlign w:val="superscript"/>
        </w:rPr>
      </w:pPr>
      <w:r w:rsidRPr="00A56D92">
        <w:rPr>
          <w:rFonts w:cs="Times New Roman"/>
          <w:szCs w:val="24"/>
        </w:rPr>
        <w:t xml:space="preserve">François </w:t>
      </w:r>
      <w:proofErr w:type="spellStart"/>
      <w:r w:rsidRPr="00A56D92">
        <w:rPr>
          <w:rFonts w:cs="Times New Roman"/>
          <w:szCs w:val="24"/>
        </w:rPr>
        <w:t>Rousseau</w:t>
      </w:r>
      <w:r w:rsidRPr="00A56D92">
        <w:rPr>
          <w:rFonts w:cs="Times New Roman"/>
          <w:szCs w:val="24"/>
          <w:vertAlign w:val="superscript"/>
        </w:rPr>
        <w:t>a</w:t>
      </w:r>
      <w:proofErr w:type="spellEnd"/>
      <w:r w:rsidRPr="00A56D92">
        <w:rPr>
          <w:rFonts w:cs="Times New Roman"/>
          <w:szCs w:val="24"/>
          <w:vertAlign w:val="superscript"/>
        </w:rPr>
        <w:t>, *</w:t>
      </w:r>
      <w:r w:rsidRPr="00A56D92">
        <w:rPr>
          <w:rFonts w:cs="Times New Roman"/>
          <w:szCs w:val="24"/>
        </w:rPr>
        <w:t xml:space="preserve">, Thierry </w:t>
      </w:r>
      <w:proofErr w:type="spellStart"/>
      <w:r w:rsidRPr="00A56D92">
        <w:rPr>
          <w:rFonts w:cs="Times New Roman"/>
          <w:szCs w:val="24"/>
        </w:rPr>
        <w:t>Belmonte</w:t>
      </w:r>
      <w:r w:rsidRPr="00A56D92">
        <w:rPr>
          <w:rFonts w:cs="Times New Roman"/>
          <w:szCs w:val="24"/>
          <w:vertAlign w:val="superscript"/>
        </w:rPr>
        <w:t>a</w:t>
      </w:r>
      <w:proofErr w:type="spellEnd"/>
      <w:r w:rsidRPr="00A56D92">
        <w:rPr>
          <w:rFonts w:cs="Times New Roman"/>
          <w:szCs w:val="24"/>
        </w:rPr>
        <w:t xml:space="preserve">, Frédéric </w:t>
      </w:r>
      <w:proofErr w:type="spellStart"/>
      <w:r w:rsidRPr="00A56D92">
        <w:rPr>
          <w:rFonts w:cs="Times New Roman"/>
          <w:szCs w:val="24"/>
        </w:rPr>
        <w:t>Sur</w:t>
      </w:r>
      <w:r w:rsidRPr="00A56D92">
        <w:rPr>
          <w:rFonts w:cs="Times New Roman"/>
          <w:szCs w:val="24"/>
          <w:vertAlign w:val="superscript"/>
        </w:rPr>
        <w:t>b</w:t>
      </w:r>
      <w:proofErr w:type="spellEnd"/>
      <w:r w:rsidRPr="00A56D92">
        <w:rPr>
          <w:rFonts w:cs="Times New Roman"/>
          <w:szCs w:val="24"/>
        </w:rPr>
        <w:t xml:space="preserve">, Alexandre </w:t>
      </w:r>
      <w:proofErr w:type="spellStart"/>
      <w:r w:rsidRPr="00A56D92">
        <w:rPr>
          <w:rFonts w:cs="Times New Roman"/>
          <w:szCs w:val="24"/>
        </w:rPr>
        <w:t>Nominé</w:t>
      </w:r>
      <w:r w:rsidRPr="00A56D92">
        <w:rPr>
          <w:rFonts w:cs="Times New Roman"/>
          <w:szCs w:val="24"/>
          <w:vertAlign w:val="superscript"/>
        </w:rPr>
        <w:t>a</w:t>
      </w:r>
      <w:proofErr w:type="spellEnd"/>
    </w:p>
    <w:p w:rsidR="007419CB" w:rsidRPr="008B0585" w:rsidRDefault="007419CB" w:rsidP="007419CB">
      <w:pPr>
        <w:spacing w:line="480" w:lineRule="auto"/>
        <w:jc w:val="center"/>
        <w:rPr>
          <w:rFonts w:cs="Times New Roman"/>
          <w:i/>
          <w:szCs w:val="24"/>
        </w:rPr>
      </w:pPr>
      <w:r w:rsidRPr="008B0585">
        <w:rPr>
          <w:rFonts w:cs="Times New Roman"/>
          <w:i/>
          <w:szCs w:val="24"/>
          <w:vertAlign w:val="superscript"/>
        </w:rPr>
        <w:t>a</w:t>
      </w:r>
      <w:r w:rsidRPr="008B0585">
        <w:rPr>
          <w:rFonts w:cs="Times New Roman"/>
          <w:i/>
          <w:szCs w:val="24"/>
        </w:rPr>
        <w:t xml:space="preserve"> Institut Jean Lamour, Université de Lorraine, Campus </w:t>
      </w:r>
      <w:proofErr w:type="spellStart"/>
      <w:r w:rsidRPr="008B0585">
        <w:rPr>
          <w:rFonts w:cs="Times New Roman"/>
          <w:i/>
          <w:szCs w:val="24"/>
        </w:rPr>
        <w:t>Artem</w:t>
      </w:r>
      <w:proofErr w:type="spellEnd"/>
      <w:r w:rsidRPr="008B0585">
        <w:rPr>
          <w:rFonts w:cs="Times New Roman"/>
          <w:i/>
          <w:szCs w:val="24"/>
        </w:rPr>
        <w:t xml:space="preserve">, 2 </w:t>
      </w:r>
      <w:proofErr w:type="gramStart"/>
      <w:r w:rsidRPr="008B0585">
        <w:rPr>
          <w:rFonts w:cs="Times New Roman"/>
          <w:i/>
          <w:szCs w:val="24"/>
        </w:rPr>
        <w:t>allée</w:t>
      </w:r>
      <w:proofErr w:type="gramEnd"/>
      <w:r w:rsidRPr="008B0585">
        <w:rPr>
          <w:rFonts w:cs="Times New Roman"/>
          <w:i/>
          <w:szCs w:val="24"/>
        </w:rPr>
        <w:t xml:space="preserve"> André </w:t>
      </w:r>
      <w:proofErr w:type="spellStart"/>
      <w:r w:rsidRPr="008B0585">
        <w:rPr>
          <w:rFonts w:cs="Times New Roman"/>
          <w:i/>
          <w:szCs w:val="24"/>
        </w:rPr>
        <w:t>Guinier</w:t>
      </w:r>
      <w:proofErr w:type="spellEnd"/>
      <w:r w:rsidRPr="008B0585">
        <w:rPr>
          <w:rFonts w:cs="Times New Roman"/>
          <w:i/>
          <w:szCs w:val="24"/>
        </w:rPr>
        <w:t>, 54011 Nancy, France</w:t>
      </w:r>
    </w:p>
    <w:p w:rsidR="007419CB" w:rsidRPr="008B0585" w:rsidRDefault="007419CB" w:rsidP="007419CB">
      <w:pPr>
        <w:spacing w:line="480" w:lineRule="auto"/>
        <w:jc w:val="center"/>
        <w:rPr>
          <w:rFonts w:cs="Times New Roman"/>
          <w:i/>
          <w:szCs w:val="24"/>
        </w:rPr>
      </w:pPr>
      <w:r w:rsidRPr="008B0585">
        <w:rPr>
          <w:rFonts w:cs="Times New Roman"/>
          <w:i/>
          <w:szCs w:val="24"/>
          <w:vertAlign w:val="superscript"/>
        </w:rPr>
        <w:t>b</w:t>
      </w:r>
      <w:r w:rsidRPr="008B0585">
        <w:rPr>
          <w:rFonts w:cs="Times New Roman"/>
          <w:i/>
          <w:szCs w:val="24"/>
        </w:rPr>
        <w:t xml:space="preserve"> Laboratoire Lorrain de Recherche en Informatique et ses Applications, Université de Lorraine, Campus Scientifique, 615 Rue du Jardin-Botanique, 54506 Vandœuvre-lès-Nancy, France</w:t>
      </w:r>
    </w:p>
    <w:p w:rsidR="007419CB" w:rsidRPr="00B77C17" w:rsidRDefault="007419CB" w:rsidP="007419CB">
      <w:pPr>
        <w:spacing w:line="480" w:lineRule="auto"/>
        <w:jc w:val="center"/>
        <w:rPr>
          <w:rFonts w:cs="Times New Roman"/>
          <w:szCs w:val="24"/>
          <w:lang w:val="en-US"/>
        </w:rPr>
      </w:pPr>
      <w:r w:rsidRPr="00B77C17">
        <w:rPr>
          <w:rFonts w:cs="Times New Roman"/>
          <w:szCs w:val="24"/>
          <w:vertAlign w:val="superscript"/>
          <w:lang w:val="en-US"/>
        </w:rPr>
        <w:t>*</w:t>
      </w:r>
      <w:r w:rsidRPr="00B77C17">
        <w:rPr>
          <w:rFonts w:cs="Times New Roman"/>
          <w:szCs w:val="24"/>
          <w:lang w:val="en-US"/>
        </w:rPr>
        <w:t xml:space="preserve"> email: francois.rousseau@univ-lorraine.fr</w:t>
      </w:r>
    </w:p>
    <w:p w:rsidR="007419CB" w:rsidRPr="00B77C17" w:rsidRDefault="007419CB" w:rsidP="0021751D">
      <w:pPr>
        <w:spacing w:after="160" w:line="480" w:lineRule="auto"/>
        <w:ind w:left="360" w:hanging="360"/>
        <w:rPr>
          <w:lang w:val="en-US"/>
        </w:rPr>
      </w:pPr>
    </w:p>
    <w:p w:rsidR="007419CB" w:rsidRPr="00B77C17" w:rsidRDefault="007419CB" w:rsidP="0021751D">
      <w:pPr>
        <w:spacing w:after="160" w:line="480" w:lineRule="auto"/>
        <w:ind w:left="360" w:hanging="360"/>
        <w:rPr>
          <w:lang w:val="en-US"/>
        </w:rPr>
      </w:pPr>
    </w:p>
    <w:p w:rsidR="00A555F4" w:rsidRPr="00B77C17" w:rsidRDefault="00FC0993">
      <w:pPr>
        <w:spacing w:after="160" w:line="259" w:lineRule="auto"/>
        <w:rPr>
          <w:rFonts w:cs="Times New Roman"/>
          <w:lang w:val="en-US"/>
        </w:rPr>
      </w:pPr>
      <w:r w:rsidRPr="00B77C17">
        <w:rPr>
          <w:rFonts w:cs="Times New Roman"/>
          <w:lang w:val="en-US"/>
        </w:rPr>
        <w:br w:type="page"/>
      </w:r>
    </w:p>
    <w:sdt>
      <w:sdtPr>
        <w:rPr>
          <w:rFonts w:ascii="Times New Roman" w:eastAsiaTheme="minorHAnsi" w:hAnsi="Times New Roman" w:cs="Times New Roman"/>
          <w:b w:val="0"/>
          <w:bCs w:val="0"/>
          <w:color w:val="auto"/>
          <w:sz w:val="24"/>
          <w:szCs w:val="24"/>
        </w:rPr>
        <w:id w:val="1204290737"/>
        <w:docPartObj>
          <w:docPartGallery w:val="Table of Contents"/>
          <w:docPartUnique/>
        </w:docPartObj>
      </w:sdtPr>
      <w:sdtEndPr>
        <w:rPr>
          <w:rFonts w:cs="Cambria Math"/>
          <w:szCs w:val="18"/>
        </w:rPr>
      </w:sdtEndPr>
      <w:sdtContent>
        <w:p w:rsidR="00A555F4" w:rsidRPr="00B77C17" w:rsidRDefault="00A555F4" w:rsidP="00B10AA6">
          <w:pPr>
            <w:pStyle w:val="En-ttedetabledesmatires"/>
            <w:spacing w:before="0" w:afterLines="160" w:after="384" w:line="480" w:lineRule="auto"/>
            <w:jc w:val="center"/>
            <w:rPr>
              <w:rFonts w:ascii="Times New Roman" w:hAnsi="Times New Roman" w:cs="Times New Roman"/>
              <w:color w:val="auto"/>
              <w:sz w:val="24"/>
              <w:szCs w:val="24"/>
              <w:lang w:val="en-US"/>
            </w:rPr>
          </w:pPr>
          <w:r w:rsidRPr="00B77C17">
            <w:rPr>
              <w:rFonts w:ascii="Times New Roman" w:hAnsi="Times New Roman" w:cs="Times New Roman"/>
              <w:color w:val="auto"/>
              <w:sz w:val="24"/>
              <w:szCs w:val="24"/>
              <w:lang w:val="en-US"/>
            </w:rPr>
            <w:t>Table of content</w:t>
          </w:r>
        </w:p>
        <w:p w:rsidR="00380C88" w:rsidRDefault="00A555F4">
          <w:pPr>
            <w:pStyle w:val="TM1"/>
            <w:tabs>
              <w:tab w:val="left" w:pos="440"/>
            </w:tabs>
            <w:rPr>
              <w:rFonts w:asciiTheme="minorHAnsi" w:hAnsiTheme="minorHAnsi" w:cstheme="minorBidi"/>
              <w:b w:val="0"/>
              <w:noProof/>
              <w:sz w:val="22"/>
              <w:szCs w:val="22"/>
              <w:lang w:eastAsia="fr-FR"/>
            </w:rPr>
          </w:pPr>
          <w:r>
            <w:fldChar w:fldCharType="begin"/>
          </w:r>
          <w:r>
            <w:instrText xml:space="preserve"> TOC \o "1-3" \h \z \u </w:instrText>
          </w:r>
          <w:r>
            <w:fldChar w:fldCharType="separate"/>
          </w:r>
          <w:hyperlink w:anchor="_Toc216021081" w:history="1">
            <w:r w:rsidR="00380C88" w:rsidRPr="00B90BD7">
              <w:rPr>
                <w:rStyle w:val="Lienhypertexte"/>
                <w:rFonts w:cs="Times New Roman"/>
                <w:noProof/>
                <w:lang w:val="en-US"/>
              </w:rPr>
              <w:t>1.</w:t>
            </w:r>
            <w:r w:rsidR="00380C88">
              <w:rPr>
                <w:rFonts w:asciiTheme="minorHAnsi" w:hAnsiTheme="minorHAnsi" w:cstheme="minorBidi"/>
                <w:b w:val="0"/>
                <w:noProof/>
                <w:sz w:val="22"/>
                <w:szCs w:val="22"/>
                <w:lang w:eastAsia="fr-FR"/>
              </w:rPr>
              <w:tab/>
            </w:r>
            <w:r w:rsidR="00380C88" w:rsidRPr="00B90BD7">
              <w:rPr>
                <w:rStyle w:val="Lienhypertexte"/>
                <w:rFonts w:cs="Times New Roman"/>
                <w:noProof/>
                <w:lang w:val="en-US"/>
              </w:rPr>
              <w:t>METHODOLOGICAL FRAMEWORK</w:t>
            </w:r>
            <w:r w:rsidR="00380C88">
              <w:rPr>
                <w:noProof/>
                <w:webHidden/>
              </w:rPr>
              <w:tab/>
            </w:r>
            <w:r w:rsidR="00380C88">
              <w:rPr>
                <w:noProof/>
                <w:webHidden/>
              </w:rPr>
              <w:fldChar w:fldCharType="begin"/>
            </w:r>
            <w:r w:rsidR="00380C88">
              <w:rPr>
                <w:noProof/>
                <w:webHidden/>
              </w:rPr>
              <w:instrText xml:space="preserve"> PAGEREF _Toc216021081 \h </w:instrText>
            </w:r>
            <w:r w:rsidR="00380C88">
              <w:rPr>
                <w:noProof/>
                <w:webHidden/>
              </w:rPr>
            </w:r>
            <w:r w:rsidR="00380C88">
              <w:rPr>
                <w:noProof/>
                <w:webHidden/>
              </w:rPr>
              <w:fldChar w:fldCharType="separate"/>
            </w:r>
            <w:r w:rsidR="00380C88">
              <w:rPr>
                <w:noProof/>
                <w:webHidden/>
              </w:rPr>
              <w:t>4</w:t>
            </w:r>
            <w:r w:rsidR="00380C88">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082" w:history="1">
            <w:r w:rsidRPr="00B90BD7">
              <w:rPr>
                <w:rStyle w:val="Lienhypertexte"/>
                <w:rFonts w:cs="Times New Roman"/>
                <w:noProof/>
                <w:lang w:val="en-US"/>
              </w:rPr>
              <w:t>1.1.</w:t>
            </w:r>
            <w:r>
              <w:rPr>
                <w:rFonts w:asciiTheme="minorHAnsi" w:hAnsiTheme="minorHAnsi" w:cstheme="minorBidi"/>
                <w:noProof/>
                <w:sz w:val="22"/>
                <w:szCs w:val="22"/>
                <w:lang w:eastAsia="fr-FR"/>
              </w:rPr>
              <w:tab/>
            </w:r>
            <w:r w:rsidRPr="00B90BD7">
              <w:rPr>
                <w:rStyle w:val="Lienhypertexte"/>
                <w:rFonts w:cs="Times New Roman"/>
                <w:noProof/>
                <w:lang w:val="en-US"/>
              </w:rPr>
              <w:t>Target Property Matrix</w:t>
            </w:r>
            <w:r>
              <w:rPr>
                <w:noProof/>
                <w:webHidden/>
              </w:rPr>
              <w:tab/>
            </w:r>
            <w:r>
              <w:rPr>
                <w:noProof/>
                <w:webHidden/>
              </w:rPr>
              <w:fldChar w:fldCharType="begin"/>
            </w:r>
            <w:r>
              <w:rPr>
                <w:noProof/>
                <w:webHidden/>
              </w:rPr>
              <w:instrText xml:space="preserve"> PAGEREF _Toc216021082 \h </w:instrText>
            </w:r>
            <w:r>
              <w:rPr>
                <w:noProof/>
                <w:webHidden/>
              </w:rPr>
            </w:r>
            <w:r>
              <w:rPr>
                <w:noProof/>
                <w:webHidden/>
              </w:rPr>
              <w:fldChar w:fldCharType="separate"/>
            </w:r>
            <w:r>
              <w:rPr>
                <w:noProof/>
                <w:webHidden/>
              </w:rPr>
              <w:t>4</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083" w:history="1">
            <w:r w:rsidRPr="00B90BD7">
              <w:rPr>
                <w:rStyle w:val="Lienhypertexte"/>
                <w:rFonts w:cs="Times New Roman"/>
                <w:noProof/>
                <w:lang w:val="en-US"/>
              </w:rPr>
              <w:t>1.2.</w:t>
            </w:r>
            <w:r>
              <w:rPr>
                <w:rFonts w:asciiTheme="minorHAnsi" w:hAnsiTheme="minorHAnsi" w:cstheme="minorBidi"/>
                <w:noProof/>
                <w:sz w:val="22"/>
                <w:szCs w:val="22"/>
                <w:lang w:eastAsia="fr-FR"/>
              </w:rPr>
              <w:tab/>
            </w:r>
            <w:r w:rsidRPr="00B90BD7">
              <w:rPr>
                <w:rStyle w:val="Lienhypertexte"/>
                <w:rFonts w:cs="Times New Roman"/>
                <w:noProof/>
                <w:lang w:val="en-US"/>
              </w:rPr>
              <w:t>Descriptors Engineering</w:t>
            </w:r>
            <w:r>
              <w:rPr>
                <w:noProof/>
                <w:webHidden/>
              </w:rPr>
              <w:tab/>
            </w:r>
            <w:r>
              <w:rPr>
                <w:noProof/>
                <w:webHidden/>
              </w:rPr>
              <w:fldChar w:fldCharType="begin"/>
            </w:r>
            <w:r>
              <w:rPr>
                <w:noProof/>
                <w:webHidden/>
              </w:rPr>
              <w:instrText xml:space="preserve"> PAGEREF _Toc216021083 \h </w:instrText>
            </w:r>
            <w:r>
              <w:rPr>
                <w:noProof/>
                <w:webHidden/>
              </w:rPr>
            </w:r>
            <w:r>
              <w:rPr>
                <w:noProof/>
                <w:webHidden/>
              </w:rPr>
              <w:fldChar w:fldCharType="separate"/>
            </w:r>
            <w:r>
              <w:rPr>
                <w:noProof/>
                <w:webHidden/>
              </w:rPr>
              <w:t>6</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084" w:history="1">
            <w:r w:rsidRPr="00B90BD7">
              <w:rPr>
                <w:rStyle w:val="Lienhypertexte"/>
                <w:rFonts w:cs="Times New Roman"/>
                <w:noProof/>
                <w:lang w:val="en-US"/>
              </w:rPr>
              <w:t>1.3.</w:t>
            </w:r>
            <w:r>
              <w:rPr>
                <w:rFonts w:asciiTheme="minorHAnsi" w:hAnsiTheme="minorHAnsi" w:cstheme="minorBidi"/>
                <w:noProof/>
                <w:sz w:val="22"/>
                <w:szCs w:val="22"/>
                <w:lang w:eastAsia="fr-FR"/>
              </w:rPr>
              <w:tab/>
            </w:r>
            <w:r w:rsidRPr="00B90BD7">
              <w:rPr>
                <w:rStyle w:val="Lienhypertexte"/>
                <w:rFonts w:cs="Times New Roman"/>
                <w:noProof/>
                <w:lang w:val="en-US"/>
              </w:rPr>
              <w:t>Outlier Detection &amp; Cleaning of Data</w:t>
            </w:r>
            <w:r>
              <w:rPr>
                <w:noProof/>
                <w:webHidden/>
              </w:rPr>
              <w:tab/>
            </w:r>
            <w:r>
              <w:rPr>
                <w:noProof/>
                <w:webHidden/>
              </w:rPr>
              <w:fldChar w:fldCharType="begin"/>
            </w:r>
            <w:r>
              <w:rPr>
                <w:noProof/>
                <w:webHidden/>
              </w:rPr>
              <w:instrText xml:space="preserve"> PAGEREF _Toc216021084 \h </w:instrText>
            </w:r>
            <w:r>
              <w:rPr>
                <w:noProof/>
                <w:webHidden/>
              </w:rPr>
            </w:r>
            <w:r>
              <w:rPr>
                <w:noProof/>
                <w:webHidden/>
              </w:rPr>
              <w:fldChar w:fldCharType="separate"/>
            </w:r>
            <w:r>
              <w:rPr>
                <w:noProof/>
                <w:webHidden/>
              </w:rPr>
              <w:t>13</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85" w:history="1">
            <w:r w:rsidRPr="00B90BD7">
              <w:rPr>
                <w:rStyle w:val="Lienhypertexte"/>
                <w:rFonts w:cs="Times New Roman"/>
                <w:noProof/>
                <w:lang w:val="en-US"/>
              </w:rPr>
              <w:t>1.3.1.</w:t>
            </w:r>
            <w:r>
              <w:rPr>
                <w:rFonts w:asciiTheme="minorHAnsi" w:hAnsiTheme="minorHAnsi" w:cstheme="minorBidi"/>
                <w:noProof/>
                <w:sz w:val="22"/>
                <w:szCs w:val="22"/>
                <w:lang w:eastAsia="fr-FR"/>
              </w:rPr>
              <w:tab/>
            </w:r>
            <w:r w:rsidRPr="00B90BD7">
              <w:rPr>
                <w:rStyle w:val="Lienhypertexte"/>
                <w:rFonts w:cs="Times New Roman"/>
                <w:noProof/>
                <w:lang w:val="en-US"/>
              </w:rPr>
              <w:t>Data Preparation and Standardization</w:t>
            </w:r>
            <w:r>
              <w:rPr>
                <w:noProof/>
                <w:webHidden/>
              </w:rPr>
              <w:tab/>
            </w:r>
            <w:r>
              <w:rPr>
                <w:noProof/>
                <w:webHidden/>
              </w:rPr>
              <w:fldChar w:fldCharType="begin"/>
            </w:r>
            <w:r>
              <w:rPr>
                <w:noProof/>
                <w:webHidden/>
              </w:rPr>
              <w:instrText xml:space="preserve"> PAGEREF _Toc216021085 \h </w:instrText>
            </w:r>
            <w:r>
              <w:rPr>
                <w:noProof/>
                <w:webHidden/>
              </w:rPr>
            </w:r>
            <w:r>
              <w:rPr>
                <w:noProof/>
                <w:webHidden/>
              </w:rPr>
              <w:fldChar w:fldCharType="separate"/>
            </w:r>
            <w:r>
              <w:rPr>
                <w:noProof/>
                <w:webHidden/>
              </w:rPr>
              <w:t>13</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86" w:history="1">
            <w:r w:rsidRPr="00B90BD7">
              <w:rPr>
                <w:rStyle w:val="Lienhypertexte"/>
                <w:rFonts w:cs="Times New Roman"/>
                <w:noProof/>
                <w:lang w:val="en-US"/>
              </w:rPr>
              <w:t>1.3.2.</w:t>
            </w:r>
            <w:r>
              <w:rPr>
                <w:rFonts w:asciiTheme="minorHAnsi" w:hAnsiTheme="minorHAnsi" w:cstheme="minorBidi"/>
                <w:noProof/>
                <w:sz w:val="22"/>
                <w:szCs w:val="22"/>
                <w:lang w:eastAsia="fr-FR"/>
              </w:rPr>
              <w:tab/>
            </w:r>
            <w:r w:rsidRPr="00B90BD7">
              <w:rPr>
                <w:rStyle w:val="Lienhypertexte"/>
                <w:rFonts w:cs="Times New Roman"/>
                <w:noProof/>
                <w:lang w:val="en-US"/>
              </w:rPr>
              <w:t>Local Outlier Factor (LOF)</w:t>
            </w:r>
            <w:r>
              <w:rPr>
                <w:noProof/>
                <w:webHidden/>
              </w:rPr>
              <w:tab/>
            </w:r>
            <w:r>
              <w:rPr>
                <w:noProof/>
                <w:webHidden/>
              </w:rPr>
              <w:fldChar w:fldCharType="begin"/>
            </w:r>
            <w:r>
              <w:rPr>
                <w:noProof/>
                <w:webHidden/>
              </w:rPr>
              <w:instrText xml:space="preserve"> PAGEREF _Toc216021086 \h </w:instrText>
            </w:r>
            <w:r>
              <w:rPr>
                <w:noProof/>
                <w:webHidden/>
              </w:rPr>
            </w:r>
            <w:r>
              <w:rPr>
                <w:noProof/>
                <w:webHidden/>
              </w:rPr>
              <w:fldChar w:fldCharType="separate"/>
            </w:r>
            <w:r>
              <w:rPr>
                <w:noProof/>
                <w:webHidden/>
              </w:rPr>
              <w:t>14</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87" w:history="1">
            <w:r w:rsidRPr="00B90BD7">
              <w:rPr>
                <w:rStyle w:val="Lienhypertexte"/>
                <w:rFonts w:cs="Times New Roman"/>
                <w:noProof/>
                <w:lang w:val="en-US"/>
              </w:rPr>
              <w:t>1.3.3.</w:t>
            </w:r>
            <w:r>
              <w:rPr>
                <w:rFonts w:asciiTheme="minorHAnsi" w:hAnsiTheme="minorHAnsi" w:cstheme="minorBidi"/>
                <w:noProof/>
                <w:sz w:val="22"/>
                <w:szCs w:val="22"/>
                <w:lang w:eastAsia="fr-FR"/>
              </w:rPr>
              <w:tab/>
            </w:r>
            <w:r w:rsidRPr="00B90BD7">
              <w:rPr>
                <w:rStyle w:val="Lienhypertexte"/>
                <w:rFonts w:cs="Times New Roman"/>
                <w:noProof/>
                <w:lang w:val="en-US"/>
              </w:rPr>
              <w:t>Isolation Forest</w:t>
            </w:r>
            <w:r>
              <w:rPr>
                <w:noProof/>
                <w:webHidden/>
              </w:rPr>
              <w:tab/>
            </w:r>
            <w:r>
              <w:rPr>
                <w:noProof/>
                <w:webHidden/>
              </w:rPr>
              <w:fldChar w:fldCharType="begin"/>
            </w:r>
            <w:r>
              <w:rPr>
                <w:noProof/>
                <w:webHidden/>
              </w:rPr>
              <w:instrText xml:space="preserve"> PAGEREF _Toc216021087 \h </w:instrText>
            </w:r>
            <w:r>
              <w:rPr>
                <w:noProof/>
                <w:webHidden/>
              </w:rPr>
            </w:r>
            <w:r>
              <w:rPr>
                <w:noProof/>
                <w:webHidden/>
              </w:rPr>
              <w:fldChar w:fldCharType="separate"/>
            </w:r>
            <w:r>
              <w:rPr>
                <w:noProof/>
                <w:webHidden/>
              </w:rPr>
              <w:t>16</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88" w:history="1">
            <w:r w:rsidRPr="00B90BD7">
              <w:rPr>
                <w:rStyle w:val="Lienhypertexte"/>
                <w:rFonts w:cs="Times New Roman"/>
                <w:noProof/>
                <w:lang w:val="en-US"/>
              </w:rPr>
              <w:t>1.3.4.</w:t>
            </w:r>
            <w:r>
              <w:rPr>
                <w:rFonts w:asciiTheme="minorHAnsi" w:hAnsiTheme="minorHAnsi" w:cstheme="minorBidi"/>
                <w:noProof/>
                <w:sz w:val="22"/>
                <w:szCs w:val="22"/>
                <w:lang w:eastAsia="fr-FR"/>
              </w:rPr>
              <w:tab/>
            </w:r>
            <w:r w:rsidRPr="00B90BD7">
              <w:rPr>
                <w:rStyle w:val="Lienhypertexte"/>
                <w:rFonts w:cs="Times New Roman"/>
                <w:noProof/>
                <w:lang w:val="en-US"/>
              </w:rPr>
              <w:t>k-Nearest-Neighbors Residuals</w:t>
            </w:r>
            <w:r>
              <w:rPr>
                <w:noProof/>
                <w:webHidden/>
              </w:rPr>
              <w:tab/>
            </w:r>
            <w:r>
              <w:rPr>
                <w:noProof/>
                <w:webHidden/>
              </w:rPr>
              <w:fldChar w:fldCharType="begin"/>
            </w:r>
            <w:r>
              <w:rPr>
                <w:noProof/>
                <w:webHidden/>
              </w:rPr>
              <w:instrText xml:space="preserve"> PAGEREF _Toc216021088 \h </w:instrText>
            </w:r>
            <w:r>
              <w:rPr>
                <w:noProof/>
                <w:webHidden/>
              </w:rPr>
            </w:r>
            <w:r>
              <w:rPr>
                <w:noProof/>
                <w:webHidden/>
              </w:rPr>
              <w:fldChar w:fldCharType="separate"/>
            </w:r>
            <w:r>
              <w:rPr>
                <w:noProof/>
                <w:webHidden/>
              </w:rPr>
              <w:t>16</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89" w:history="1">
            <w:r w:rsidRPr="00B90BD7">
              <w:rPr>
                <w:rStyle w:val="Lienhypertexte"/>
                <w:rFonts w:cs="Times New Roman"/>
                <w:noProof/>
                <w:lang w:val="en-US"/>
              </w:rPr>
              <w:t>1.3.5.</w:t>
            </w:r>
            <w:r>
              <w:rPr>
                <w:rFonts w:asciiTheme="minorHAnsi" w:hAnsiTheme="minorHAnsi" w:cstheme="minorBidi"/>
                <w:noProof/>
                <w:sz w:val="22"/>
                <w:szCs w:val="22"/>
                <w:lang w:eastAsia="fr-FR"/>
              </w:rPr>
              <w:tab/>
            </w:r>
            <w:r w:rsidRPr="00B90BD7">
              <w:rPr>
                <w:rStyle w:val="Lienhypertexte"/>
                <w:rFonts w:cs="Times New Roman"/>
                <w:noProof/>
                <w:lang w:val="en-US"/>
              </w:rPr>
              <w:t>HuberRegressor Residuals</w:t>
            </w:r>
            <w:r>
              <w:rPr>
                <w:noProof/>
                <w:webHidden/>
              </w:rPr>
              <w:tab/>
            </w:r>
            <w:r>
              <w:rPr>
                <w:noProof/>
                <w:webHidden/>
              </w:rPr>
              <w:fldChar w:fldCharType="begin"/>
            </w:r>
            <w:r>
              <w:rPr>
                <w:noProof/>
                <w:webHidden/>
              </w:rPr>
              <w:instrText xml:space="preserve"> PAGEREF _Toc216021089 \h </w:instrText>
            </w:r>
            <w:r>
              <w:rPr>
                <w:noProof/>
                <w:webHidden/>
              </w:rPr>
            </w:r>
            <w:r>
              <w:rPr>
                <w:noProof/>
                <w:webHidden/>
              </w:rPr>
              <w:fldChar w:fldCharType="separate"/>
            </w:r>
            <w:r>
              <w:rPr>
                <w:noProof/>
                <w:webHidden/>
              </w:rPr>
              <w:t>17</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90" w:history="1">
            <w:r w:rsidRPr="00B90BD7">
              <w:rPr>
                <w:rStyle w:val="Lienhypertexte"/>
                <w:rFonts w:cs="Times New Roman"/>
                <w:noProof/>
                <w:lang w:val="en-US"/>
              </w:rPr>
              <w:t>1.3.6.</w:t>
            </w:r>
            <w:r>
              <w:rPr>
                <w:rFonts w:asciiTheme="minorHAnsi" w:hAnsiTheme="minorHAnsi" w:cstheme="minorBidi"/>
                <w:noProof/>
                <w:sz w:val="22"/>
                <w:szCs w:val="22"/>
                <w:lang w:eastAsia="fr-FR"/>
              </w:rPr>
              <w:tab/>
            </w:r>
            <w:r w:rsidRPr="00B90BD7">
              <w:rPr>
                <w:rStyle w:val="Lienhypertexte"/>
                <w:rFonts w:cs="Times New Roman"/>
                <w:noProof/>
                <w:lang w:val="en-US"/>
              </w:rPr>
              <w:t>Combined Outlier Mask and Rationale</w:t>
            </w:r>
            <w:r>
              <w:rPr>
                <w:noProof/>
                <w:webHidden/>
              </w:rPr>
              <w:tab/>
            </w:r>
            <w:r>
              <w:rPr>
                <w:noProof/>
                <w:webHidden/>
              </w:rPr>
              <w:fldChar w:fldCharType="begin"/>
            </w:r>
            <w:r>
              <w:rPr>
                <w:noProof/>
                <w:webHidden/>
              </w:rPr>
              <w:instrText xml:space="preserve"> PAGEREF _Toc216021090 \h </w:instrText>
            </w:r>
            <w:r>
              <w:rPr>
                <w:noProof/>
                <w:webHidden/>
              </w:rPr>
            </w:r>
            <w:r>
              <w:rPr>
                <w:noProof/>
                <w:webHidden/>
              </w:rPr>
              <w:fldChar w:fldCharType="separate"/>
            </w:r>
            <w:r>
              <w:rPr>
                <w:noProof/>
                <w:webHidden/>
              </w:rPr>
              <w:t>18</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091" w:history="1">
            <w:r w:rsidRPr="00B90BD7">
              <w:rPr>
                <w:rStyle w:val="Lienhypertexte"/>
                <w:rFonts w:cs="Times New Roman"/>
                <w:noProof/>
                <w:lang w:val="en-US"/>
              </w:rPr>
              <w:t>1.4.</w:t>
            </w:r>
            <w:r>
              <w:rPr>
                <w:rFonts w:asciiTheme="minorHAnsi" w:hAnsiTheme="minorHAnsi" w:cstheme="minorBidi"/>
                <w:noProof/>
                <w:sz w:val="22"/>
                <w:szCs w:val="22"/>
                <w:lang w:eastAsia="fr-FR"/>
              </w:rPr>
              <w:tab/>
            </w:r>
            <w:r w:rsidRPr="00B90BD7">
              <w:rPr>
                <w:rStyle w:val="Lienhypertexte"/>
                <w:rFonts w:cs="Times New Roman"/>
                <w:noProof/>
                <w:lang w:val="en-US"/>
              </w:rPr>
              <w:t>Descriptors Selection</w:t>
            </w:r>
            <w:r>
              <w:rPr>
                <w:noProof/>
                <w:webHidden/>
              </w:rPr>
              <w:tab/>
            </w:r>
            <w:r>
              <w:rPr>
                <w:noProof/>
                <w:webHidden/>
              </w:rPr>
              <w:fldChar w:fldCharType="begin"/>
            </w:r>
            <w:r>
              <w:rPr>
                <w:noProof/>
                <w:webHidden/>
              </w:rPr>
              <w:instrText xml:space="preserve"> PAGEREF _Toc216021091 \h </w:instrText>
            </w:r>
            <w:r>
              <w:rPr>
                <w:noProof/>
                <w:webHidden/>
              </w:rPr>
            </w:r>
            <w:r>
              <w:rPr>
                <w:noProof/>
                <w:webHidden/>
              </w:rPr>
              <w:fldChar w:fldCharType="separate"/>
            </w:r>
            <w:r>
              <w:rPr>
                <w:noProof/>
                <w:webHidden/>
              </w:rPr>
              <w:t>19</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92" w:history="1">
            <w:r w:rsidRPr="00B90BD7">
              <w:rPr>
                <w:rStyle w:val="Lienhypertexte"/>
                <w:rFonts w:cs="Times New Roman"/>
                <w:noProof/>
                <w:lang w:val="en-US"/>
              </w:rPr>
              <w:t>1.4.1.</w:t>
            </w:r>
            <w:r>
              <w:rPr>
                <w:rFonts w:asciiTheme="minorHAnsi" w:hAnsiTheme="minorHAnsi" w:cstheme="minorBidi"/>
                <w:noProof/>
                <w:sz w:val="22"/>
                <w:szCs w:val="22"/>
                <w:lang w:eastAsia="fr-FR"/>
              </w:rPr>
              <w:tab/>
            </w:r>
            <w:r w:rsidRPr="00B90BD7">
              <w:rPr>
                <w:rStyle w:val="Lienhypertexte"/>
                <w:rFonts w:cs="Times New Roman"/>
                <w:noProof/>
                <w:lang w:val="en-US"/>
              </w:rPr>
              <w:t>Spearman Rank Correlation</w:t>
            </w:r>
            <w:r>
              <w:rPr>
                <w:noProof/>
                <w:webHidden/>
              </w:rPr>
              <w:tab/>
            </w:r>
            <w:r>
              <w:rPr>
                <w:noProof/>
                <w:webHidden/>
              </w:rPr>
              <w:fldChar w:fldCharType="begin"/>
            </w:r>
            <w:r>
              <w:rPr>
                <w:noProof/>
                <w:webHidden/>
              </w:rPr>
              <w:instrText xml:space="preserve"> PAGEREF _Toc216021092 \h </w:instrText>
            </w:r>
            <w:r>
              <w:rPr>
                <w:noProof/>
                <w:webHidden/>
              </w:rPr>
            </w:r>
            <w:r>
              <w:rPr>
                <w:noProof/>
                <w:webHidden/>
              </w:rPr>
              <w:fldChar w:fldCharType="separate"/>
            </w:r>
            <w:r>
              <w:rPr>
                <w:noProof/>
                <w:webHidden/>
              </w:rPr>
              <w:t>20</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93" w:history="1">
            <w:r w:rsidRPr="00B90BD7">
              <w:rPr>
                <w:rStyle w:val="Lienhypertexte"/>
                <w:rFonts w:cs="Times New Roman"/>
                <w:noProof/>
                <w:lang w:val="en-US"/>
              </w:rPr>
              <w:t>1.4.2.</w:t>
            </w:r>
            <w:r>
              <w:rPr>
                <w:rFonts w:asciiTheme="minorHAnsi" w:hAnsiTheme="minorHAnsi" w:cstheme="minorBidi"/>
                <w:noProof/>
                <w:sz w:val="22"/>
                <w:szCs w:val="22"/>
                <w:lang w:eastAsia="fr-FR"/>
              </w:rPr>
              <w:tab/>
            </w:r>
            <w:r w:rsidRPr="00B90BD7">
              <w:rPr>
                <w:rStyle w:val="Lienhypertexte"/>
                <w:rFonts w:cs="Times New Roman"/>
                <w:noProof/>
                <w:lang w:val="en-US"/>
              </w:rPr>
              <w:t>Mutual Information</w:t>
            </w:r>
            <w:r>
              <w:rPr>
                <w:noProof/>
                <w:webHidden/>
              </w:rPr>
              <w:tab/>
            </w:r>
            <w:r>
              <w:rPr>
                <w:noProof/>
                <w:webHidden/>
              </w:rPr>
              <w:fldChar w:fldCharType="begin"/>
            </w:r>
            <w:r>
              <w:rPr>
                <w:noProof/>
                <w:webHidden/>
              </w:rPr>
              <w:instrText xml:space="preserve"> PAGEREF _Toc216021093 \h </w:instrText>
            </w:r>
            <w:r>
              <w:rPr>
                <w:noProof/>
                <w:webHidden/>
              </w:rPr>
            </w:r>
            <w:r>
              <w:rPr>
                <w:noProof/>
                <w:webHidden/>
              </w:rPr>
              <w:fldChar w:fldCharType="separate"/>
            </w:r>
            <w:r>
              <w:rPr>
                <w:noProof/>
                <w:webHidden/>
              </w:rPr>
              <w:t>21</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94" w:history="1">
            <w:r w:rsidRPr="00B90BD7">
              <w:rPr>
                <w:rStyle w:val="Lienhypertexte"/>
                <w:rFonts w:cs="Times New Roman"/>
                <w:noProof/>
                <w:lang w:val="en-US"/>
              </w:rPr>
              <w:t>1.4.3.</w:t>
            </w:r>
            <w:r>
              <w:rPr>
                <w:rFonts w:asciiTheme="minorHAnsi" w:hAnsiTheme="minorHAnsi" w:cstheme="minorBidi"/>
                <w:noProof/>
                <w:sz w:val="22"/>
                <w:szCs w:val="22"/>
                <w:lang w:eastAsia="fr-FR"/>
              </w:rPr>
              <w:tab/>
            </w:r>
            <w:r w:rsidRPr="00B90BD7">
              <w:rPr>
                <w:rStyle w:val="Lienhypertexte"/>
                <w:rFonts w:cs="Times New Roman"/>
                <w:noProof/>
                <w:lang w:val="en-US"/>
              </w:rPr>
              <w:t>XGBoost Embedded Importance</w:t>
            </w:r>
            <w:r>
              <w:rPr>
                <w:noProof/>
                <w:webHidden/>
              </w:rPr>
              <w:tab/>
            </w:r>
            <w:r>
              <w:rPr>
                <w:noProof/>
                <w:webHidden/>
              </w:rPr>
              <w:fldChar w:fldCharType="begin"/>
            </w:r>
            <w:r>
              <w:rPr>
                <w:noProof/>
                <w:webHidden/>
              </w:rPr>
              <w:instrText xml:space="preserve"> PAGEREF _Toc216021094 \h </w:instrText>
            </w:r>
            <w:r>
              <w:rPr>
                <w:noProof/>
                <w:webHidden/>
              </w:rPr>
            </w:r>
            <w:r>
              <w:rPr>
                <w:noProof/>
                <w:webHidden/>
              </w:rPr>
              <w:fldChar w:fldCharType="separate"/>
            </w:r>
            <w:r>
              <w:rPr>
                <w:noProof/>
                <w:webHidden/>
              </w:rPr>
              <w:t>23</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95" w:history="1">
            <w:r w:rsidRPr="00B90BD7">
              <w:rPr>
                <w:rStyle w:val="Lienhypertexte"/>
                <w:rFonts w:cs="Times New Roman"/>
                <w:noProof/>
                <w:lang w:val="en-US"/>
              </w:rPr>
              <w:t>1.4.4.</w:t>
            </w:r>
            <w:r>
              <w:rPr>
                <w:rFonts w:asciiTheme="minorHAnsi" w:hAnsiTheme="minorHAnsi" w:cstheme="minorBidi"/>
                <w:noProof/>
                <w:sz w:val="22"/>
                <w:szCs w:val="22"/>
                <w:lang w:eastAsia="fr-FR"/>
              </w:rPr>
              <w:tab/>
            </w:r>
            <w:r w:rsidRPr="00B90BD7">
              <w:rPr>
                <w:rStyle w:val="Lienhypertexte"/>
                <w:rFonts w:cs="Times New Roman"/>
                <w:noProof/>
                <w:lang w:val="en-US"/>
              </w:rPr>
              <w:t>Recursive Feature Elimination with Cross‐Validation (RFECV)</w:t>
            </w:r>
            <w:r>
              <w:rPr>
                <w:noProof/>
                <w:webHidden/>
              </w:rPr>
              <w:tab/>
            </w:r>
            <w:r>
              <w:rPr>
                <w:noProof/>
                <w:webHidden/>
              </w:rPr>
              <w:fldChar w:fldCharType="begin"/>
            </w:r>
            <w:r>
              <w:rPr>
                <w:noProof/>
                <w:webHidden/>
              </w:rPr>
              <w:instrText xml:space="preserve"> PAGEREF _Toc216021095 \h </w:instrText>
            </w:r>
            <w:r>
              <w:rPr>
                <w:noProof/>
                <w:webHidden/>
              </w:rPr>
            </w:r>
            <w:r>
              <w:rPr>
                <w:noProof/>
                <w:webHidden/>
              </w:rPr>
              <w:fldChar w:fldCharType="separate"/>
            </w:r>
            <w:r>
              <w:rPr>
                <w:noProof/>
                <w:webHidden/>
              </w:rPr>
              <w:t>24</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096" w:history="1">
            <w:r w:rsidRPr="00B90BD7">
              <w:rPr>
                <w:rStyle w:val="Lienhypertexte"/>
                <w:rFonts w:cs="Times New Roman"/>
                <w:noProof/>
                <w:lang w:val="en-US"/>
              </w:rPr>
              <w:t>1.4.5.</w:t>
            </w:r>
            <w:r>
              <w:rPr>
                <w:rFonts w:asciiTheme="minorHAnsi" w:hAnsiTheme="minorHAnsi" w:cstheme="minorBidi"/>
                <w:noProof/>
                <w:sz w:val="22"/>
                <w:szCs w:val="22"/>
                <w:lang w:eastAsia="fr-FR"/>
              </w:rPr>
              <w:tab/>
            </w:r>
            <w:r w:rsidRPr="00B90BD7">
              <w:rPr>
                <w:rStyle w:val="Lienhypertexte"/>
                <w:rFonts w:cs="Times New Roman"/>
                <w:noProof/>
                <w:lang w:val="en-US"/>
              </w:rPr>
              <w:t>Integration and Thresholding</w:t>
            </w:r>
            <w:r>
              <w:rPr>
                <w:noProof/>
                <w:webHidden/>
              </w:rPr>
              <w:tab/>
            </w:r>
            <w:r>
              <w:rPr>
                <w:noProof/>
                <w:webHidden/>
              </w:rPr>
              <w:fldChar w:fldCharType="begin"/>
            </w:r>
            <w:r>
              <w:rPr>
                <w:noProof/>
                <w:webHidden/>
              </w:rPr>
              <w:instrText xml:space="preserve"> PAGEREF _Toc216021096 \h </w:instrText>
            </w:r>
            <w:r>
              <w:rPr>
                <w:noProof/>
                <w:webHidden/>
              </w:rPr>
            </w:r>
            <w:r>
              <w:rPr>
                <w:noProof/>
                <w:webHidden/>
              </w:rPr>
              <w:fldChar w:fldCharType="separate"/>
            </w:r>
            <w:r>
              <w:rPr>
                <w:noProof/>
                <w:webHidden/>
              </w:rPr>
              <w:t>25</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097" w:history="1">
            <w:r w:rsidRPr="00B90BD7">
              <w:rPr>
                <w:rStyle w:val="Lienhypertexte"/>
                <w:rFonts w:cs="Times New Roman"/>
                <w:noProof/>
                <w:lang w:val="en-US"/>
              </w:rPr>
              <w:t>1.5.</w:t>
            </w:r>
            <w:r>
              <w:rPr>
                <w:rFonts w:asciiTheme="minorHAnsi" w:hAnsiTheme="minorHAnsi" w:cstheme="minorBidi"/>
                <w:noProof/>
                <w:sz w:val="22"/>
                <w:szCs w:val="22"/>
                <w:lang w:eastAsia="fr-FR"/>
              </w:rPr>
              <w:tab/>
            </w:r>
            <w:r w:rsidRPr="00B90BD7">
              <w:rPr>
                <w:rStyle w:val="Lienhypertexte"/>
                <w:rFonts w:cs="Times New Roman"/>
                <w:noProof/>
                <w:lang w:val="en-US"/>
              </w:rPr>
              <w:t>Supervised Machine Learning</w:t>
            </w:r>
            <w:r>
              <w:rPr>
                <w:noProof/>
                <w:webHidden/>
              </w:rPr>
              <w:tab/>
            </w:r>
            <w:r>
              <w:rPr>
                <w:noProof/>
                <w:webHidden/>
              </w:rPr>
              <w:fldChar w:fldCharType="begin"/>
            </w:r>
            <w:r>
              <w:rPr>
                <w:noProof/>
                <w:webHidden/>
              </w:rPr>
              <w:instrText xml:space="preserve"> PAGEREF _Toc216021097 \h </w:instrText>
            </w:r>
            <w:r>
              <w:rPr>
                <w:noProof/>
                <w:webHidden/>
              </w:rPr>
            </w:r>
            <w:r>
              <w:rPr>
                <w:noProof/>
                <w:webHidden/>
              </w:rPr>
              <w:fldChar w:fldCharType="separate"/>
            </w:r>
            <w:r>
              <w:rPr>
                <w:noProof/>
                <w:webHidden/>
              </w:rPr>
              <w:t>34</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098" w:history="1">
            <w:r w:rsidRPr="00B90BD7">
              <w:rPr>
                <w:rStyle w:val="Lienhypertexte"/>
                <w:rFonts w:cs="Times New Roman"/>
                <w:noProof/>
                <w:lang w:val="en-US"/>
              </w:rPr>
              <w:t>1.6.</w:t>
            </w:r>
            <w:r>
              <w:rPr>
                <w:rFonts w:asciiTheme="minorHAnsi" w:hAnsiTheme="minorHAnsi" w:cstheme="minorBidi"/>
                <w:noProof/>
                <w:sz w:val="22"/>
                <w:szCs w:val="22"/>
                <w:lang w:eastAsia="fr-FR"/>
              </w:rPr>
              <w:tab/>
            </w:r>
            <w:r w:rsidRPr="00B90BD7">
              <w:rPr>
                <w:rStyle w:val="Lienhypertexte"/>
                <w:rFonts w:cs="Times New Roman"/>
                <w:noProof/>
                <w:lang w:val="en-US"/>
              </w:rPr>
              <w:t>Summary Flowchart</w:t>
            </w:r>
            <w:r>
              <w:rPr>
                <w:noProof/>
                <w:webHidden/>
              </w:rPr>
              <w:tab/>
            </w:r>
            <w:r>
              <w:rPr>
                <w:noProof/>
                <w:webHidden/>
              </w:rPr>
              <w:fldChar w:fldCharType="begin"/>
            </w:r>
            <w:r>
              <w:rPr>
                <w:noProof/>
                <w:webHidden/>
              </w:rPr>
              <w:instrText xml:space="preserve"> PAGEREF _Toc216021098 \h </w:instrText>
            </w:r>
            <w:r>
              <w:rPr>
                <w:noProof/>
                <w:webHidden/>
              </w:rPr>
            </w:r>
            <w:r>
              <w:rPr>
                <w:noProof/>
                <w:webHidden/>
              </w:rPr>
              <w:fldChar w:fldCharType="separate"/>
            </w:r>
            <w:r>
              <w:rPr>
                <w:noProof/>
                <w:webHidden/>
              </w:rPr>
              <w:t>35</w:t>
            </w:r>
            <w:r>
              <w:rPr>
                <w:noProof/>
                <w:webHidden/>
              </w:rPr>
              <w:fldChar w:fldCharType="end"/>
            </w:r>
          </w:hyperlink>
        </w:p>
        <w:p w:rsidR="00380C88" w:rsidRDefault="00380C88">
          <w:pPr>
            <w:pStyle w:val="TM1"/>
            <w:tabs>
              <w:tab w:val="left" w:pos="440"/>
            </w:tabs>
            <w:rPr>
              <w:rFonts w:asciiTheme="minorHAnsi" w:hAnsiTheme="minorHAnsi" w:cstheme="minorBidi"/>
              <w:b w:val="0"/>
              <w:noProof/>
              <w:sz w:val="22"/>
              <w:szCs w:val="22"/>
              <w:lang w:eastAsia="fr-FR"/>
            </w:rPr>
          </w:pPr>
          <w:hyperlink w:anchor="_Toc216021099" w:history="1">
            <w:r w:rsidRPr="00B90BD7">
              <w:rPr>
                <w:rStyle w:val="Lienhypertexte"/>
                <w:rFonts w:cs="Times New Roman"/>
                <w:noProof/>
                <w:lang w:val="en-US"/>
              </w:rPr>
              <w:t>2.</w:t>
            </w:r>
            <w:r>
              <w:rPr>
                <w:rFonts w:asciiTheme="minorHAnsi" w:hAnsiTheme="minorHAnsi" w:cstheme="minorBidi"/>
                <w:b w:val="0"/>
                <w:noProof/>
                <w:sz w:val="22"/>
                <w:szCs w:val="22"/>
                <w:lang w:eastAsia="fr-FR"/>
              </w:rPr>
              <w:tab/>
            </w:r>
            <w:r w:rsidRPr="00B90BD7">
              <w:rPr>
                <w:rStyle w:val="Lienhypertexte"/>
                <w:rFonts w:cs="Times New Roman"/>
                <w:noProof/>
                <w:lang w:val="en-US"/>
              </w:rPr>
              <w:t>CONSTRUCTION &amp; INTERPRETATION OF ML SURROGATES</w:t>
            </w:r>
            <w:r>
              <w:rPr>
                <w:noProof/>
                <w:webHidden/>
              </w:rPr>
              <w:tab/>
            </w:r>
            <w:r>
              <w:rPr>
                <w:noProof/>
                <w:webHidden/>
              </w:rPr>
              <w:fldChar w:fldCharType="begin"/>
            </w:r>
            <w:r>
              <w:rPr>
                <w:noProof/>
                <w:webHidden/>
              </w:rPr>
              <w:instrText xml:space="preserve"> PAGEREF _Toc216021099 \h </w:instrText>
            </w:r>
            <w:r>
              <w:rPr>
                <w:noProof/>
                <w:webHidden/>
              </w:rPr>
            </w:r>
            <w:r>
              <w:rPr>
                <w:noProof/>
                <w:webHidden/>
              </w:rPr>
              <w:fldChar w:fldCharType="separate"/>
            </w:r>
            <w:r>
              <w:rPr>
                <w:noProof/>
                <w:webHidden/>
              </w:rPr>
              <w:t>40</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0" w:history="1">
            <w:r w:rsidRPr="00B90BD7">
              <w:rPr>
                <w:rStyle w:val="Lienhypertexte"/>
                <w:rFonts w:cs="Times New Roman"/>
                <w:noProof/>
                <w:lang w:val="en-US"/>
              </w:rPr>
              <w:t>2.1.</w:t>
            </w:r>
            <w:r>
              <w:rPr>
                <w:rFonts w:asciiTheme="minorHAnsi" w:hAnsiTheme="minorHAnsi" w:cstheme="minorBidi"/>
                <w:noProof/>
                <w:sz w:val="22"/>
                <w:szCs w:val="22"/>
                <w:lang w:eastAsia="fr-FR"/>
              </w:rPr>
              <w:tab/>
            </w:r>
            <w:r w:rsidRPr="00B90BD7">
              <w:rPr>
                <w:rStyle w:val="Lienhypertexte"/>
                <w:rFonts w:cs="Times New Roman"/>
                <w:noProof/>
                <w:lang w:val="en-US"/>
              </w:rPr>
              <w:t>Creep</w:t>
            </w:r>
            <w:r>
              <w:rPr>
                <w:noProof/>
                <w:webHidden/>
              </w:rPr>
              <w:tab/>
            </w:r>
            <w:r>
              <w:rPr>
                <w:noProof/>
                <w:webHidden/>
              </w:rPr>
              <w:fldChar w:fldCharType="begin"/>
            </w:r>
            <w:r>
              <w:rPr>
                <w:noProof/>
                <w:webHidden/>
              </w:rPr>
              <w:instrText xml:space="preserve"> PAGEREF _Toc216021100 \h </w:instrText>
            </w:r>
            <w:r>
              <w:rPr>
                <w:noProof/>
                <w:webHidden/>
              </w:rPr>
            </w:r>
            <w:r>
              <w:rPr>
                <w:noProof/>
                <w:webHidden/>
              </w:rPr>
              <w:fldChar w:fldCharType="separate"/>
            </w:r>
            <w:r>
              <w:rPr>
                <w:noProof/>
                <w:webHidden/>
              </w:rPr>
              <w:t>40</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1" w:history="1">
            <w:r w:rsidRPr="00B90BD7">
              <w:rPr>
                <w:rStyle w:val="Lienhypertexte"/>
                <w:rFonts w:cs="Times New Roman"/>
                <w:noProof/>
                <w:lang w:val="en-US"/>
              </w:rPr>
              <w:t>2.2.</w:t>
            </w:r>
            <w:r>
              <w:rPr>
                <w:rFonts w:asciiTheme="minorHAnsi" w:hAnsiTheme="minorHAnsi" w:cstheme="minorBidi"/>
                <w:noProof/>
                <w:sz w:val="22"/>
                <w:szCs w:val="22"/>
                <w:lang w:eastAsia="fr-FR"/>
              </w:rPr>
              <w:tab/>
            </w:r>
            <w:r w:rsidRPr="00B90BD7">
              <w:rPr>
                <w:rStyle w:val="Lienhypertexte"/>
                <w:rFonts w:cs="Times New Roman"/>
                <w:noProof/>
                <w:lang w:val="en-US"/>
              </w:rPr>
              <w:t>High-Temperature Oxidation</w:t>
            </w:r>
            <w:r>
              <w:rPr>
                <w:noProof/>
                <w:webHidden/>
              </w:rPr>
              <w:tab/>
            </w:r>
            <w:r>
              <w:rPr>
                <w:noProof/>
                <w:webHidden/>
              </w:rPr>
              <w:fldChar w:fldCharType="begin"/>
            </w:r>
            <w:r>
              <w:rPr>
                <w:noProof/>
                <w:webHidden/>
              </w:rPr>
              <w:instrText xml:space="preserve"> PAGEREF _Toc216021101 \h </w:instrText>
            </w:r>
            <w:r>
              <w:rPr>
                <w:noProof/>
                <w:webHidden/>
              </w:rPr>
            </w:r>
            <w:r>
              <w:rPr>
                <w:noProof/>
                <w:webHidden/>
              </w:rPr>
              <w:fldChar w:fldCharType="separate"/>
            </w:r>
            <w:r>
              <w:rPr>
                <w:noProof/>
                <w:webHidden/>
              </w:rPr>
              <w:t>43</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2" w:history="1">
            <w:r w:rsidRPr="00B90BD7">
              <w:rPr>
                <w:rStyle w:val="Lienhypertexte"/>
                <w:rFonts w:cs="Times New Roman"/>
                <w:noProof/>
                <w:lang w:val="en-US"/>
              </w:rPr>
              <w:t>2.3.</w:t>
            </w:r>
            <w:r>
              <w:rPr>
                <w:rFonts w:asciiTheme="minorHAnsi" w:hAnsiTheme="minorHAnsi" w:cstheme="minorBidi"/>
                <w:noProof/>
                <w:sz w:val="22"/>
                <w:szCs w:val="22"/>
                <w:lang w:eastAsia="fr-FR"/>
              </w:rPr>
              <w:tab/>
            </w:r>
            <w:r w:rsidRPr="00B90BD7">
              <w:rPr>
                <w:rStyle w:val="Lienhypertexte"/>
                <w:rFonts w:cs="Times New Roman"/>
                <w:noProof/>
                <w:lang w:val="en-US"/>
              </w:rPr>
              <w:t>Formation Enthalpy</w:t>
            </w:r>
            <w:r>
              <w:rPr>
                <w:noProof/>
                <w:webHidden/>
              </w:rPr>
              <w:tab/>
            </w:r>
            <w:r>
              <w:rPr>
                <w:noProof/>
                <w:webHidden/>
              </w:rPr>
              <w:fldChar w:fldCharType="begin"/>
            </w:r>
            <w:r>
              <w:rPr>
                <w:noProof/>
                <w:webHidden/>
              </w:rPr>
              <w:instrText xml:space="preserve"> PAGEREF _Toc216021102 \h </w:instrText>
            </w:r>
            <w:r>
              <w:rPr>
                <w:noProof/>
                <w:webHidden/>
              </w:rPr>
            </w:r>
            <w:r>
              <w:rPr>
                <w:noProof/>
                <w:webHidden/>
              </w:rPr>
              <w:fldChar w:fldCharType="separate"/>
            </w:r>
            <w:r>
              <w:rPr>
                <w:noProof/>
                <w:webHidden/>
              </w:rPr>
              <w:t>45</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3" w:history="1">
            <w:r w:rsidRPr="00B90BD7">
              <w:rPr>
                <w:rStyle w:val="Lienhypertexte"/>
                <w:rFonts w:cs="Times New Roman"/>
                <w:noProof/>
                <w:lang w:val="en-US"/>
              </w:rPr>
              <w:t>2.4.</w:t>
            </w:r>
            <w:r>
              <w:rPr>
                <w:rFonts w:asciiTheme="minorHAnsi" w:hAnsiTheme="minorHAnsi" w:cstheme="minorBidi"/>
                <w:noProof/>
                <w:sz w:val="22"/>
                <w:szCs w:val="22"/>
                <w:lang w:eastAsia="fr-FR"/>
              </w:rPr>
              <w:tab/>
            </w:r>
            <w:r w:rsidRPr="00B90BD7">
              <w:rPr>
                <w:rStyle w:val="Lienhypertexte"/>
                <w:rFonts w:cs="Times New Roman"/>
                <w:noProof/>
                <w:lang w:val="en-US"/>
              </w:rPr>
              <w:t>Bulk Modulus</w:t>
            </w:r>
            <w:r>
              <w:rPr>
                <w:noProof/>
                <w:webHidden/>
              </w:rPr>
              <w:tab/>
            </w:r>
            <w:r>
              <w:rPr>
                <w:noProof/>
                <w:webHidden/>
              </w:rPr>
              <w:fldChar w:fldCharType="begin"/>
            </w:r>
            <w:r>
              <w:rPr>
                <w:noProof/>
                <w:webHidden/>
              </w:rPr>
              <w:instrText xml:space="preserve"> PAGEREF _Toc216021103 \h </w:instrText>
            </w:r>
            <w:r>
              <w:rPr>
                <w:noProof/>
                <w:webHidden/>
              </w:rPr>
            </w:r>
            <w:r>
              <w:rPr>
                <w:noProof/>
                <w:webHidden/>
              </w:rPr>
              <w:fldChar w:fldCharType="separate"/>
            </w:r>
            <w:r>
              <w:rPr>
                <w:noProof/>
                <w:webHidden/>
              </w:rPr>
              <w:t>47</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4" w:history="1">
            <w:r w:rsidRPr="00B90BD7">
              <w:rPr>
                <w:rStyle w:val="Lienhypertexte"/>
                <w:rFonts w:cs="Times New Roman"/>
                <w:noProof/>
                <w:lang w:val="en-US"/>
              </w:rPr>
              <w:t>2.5.</w:t>
            </w:r>
            <w:r>
              <w:rPr>
                <w:rFonts w:asciiTheme="minorHAnsi" w:hAnsiTheme="minorHAnsi" w:cstheme="minorBidi"/>
                <w:noProof/>
                <w:sz w:val="22"/>
                <w:szCs w:val="22"/>
                <w:lang w:eastAsia="fr-FR"/>
              </w:rPr>
              <w:tab/>
            </w:r>
            <w:r w:rsidRPr="00B90BD7">
              <w:rPr>
                <w:rStyle w:val="Lienhypertexte"/>
                <w:rFonts w:cs="Times New Roman"/>
                <w:noProof/>
                <w:lang w:val="en-US"/>
              </w:rPr>
              <w:t>Shear Modulus</w:t>
            </w:r>
            <w:r>
              <w:rPr>
                <w:noProof/>
                <w:webHidden/>
              </w:rPr>
              <w:tab/>
            </w:r>
            <w:r>
              <w:rPr>
                <w:noProof/>
                <w:webHidden/>
              </w:rPr>
              <w:fldChar w:fldCharType="begin"/>
            </w:r>
            <w:r>
              <w:rPr>
                <w:noProof/>
                <w:webHidden/>
              </w:rPr>
              <w:instrText xml:space="preserve"> PAGEREF _Toc216021104 \h </w:instrText>
            </w:r>
            <w:r>
              <w:rPr>
                <w:noProof/>
                <w:webHidden/>
              </w:rPr>
            </w:r>
            <w:r>
              <w:rPr>
                <w:noProof/>
                <w:webHidden/>
              </w:rPr>
              <w:fldChar w:fldCharType="separate"/>
            </w:r>
            <w:r>
              <w:rPr>
                <w:noProof/>
                <w:webHidden/>
              </w:rPr>
              <w:t>49</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5" w:history="1">
            <w:r w:rsidRPr="00B90BD7">
              <w:rPr>
                <w:rStyle w:val="Lienhypertexte"/>
                <w:rFonts w:cs="Times New Roman"/>
                <w:noProof/>
                <w:lang w:val="en-US"/>
              </w:rPr>
              <w:t>2.6.</w:t>
            </w:r>
            <w:r>
              <w:rPr>
                <w:rFonts w:asciiTheme="minorHAnsi" w:hAnsiTheme="minorHAnsi" w:cstheme="minorBidi"/>
                <w:noProof/>
                <w:sz w:val="22"/>
                <w:szCs w:val="22"/>
                <w:lang w:eastAsia="fr-FR"/>
              </w:rPr>
              <w:tab/>
            </w:r>
            <w:r w:rsidRPr="00B90BD7">
              <w:rPr>
                <w:rStyle w:val="Lienhypertexte"/>
                <w:rFonts w:cs="Times New Roman"/>
                <w:noProof/>
                <w:lang w:val="en-US"/>
              </w:rPr>
              <w:t>Melting Point</w:t>
            </w:r>
            <w:r>
              <w:rPr>
                <w:noProof/>
                <w:webHidden/>
              </w:rPr>
              <w:tab/>
            </w:r>
            <w:r>
              <w:rPr>
                <w:noProof/>
                <w:webHidden/>
              </w:rPr>
              <w:fldChar w:fldCharType="begin"/>
            </w:r>
            <w:r>
              <w:rPr>
                <w:noProof/>
                <w:webHidden/>
              </w:rPr>
              <w:instrText xml:space="preserve"> PAGEREF _Toc216021105 \h </w:instrText>
            </w:r>
            <w:r>
              <w:rPr>
                <w:noProof/>
                <w:webHidden/>
              </w:rPr>
            </w:r>
            <w:r>
              <w:rPr>
                <w:noProof/>
                <w:webHidden/>
              </w:rPr>
              <w:fldChar w:fldCharType="separate"/>
            </w:r>
            <w:r>
              <w:rPr>
                <w:noProof/>
                <w:webHidden/>
              </w:rPr>
              <w:t>51</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6" w:history="1">
            <w:r w:rsidRPr="00B90BD7">
              <w:rPr>
                <w:rStyle w:val="Lienhypertexte"/>
                <w:rFonts w:cs="Times New Roman"/>
                <w:noProof/>
                <w:lang w:val="en-US"/>
              </w:rPr>
              <w:t>2.7.</w:t>
            </w:r>
            <w:r>
              <w:rPr>
                <w:rFonts w:asciiTheme="minorHAnsi" w:hAnsiTheme="minorHAnsi" w:cstheme="minorBidi"/>
                <w:noProof/>
                <w:sz w:val="22"/>
                <w:szCs w:val="22"/>
                <w:lang w:eastAsia="fr-FR"/>
              </w:rPr>
              <w:tab/>
            </w:r>
            <w:r w:rsidRPr="00B90BD7">
              <w:rPr>
                <w:rStyle w:val="Lienhypertexte"/>
                <w:rFonts w:cs="Times New Roman"/>
                <w:noProof/>
                <w:lang w:val="en-US"/>
              </w:rPr>
              <w:t>Density</w:t>
            </w:r>
            <w:r>
              <w:rPr>
                <w:noProof/>
                <w:webHidden/>
              </w:rPr>
              <w:tab/>
            </w:r>
            <w:r>
              <w:rPr>
                <w:noProof/>
                <w:webHidden/>
              </w:rPr>
              <w:fldChar w:fldCharType="begin"/>
            </w:r>
            <w:r>
              <w:rPr>
                <w:noProof/>
                <w:webHidden/>
              </w:rPr>
              <w:instrText xml:space="preserve"> PAGEREF _Toc216021106 \h </w:instrText>
            </w:r>
            <w:r>
              <w:rPr>
                <w:noProof/>
                <w:webHidden/>
              </w:rPr>
            </w:r>
            <w:r>
              <w:rPr>
                <w:noProof/>
                <w:webHidden/>
              </w:rPr>
              <w:fldChar w:fldCharType="separate"/>
            </w:r>
            <w:r>
              <w:rPr>
                <w:noProof/>
                <w:webHidden/>
              </w:rPr>
              <w:t>53</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7" w:history="1">
            <w:r w:rsidRPr="00B90BD7">
              <w:rPr>
                <w:rStyle w:val="Lienhypertexte"/>
                <w:rFonts w:cs="Times New Roman"/>
                <w:noProof/>
                <w:lang w:val="en-US"/>
              </w:rPr>
              <w:t>2.8.</w:t>
            </w:r>
            <w:r>
              <w:rPr>
                <w:rFonts w:asciiTheme="minorHAnsi" w:hAnsiTheme="minorHAnsi" w:cstheme="minorBidi"/>
                <w:noProof/>
                <w:sz w:val="22"/>
                <w:szCs w:val="22"/>
                <w:lang w:eastAsia="fr-FR"/>
              </w:rPr>
              <w:tab/>
            </w:r>
            <w:r w:rsidRPr="00B90BD7">
              <w:rPr>
                <w:rStyle w:val="Lienhypertexte"/>
                <w:rFonts w:cs="Times New Roman"/>
                <w:noProof/>
                <w:lang w:val="en-US"/>
              </w:rPr>
              <w:t>Summary</w:t>
            </w:r>
            <w:r>
              <w:rPr>
                <w:noProof/>
                <w:webHidden/>
              </w:rPr>
              <w:tab/>
            </w:r>
            <w:r>
              <w:rPr>
                <w:noProof/>
                <w:webHidden/>
              </w:rPr>
              <w:fldChar w:fldCharType="begin"/>
            </w:r>
            <w:r>
              <w:rPr>
                <w:noProof/>
                <w:webHidden/>
              </w:rPr>
              <w:instrText xml:space="preserve"> PAGEREF _Toc216021107 \h </w:instrText>
            </w:r>
            <w:r>
              <w:rPr>
                <w:noProof/>
                <w:webHidden/>
              </w:rPr>
            </w:r>
            <w:r>
              <w:rPr>
                <w:noProof/>
                <w:webHidden/>
              </w:rPr>
              <w:fldChar w:fldCharType="separate"/>
            </w:r>
            <w:r>
              <w:rPr>
                <w:noProof/>
                <w:webHidden/>
              </w:rPr>
              <w:t>54</w:t>
            </w:r>
            <w:r>
              <w:rPr>
                <w:noProof/>
                <w:webHidden/>
              </w:rPr>
              <w:fldChar w:fldCharType="end"/>
            </w:r>
          </w:hyperlink>
        </w:p>
        <w:p w:rsidR="00380C88" w:rsidRDefault="00380C88">
          <w:pPr>
            <w:pStyle w:val="TM1"/>
            <w:tabs>
              <w:tab w:val="left" w:pos="440"/>
            </w:tabs>
            <w:rPr>
              <w:rFonts w:asciiTheme="minorHAnsi" w:hAnsiTheme="minorHAnsi" w:cstheme="minorBidi"/>
              <w:b w:val="0"/>
              <w:noProof/>
              <w:sz w:val="22"/>
              <w:szCs w:val="22"/>
              <w:lang w:eastAsia="fr-FR"/>
            </w:rPr>
          </w:pPr>
          <w:hyperlink w:anchor="_Toc216021108" w:history="1">
            <w:r w:rsidRPr="00B90BD7">
              <w:rPr>
                <w:rStyle w:val="Lienhypertexte"/>
                <w:rFonts w:cs="Times New Roman"/>
                <w:noProof/>
                <w:lang w:val="en-US"/>
              </w:rPr>
              <w:t>3.</w:t>
            </w:r>
            <w:r>
              <w:rPr>
                <w:rFonts w:asciiTheme="minorHAnsi" w:hAnsiTheme="minorHAnsi" w:cstheme="minorBidi"/>
                <w:b w:val="0"/>
                <w:noProof/>
                <w:sz w:val="22"/>
                <w:szCs w:val="22"/>
                <w:lang w:eastAsia="fr-FR"/>
              </w:rPr>
              <w:tab/>
            </w:r>
            <w:r w:rsidRPr="00B90BD7">
              <w:rPr>
                <w:rStyle w:val="Lienhypertexte"/>
                <w:rFonts w:cs="Times New Roman"/>
                <w:noProof/>
                <w:lang w:val="en-US"/>
              </w:rPr>
              <w:t>STOCHASTIC BRUTE-FORCE SCREENING OF 5-ELEMENTS HEA</w:t>
            </w:r>
            <w:r>
              <w:rPr>
                <w:noProof/>
                <w:webHidden/>
              </w:rPr>
              <w:tab/>
            </w:r>
            <w:r>
              <w:rPr>
                <w:noProof/>
                <w:webHidden/>
              </w:rPr>
              <w:fldChar w:fldCharType="begin"/>
            </w:r>
            <w:r>
              <w:rPr>
                <w:noProof/>
                <w:webHidden/>
              </w:rPr>
              <w:instrText xml:space="preserve"> PAGEREF _Toc216021108 \h </w:instrText>
            </w:r>
            <w:r>
              <w:rPr>
                <w:noProof/>
                <w:webHidden/>
              </w:rPr>
            </w:r>
            <w:r>
              <w:rPr>
                <w:noProof/>
                <w:webHidden/>
              </w:rPr>
              <w:fldChar w:fldCharType="separate"/>
            </w:r>
            <w:r>
              <w:rPr>
                <w:noProof/>
                <w:webHidden/>
              </w:rPr>
              <w:t>57</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09" w:history="1">
            <w:r w:rsidRPr="00B90BD7">
              <w:rPr>
                <w:rStyle w:val="Lienhypertexte"/>
                <w:rFonts w:cs="Times New Roman"/>
                <w:noProof/>
                <w:lang w:val="en-US"/>
              </w:rPr>
              <w:t>3.1.</w:t>
            </w:r>
            <w:r>
              <w:rPr>
                <w:rFonts w:asciiTheme="minorHAnsi" w:hAnsiTheme="minorHAnsi" w:cstheme="minorBidi"/>
                <w:noProof/>
                <w:sz w:val="22"/>
                <w:szCs w:val="22"/>
                <w:lang w:eastAsia="fr-FR"/>
              </w:rPr>
              <w:tab/>
            </w:r>
            <w:r w:rsidRPr="00B90BD7">
              <w:rPr>
                <w:rStyle w:val="Lienhypertexte"/>
                <w:rFonts w:cs="Times New Roman"/>
                <w:noProof/>
                <w:lang w:val="en-US"/>
              </w:rPr>
              <w:t>Generation of HEA: Composition Space and Randomization</w:t>
            </w:r>
            <w:r>
              <w:rPr>
                <w:noProof/>
                <w:webHidden/>
              </w:rPr>
              <w:tab/>
            </w:r>
            <w:r>
              <w:rPr>
                <w:noProof/>
                <w:webHidden/>
              </w:rPr>
              <w:fldChar w:fldCharType="begin"/>
            </w:r>
            <w:r>
              <w:rPr>
                <w:noProof/>
                <w:webHidden/>
              </w:rPr>
              <w:instrText xml:space="preserve"> PAGEREF _Toc216021109 \h </w:instrText>
            </w:r>
            <w:r>
              <w:rPr>
                <w:noProof/>
                <w:webHidden/>
              </w:rPr>
            </w:r>
            <w:r>
              <w:rPr>
                <w:noProof/>
                <w:webHidden/>
              </w:rPr>
              <w:fldChar w:fldCharType="separate"/>
            </w:r>
            <w:r>
              <w:rPr>
                <w:noProof/>
                <w:webHidden/>
              </w:rPr>
              <w:t>57</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10" w:history="1">
            <w:r w:rsidRPr="00B90BD7">
              <w:rPr>
                <w:rStyle w:val="Lienhypertexte"/>
                <w:rFonts w:cs="Times New Roman"/>
                <w:noProof/>
                <w:lang w:val="en-US"/>
              </w:rPr>
              <w:t>3.2.</w:t>
            </w:r>
            <w:r>
              <w:rPr>
                <w:rFonts w:asciiTheme="minorHAnsi" w:hAnsiTheme="minorHAnsi" w:cstheme="minorBidi"/>
                <w:noProof/>
                <w:sz w:val="22"/>
                <w:szCs w:val="22"/>
                <w:lang w:eastAsia="fr-FR"/>
              </w:rPr>
              <w:tab/>
            </w:r>
            <w:r w:rsidRPr="00B90BD7">
              <w:rPr>
                <w:rStyle w:val="Lienhypertexte"/>
                <w:rFonts w:cs="Times New Roman"/>
                <w:noProof/>
                <w:lang w:val="en-US"/>
              </w:rPr>
              <w:t>Scoring &amp; Pareto Front</w:t>
            </w:r>
            <w:r>
              <w:rPr>
                <w:noProof/>
                <w:webHidden/>
              </w:rPr>
              <w:tab/>
            </w:r>
            <w:r>
              <w:rPr>
                <w:noProof/>
                <w:webHidden/>
              </w:rPr>
              <w:fldChar w:fldCharType="begin"/>
            </w:r>
            <w:r>
              <w:rPr>
                <w:noProof/>
                <w:webHidden/>
              </w:rPr>
              <w:instrText xml:space="preserve"> PAGEREF _Toc216021110 \h </w:instrText>
            </w:r>
            <w:r>
              <w:rPr>
                <w:noProof/>
                <w:webHidden/>
              </w:rPr>
            </w:r>
            <w:r>
              <w:rPr>
                <w:noProof/>
                <w:webHidden/>
              </w:rPr>
              <w:fldChar w:fldCharType="separate"/>
            </w:r>
            <w:r>
              <w:rPr>
                <w:noProof/>
                <w:webHidden/>
              </w:rPr>
              <w:t>61</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11" w:history="1">
            <w:r w:rsidRPr="00B90BD7">
              <w:rPr>
                <w:rStyle w:val="Lienhypertexte"/>
                <w:rFonts w:cs="Times New Roman"/>
                <w:noProof/>
                <w:lang w:val="en-US"/>
              </w:rPr>
              <w:t>3.3.</w:t>
            </w:r>
            <w:r>
              <w:rPr>
                <w:rFonts w:asciiTheme="minorHAnsi" w:hAnsiTheme="minorHAnsi" w:cstheme="minorBidi"/>
                <w:noProof/>
                <w:sz w:val="22"/>
                <w:szCs w:val="22"/>
                <w:lang w:eastAsia="fr-FR"/>
              </w:rPr>
              <w:tab/>
            </w:r>
            <w:r w:rsidRPr="00B90BD7">
              <w:rPr>
                <w:rStyle w:val="Lienhypertexte"/>
                <w:rFonts w:cs="Times New Roman"/>
                <w:noProof/>
                <w:lang w:val="en-US"/>
              </w:rPr>
              <w:t>Ashby Charts: Legacy Superalloys vs Pareto-optimal</w:t>
            </w:r>
            <w:r>
              <w:rPr>
                <w:noProof/>
                <w:webHidden/>
              </w:rPr>
              <w:tab/>
            </w:r>
            <w:r>
              <w:rPr>
                <w:noProof/>
                <w:webHidden/>
              </w:rPr>
              <w:fldChar w:fldCharType="begin"/>
            </w:r>
            <w:r>
              <w:rPr>
                <w:noProof/>
                <w:webHidden/>
              </w:rPr>
              <w:instrText xml:space="preserve"> PAGEREF _Toc216021111 \h </w:instrText>
            </w:r>
            <w:r>
              <w:rPr>
                <w:noProof/>
                <w:webHidden/>
              </w:rPr>
            </w:r>
            <w:r>
              <w:rPr>
                <w:noProof/>
                <w:webHidden/>
              </w:rPr>
              <w:fldChar w:fldCharType="separate"/>
            </w:r>
            <w:r>
              <w:rPr>
                <w:noProof/>
                <w:webHidden/>
              </w:rPr>
              <w:t>70</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12" w:history="1">
            <w:r w:rsidRPr="00B90BD7">
              <w:rPr>
                <w:rStyle w:val="Lienhypertexte"/>
                <w:rFonts w:cs="Times New Roman"/>
                <w:noProof/>
                <w:lang w:val="en-US"/>
              </w:rPr>
              <w:t>3.4.</w:t>
            </w:r>
            <w:r>
              <w:rPr>
                <w:rFonts w:asciiTheme="minorHAnsi" w:hAnsiTheme="minorHAnsi" w:cstheme="minorBidi"/>
                <w:noProof/>
                <w:sz w:val="22"/>
                <w:szCs w:val="22"/>
                <w:lang w:eastAsia="fr-FR"/>
              </w:rPr>
              <w:tab/>
            </w:r>
            <w:r w:rsidRPr="00B90BD7">
              <w:rPr>
                <w:rStyle w:val="Lienhypertexte"/>
                <w:rFonts w:cs="Times New Roman"/>
                <w:noProof/>
                <w:lang w:val="en-US"/>
              </w:rPr>
              <w:t>Analysis of the Role of Elements</w:t>
            </w:r>
            <w:r>
              <w:rPr>
                <w:noProof/>
                <w:webHidden/>
              </w:rPr>
              <w:tab/>
            </w:r>
            <w:r>
              <w:rPr>
                <w:noProof/>
                <w:webHidden/>
              </w:rPr>
              <w:fldChar w:fldCharType="begin"/>
            </w:r>
            <w:r>
              <w:rPr>
                <w:noProof/>
                <w:webHidden/>
              </w:rPr>
              <w:instrText xml:space="preserve"> PAGEREF _Toc216021112 \h </w:instrText>
            </w:r>
            <w:r>
              <w:rPr>
                <w:noProof/>
                <w:webHidden/>
              </w:rPr>
            </w:r>
            <w:r>
              <w:rPr>
                <w:noProof/>
                <w:webHidden/>
              </w:rPr>
              <w:fldChar w:fldCharType="separate"/>
            </w:r>
            <w:r>
              <w:rPr>
                <w:noProof/>
                <w:webHidden/>
              </w:rPr>
              <w:t>76</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13" w:history="1">
            <w:r w:rsidRPr="00B90BD7">
              <w:rPr>
                <w:rStyle w:val="Lienhypertexte"/>
                <w:rFonts w:cs="Times New Roman"/>
                <w:noProof/>
                <w:lang w:val="en-US"/>
              </w:rPr>
              <w:t>3.4.1.</w:t>
            </w:r>
            <w:r>
              <w:rPr>
                <w:rFonts w:asciiTheme="minorHAnsi" w:hAnsiTheme="minorHAnsi" w:cstheme="minorBidi"/>
                <w:noProof/>
                <w:sz w:val="22"/>
                <w:szCs w:val="22"/>
                <w:lang w:eastAsia="fr-FR"/>
              </w:rPr>
              <w:tab/>
            </w:r>
            <w:r w:rsidRPr="00B90BD7">
              <w:rPr>
                <w:rStyle w:val="Lienhypertexte"/>
                <w:rFonts w:cs="Times New Roman"/>
                <w:noProof/>
                <w:lang w:val="en-US"/>
              </w:rPr>
              <w:t>XGBoost Forest Analysis (feature importance, permutation importance, SHAP values)</w:t>
            </w:r>
            <w:r>
              <w:rPr>
                <w:noProof/>
                <w:webHidden/>
              </w:rPr>
              <w:tab/>
            </w:r>
            <w:r>
              <w:rPr>
                <w:noProof/>
                <w:webHidden/>
              </w:rPr>
              <w:fldChar w:fldCharType="begin"/>
            </w:r>
            <w:r>
              <w:rPr>
                <w:noProof/>
                <w:webHidden/>
              </w:rPr>
              <w:instrText xml:space="preserve"> PAGEREF _Toc216021113 \h </w:instrText>
            </w:r>
            <w:r>
              <w:rPr>
                <w:noProof/>
                <w:webHidden/>
              </w:rPr>
            </w:r>
            <w:r>
              <w:rPr>
                <w:noProof/>
                <w:webHidden/>
              </w:rPr>
              <w:fldChar w:fldCharType="separate"/>
            </w:r>
            <w:r>
              <w:rPr>
                <w:noProof/>
                <w:webHidden/>
              </w:rPr>
              <w:t>79</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14" w:history="1">
            <w:r w:rsidRPr="00B90BD7">
              <w:rPr>
                <w:rStyle w:val="Lienhypertexte"/>
                <w:rFonts w:cs="Times New Roman"/>
                <w:noProof/>
                <w:lang w:val="en-US"/>
              </w:rPr>
              <w:t>3.4.2.</w:t>
            </w:r>
            <w:r>
              <w:rPr>
                <w:rFonts w:asciiTheme="minorHAnsi" w:hAnsiTheme="minorHAnsi" w:cstheme="minorBidi"/>
                <w:noProof/>
                <w:sz w:val="22"/>
                <w:szCs w:val="22"/>
                <w:lang w:eastAsia="fr-FR"/>
              </w:rPr>
              <w:tab/>
            </w:r>
            <w:r w:rsidRPr="00B90BD7">
              <w:rPr>
                <w:rStyle w:val="Lienhypertexte"/>
                <w:rFonts w:cs="Times New Roman"/>
                <w:noProof/>
                <w:lang w:val="en-US"/>
              </w:rPr>
              <w:t>Partial Dependence Analysis</w:t>
            </w:r>
            <w:r>
              <w:rPr>
                <w:noProof/>
                <w:webHidden/>
              </w:rPr>
              <w:tab/>
            </w:r>
            <w:r>
              <w:rPr>
                <w:noProof/>
                <w:webHidden/>
              </w:rPr>
              <w:fldChar w:fldCharType="begin"/>
            </w:r>
            <w:r>
              <w:rPr>
                <w:noProof/>
                <w:webHidden/>
              </w:rPr>
              <w:instrText xml:space="preserve"> PAGEREF _Toc216021114 \h </w:instrText>
            </w:r>
            <w:r>
              <w:rPr>
                <w:noProof/>
                <w:webHidden/>
              </w:rPr>
            </w:r>
            <w:r>
              <w:rPr>
                <w:noProof/>
                <w:webHidden/>
              </w:rPr>
              <w:fldChar w:fldCharType="separate"/>
            </w:r>
            <w:r>
              <w:rPr>
                <w:noProof/>
                <w:webHidden/>
              </w:rPr>
              <w:t>86</w:t>
            </w:r>
            <w:r>
              <w:rPr>
                <w:noProof/>
                <w:webHidden/>
              </w:rPr>
              <w:fldChar w:fldCharType="end"/>
            </w:r>
          </w:hyperlink>
        </w:p>
        <w:p w:rsidR="00380C88" w:rsidRDefault="00380C88">
          <w:pPr>
            <w:pStyle w:val="TM1"/>
            <w:tabs>
              <w:tab w:val="left" w:pos="440"/>
            </w:tabs>
            <w:rPr>
              <w:rFonts w:asciiTheme="minorHAnsi" w:hAnsiTheme="minorHAnsi" w:cstheme="minorBidi"/>
              <w:b w:val="0"/>
              <w:noProof/>
              <w:sz w:val="22"/>
              <w:szCs w:val="22"/>
              <w:lang w:eastAsia="fr-FR"/>
            </w:rPr>
          </w:pPr>
          <w:hyperlink w:anchor="_Toc216021115" w:history="1">
            <w:r w:rsidRPr="00B90BD7">
              <w:rPr>
                <w:rStyle w:val="Lienhypertexte"/>
                <w:rFonts w:cs="Times New Roman"/>
                <w:noProof/>
                <w:lang w:val="en-US"/>
              </w:rPr>
              <w:t>4.</w:t>
            </w:r>
            <w:r>
              <w:rPr>
                <w:rFonts w:asciiTheme="minorHAnsi" w:hAnsiTheme="minorHAnsi" w:cstheme="minorBidi"/>
                <w:b w:val="0"/>
                <w:noProof/>
                <w:sz w:val="22"/>
                <w:szCs w:val="22"/>
                <w:lang w:eastAsia="fr-FR"/>
              </w:rPr>
              <w:tab/>
            </w:r>
            <w:r w:rsidRPr="00B90BD7">
              <w:rPr>
                <w:rStyle w:val="Lienhypertexte"/>
                <w:rFonts w:cs="Times New Roman"/>
                <w:noProof/>
                <w:lang w:val="en-US"/>
              </w:rPr>
              <w:t>GENERATIVE EXPLORATION &amp; FRONTIER EXPANSION</w:t>
            </w:r>
            <w:r>
              <w:rPr>
                <w:noProof/>
                <w:webHidden/>
              </w:rPr>
              <w:tab/>
            </w:r>
            <w:r>
              <w:rPr>
                <w:noProof/>
                <w:webHidden/>
              </w:rPr>
              <w:fldChar w:fldCharType="begin"/>
            </w:r>
            <w:r>
              <w:rPr>
                <w:noProof/>
                <w:webHidden/>
              </w:rPr>
              <w:instrText xml:space="preserve"> PAGEREF _Toc216021115 \h </w:instrText>
            </w:r>
            <w:r>
              <w:rPr>
                <w:noProof/>
                <w:webHidden/>
              </w:rPr>
            </w:r>
            <w:r>
              <w:rPr>
                <w:noProof/>
                <w:webHidden/>
              </w:rPr>
              <w:fldChar w:fldCharType="separate"/>
            </w:r>
            <w:r>
              <w:rPr>
                <w:noProof/>
                <w:webHidden/>
              </w:rPr>
              <w:t>101</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16" w:history="1">
            <w:r w:rsidRPr="00B90BD7">
              <w:rPr>
                <w:rStyle w:val="Lienhypertexte"/>
                <w:rFonts w:cs="Times New Roman"/>
                <w:noProof/>
                <w:lang w:val="en-US"/>
              </w:rPr>
              <w:t>4.1.</w:t>
            </w:r>
            <w:r>
              <w:rPr>
                <w:rFonts w:asciiTheme="minorHAnsi" w:hAnsiTheme="minorHAnsi" w:cstheme="minorBidi"/>
                <w:noProof/>
                <w:sz w:val="22"/>
                <w:szCs w:val="22"/>
                <w:lang w:eastAsia="fr-FR"/>
              </w:rPr>
              <w:tab/>
            </w:r>
            <w:r w:rsidRPr="00B90BD7">
              <w:rPr>
                <w:rStyle w:val="Lienhypertexte"/>
                <w:rFonts w:cs="Times New Roman"/>
                <w:noProof/>
                <w:lang w:val="en-US"/>
              </w:rPr>
              <w:t>Data Preparation and Condition Specification</w:t>
            </w:r>
            <w:r>
              <w:rPr>
                <w:noProof/>
                <w:webHidden/>
              </w:rPr>
              <w:tab/>
            </w:r>
            <w:r>
              <w:rPr>
                <w:noProof/>
                <w:webHidden/>
              </w:rPr>
              <w:fldChar w:fldCharType="begin"/>
            </w:r>
            <w:r>
              <w:rPr>
                <w:noProof/>
                <w:webHidden/>
              </w:rPr>
              <w:instrText xml:space="preserve"> PAGEREF _Toc216021116 \h </w:instrText>
            </w:r>
            <w:r>
              <w:rPr>
                <w:noProof/>
                <w:webHidden/>
              </w:rPr>
            </w:r>
            <w:r>
              <w:rPr>
                <w:noProof/>
                <w:webHidden/>
              </w:rPr>
              <w:fldChar w:fldCharType="separate"/>
            </w:r>
            <w:r>
              <w:rPr>
                <w:noProof/>
                <w:webHidden/>
              </w:rPr>
              <w:t>101</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17" w:history="1">
            <w:r w:rsidRPr="00B90BD7">
              <w:rPr>
                <w:rStyle w:val="Lienhypertexte"/>
                <w:rFonts w:cs="Times New Roman"/>
                <w:noProof/>
                <w:lang w:val="en-US"/>
              </w:rPr>
              <w:t>4.2.</w:t>
            </w:r>
            <w:r>
              <w:rPr>
                <w:rFonts w:asciiTheme="minorHAnsi" w:hAnsiTheme="minorHAnsi" w:cstheme="minorBidi"/>
                <w:noProof/>
                <w:sz w:val="22"/>
                <w:szCs w:val="22"/>
                <w:lang w:eastAsia="fr-FR"/>
              </w:rPr>
              <w:tab/>
            </w:r>
            <w:r w:rsidRPr="00B90BD7">
              <w:rPr>
                <w:rStyle w:val="Lienhypertexte"/>
                <w:rFonts w:cs="Times New Roman"/>
                <w:noProof/>
                <w:lang w:val="en-US"/>
              </w:rPr>
              <w:t>CVAE Architecture and Adaptive Training Strategy</w:t>
            </w:r>
            <w:r>
              <w:rPr>
                <w:noProof/>
                <w:webHidden/>
              </w:rPr>
              <w:tab/>
            </w:r>
            <w:r>
              <w:rPr>
                <w:noProof/>
                <w:webHidden/>
              </w:rPr>
              <w:fldChar w:fldCharType="begin"/>
            </w:r>
            <w:r>
              <w:rPr>
                <w:noProof/>
                <w:webHidden/>
              </w:rPr>
              <w:instrText xml:space="preserve"> PAGEREF _Toc216021117 \h </w:instrText>
            </w:r>
            <w:r>
              <w:rPr>
                <w:noProof/>
                <w:webHidden/>
              </w:rPr>
            </w:r>
            <w:r>
              <w:rPr>
                <w:noProof/>
                <w:webHidden/>
              </w:rPr>
              <w:fldChar w:fldCharType="separate"/>
            </w:r>
            <w:r>
              <w:rPr>
                <w:noProof/>
                <w:webHidden/>
              </w:rPr>
              <w:t>103</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18" w:history="1">
            <w:r w:rsidRPr="00B90BD7">
              <w:rPr>
                <w:rStyle w:val="Lienhypertexte"/>
                <w:rFonts w:cs="Times New Roman"/>
                <w:noProof/>
                <w:lang w:val="en-US"/>
              </w:rPr>
              <w:t>4.3.</w:t>
            </w:r>
            <w:r>
              <w:rPr>
                <w:rFonts w:asciiTheme="minorHAnsi" w:hAnsiTheme="minorHAnsi" w:cstheme="minorBidi"/>
                <w:noProof/>
                <w:sz w:val="22"/>
                <w:szCs w:val="22"/>
                <w:lang w:eastAsia="fr-FR"/>
              </w:rPr>
              <w:tab/>
            </w:r>
            <w:r w:rsidRPr="00B90BD7">
              <w:rPr>
                <w:rStyle w:val="Lienhypertexte"/>
                <w:rFonts w:cs="Times New Roman"/>
                <w:noProof/>
                <w:lang w:val="en-US"/>
              </w:rPr>
              <w:t>Generative Exploration Loop and Filtering</w:t>
            </w:r>
            <w:r>
              <w:rPr>
                <w:noProof/>
                <w:webHidden/>
              </w:rPr>
              <w:tab/>
            </w:r>
            <w:r>
              <w:rPr>
                <w:noProof/>
                <w:webHidden/>
              </w:rPr>
              <w:fldChar w:fldCharType="begin"/>
            </w:r>
            <w:r>
              <w:rPr>
                <w:noProof/>
                <w:webHidden/>
              </w:rPr>
              <w:instrText xml:space="preserve"> PAGEREF _Toc216021118 \h </w:instrText>
            </w:r>
            <w:r>
              <w:rPr>
                <w:noProof/>
                <w:webHidden/>
              </w:rPr>
            </w:r>
            <w:r>
              <w:rPr>
                <w:noProof/>
                <w:webHidden/>
              </w:rPr>
              <w:fldChar w:fldCharType="separate"/>
            </w:r>
            <w:r>
              <w:rPr>
                <w:noProof/>
                <w:webHidden/>
              </w:rPr>
              <w:t>106</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19" w:history="1">
            <w:r w:rsidRPr="00B90BD7">
              <w:rPr>
                <w:rStyle w:val="Lienhypertexte"/>
                <w:rFonts w:cs="Times New Roman"/>
                <w:noProof/>
                <w:lang w:val="en-US"/>
              </w:rPr>
              <w:t>4.4.</w:t>
            </w:r>
            <w:r>
              <w:rPr>
                <w:rFonts w:asciiTheme="minorHAnsi" w:hAnsiTheme="minorHAnsi" w:cstheme="minorBidi"/>
                <w:noProof/>
                <w:sz w:val="22"/>
                <w:szCs w:val="22"/>
                <w:lang w:eastAsia="fr-FR"/>
              </w:rPr>
              <w:tab/>
            </w:r>
            <w:r w:rsidRPr="00B90BD7">
              <w:rPr>
                <w:rStyle w:val="Lienhypertexte"/>
                <w:rFonts w:cs="Times New Roman"/>
                <w:noProof/>
                <w:lang w:val="en-US"/>
              </w:rPr>
              <w:t>Latent Space Augmentation via Hamming-Based Sampling</w:t>
            </w:r>
            <w:r>
              <w:rPr>
                <w:noProof/>
                <w:webHidden/>
              </w:rPr>
              <w:tab/>
            </w:r>
            <w:r>
              <w:rPr>
                <w:noProof/>
                <w:webHidden/>
              </w:rPr>
              <w:fldChar w:fldCharType="begin"/>
            </w:r>
            <w:r>
              <w:rPr>
                <w:noProof/>
                <w:webHidden/>
              </w:rPr>
              <w:instrText xml:space="preserve"> PAGEREF _Toc216021119 \h </w:instrText>
            </w:r>
            <w:r>
              <w:rPr>
                <w:noProof/>
                <w:webHidden/>
              </w:rPr>
            </w:r>
            <w:r>
              <w:rPr>
                <w:noProof/>
                <w:webHidden/>
              </w:rPr>
              <w:fldChar w:fldCharType="separate"/>
            </w:r>
            <w:r>
              <w:rPr>
                <w:noProof/>
                <w:webHidden/>
              </w:rPr>
              <w:t>108</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20" w:history="1">
            <w:r w:rsidRPr="00B90BD7">
              <w:rPr>
                <w:rStyle w:val="Lienhypertexte"/>
                <w:rFonts w:cs="Times New Roman"/>
                <w:noProof/>
                <w:lang w:val="en-US"/>
              </w:rPr>
              <w:t>4.5.</w:t>
            </w:r>
            <w:r>
              <w:rPr>
                <w:rFonts w:asciiTheme="minorHAnsi" w:hAnsiTheme="minorHAnsi" w:cstheme="minorBidi"/>
                <w:noProof/>
                <w:sz w:val="22"/>
                <w:szCs w:val="22"/>
                <w:lang w:eastAsia="fr-FR"/>
              </w:rPr>
              <w:tab/>
            </w:r>
            <w:r w:rsidRPr="00B90BD7">
              <w:rPr>
                <w:rStyle w:val="Lienhypertexte"/>
                <w:rFonts w:cs="Times New Roman"/>
                <w:noProof/>
                <w:lang w:val="en-US"/>
              </w:rPr>
              <w:t>Simplex Steepest-Ascent on Pareto Front Compositions</w:t>
            </w:r>
            <w:r>
              <w:rPr>
                <w:noProof/>
                <w:webHidden/>
              </w:rPr>
              <w:tab/>
            </w:r>
            <w:r>
              <w:rPr>
                <w:noProof/>
                <w:webHidden/>
              </w:rPr>
              <w:fldChar w:fldCharType="begin"/>
            </w:r>
            <w:r>
              <w:rPr>
                <w:noProof/>
                <w:webHidden/>
              </w:rPr>
              <w:instrText xml:space="preserve"> PAGEREF _Toc216021120 \h </w:instrText>
            </w:r>
            <w:r>
              <w:rPr>
                <w:noProof/>
                <w:webHidden/>
              </w:rPr>
            </w:r>
            <w:r>
              <w:rPr>
                <w:noProof/>
                <w:webHidden/>
              </w:rPr>
              <w:fldChar w:fldCharType="separate"/>
            </w:r>
            <w:r>
              <w:rPr>
                <w:noProof/>
                <w:webHidden/>
              </w:rPr>
              <w:t>112</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21" w:history="1">
            <w:r w:rsidRPr="00B90BD7">
              <w:rPr>
                <w:rStyle w:val="Lienhypertexte"/>
                <w:rFonts w:cs="Times New Roman"/>
                <w:noProof/>
                <w:lang w:val="en-US"/>
              </w:rPr>
              <w:t>4.6.</w:t>
            </w:r>
            <w:r>
              <w:rPr>
                <w:rFonts w:asciiTheme="minorHAnsi" w:hAnsiTheme="minorHAnsi" w:cstheme="minorBidi"/>
                <w:noProof/>
                <w:sz w:val="22"/>
                <w:szCs w:val="22"/>
                <w:lang w:eastAsia="fr-FR"/>
              </w:rPr>
              <w:tab/>
            </w:r>
            <w:r w:rsidRPr="00B90BD7">
              <w:rPr>
                <w:rStyle w:val="Lienhypertexte"/>
                <w:rFonts w:cs="Times New Roman"/>
                <w:noProof/>
                <w:lang w:val="en-US"/>
              </w:rPr>
              <w:t>Results and Candidate</w:t>
            </w:r>
            <w:r w:rsidRPr="00B90BD7">
              <w:rPr>
                <w:rStyle w:val="Lienhypertexte"/>
                <w:rFonts w:cs="Times New Roman"/>
                <w:noProof/>
                <w:lang w:val="en-US"/>
              </w:rPr>
              <w:t xml:space="preserve"> </w:t>
            </w:r>
            <w:r w:rsidRPr="00B90BD7">
              <w:rPr>
                <w:rStyle w:val="Lienhypertexte"/>
                <w:rFonts w:cs="Times New Roman"/>
                <w:noProof/>
                <w:lang w:val="en-US"/>
              </w:rPr>
              <w:t>Analysis</w:t>
            </w:r>
            <w:r>
              <w:rPr>
                <w:noProof/>
                <w:webHidden/>
              </w:rPr>
              <w:tab/>
            </w:r>
            <w:r>
              <w:rPr>
                <w:noProof/>
                <w:webHidden/>
              </w:rPr>
              <w:fldChar w:fldCharType="begin"/>
            </w:r>
            <w:r>
              <w:rPr>
                <w:noProof/>
                <w:webHidden/>
              </w:rPr>
              <w:instrText xml:space="preserve"> PAGEREF _Toc216021121 \h </w:instrText>
            </w:r>
            <w:r>
              <w:rPr>
                <w:noProof/>
                <w:webHidden/>
              </w:rPr>
            </w:r>
            <w:r>
              <w:rPr>
                <w:noProof/>
                <w:webHidden/>
              </w:rPr>
              <w:fldChar w:fldCharType="separate"/>
            </w:r>
            <w:r>
              <w:rPr>
                <w:noProof/>
                <w:webHidden/>
              </w:rPr>
              <w:t>115</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22" w:history="1">
            <w:r w:rsidRPr="00B90BD7">
              <w:rPr>
                <w:rStyle w:val="Lienhypertexte"/>
                <w:rFonts w:cs="Times New Roman"/>
                <w:noProof/>
                <w:lang w:val="en-US"/>
              </w:rPr>
              <w:t>4.6.1.</w:t>
            </w:r>
            <w:r>
              <w:rPr>
                <w:rFonts w:asciiTheme="minorHAnsi" w:hAnsiTheme="minorHAnsi" w:cstheme="minorBidi"/>
                <w:noProof/>
                <w:sz w:val="22"/>
                <w:szCs w:val="22"/>
                <w:lang w:eastAsia="fr-FR"/>
              </w:rPr>
              <w:tab/>
            </w:r>
            <w:r w:rsidRPr="00B90BD7">
              <w:rPr>
                <w:rStyle w:val="Lienhypertexte"/>
                <w:rFonts w:cs="Times New Roman"/>
                <w:noProof/>
                <w:lang w:val="en-US"/>
              </w:rPr>
              <w:t>Ward Linkage Clustering and Medoid Selection</w:t>
            </w:r>
            <w:r>
              <w:rPr>
                <w:noProof/>
                <w:webHidden/>
              </w:rPr>
              <w:tab/>
            </w:r>
            <w:r>
              <w:rPr>
                <w:noProof/>
                <w:webHidden/>
              </w:rPr>
              <w:fldChar w:fldCharType="begin"/>
            </w:r>
            <w:r>
              <w:rPr>
                <w:noProof/>
                <w:webHidden/>
              </w:rPr>
              <w:instrText xml:space="preserve"> PAGEREF _Toc216021122 \h </w:instrText>
            </w:r>
            <w:r>
              <w:rPr>
                <w:noProof/>
                <w:webHidden/>
              </w:rPr>
            </w:r>
            <w:r>
              <w:rPr>
                <w:noProof/>
                <w:webHidden/>
              </w:rPr>
              <w:fldChar w:fldCharType="separate"/>
            </w:r>
            <w:r>
              <w:rPr>
                <w:noProof/>
                <w:webHidden/>
              </w:rPr>
              <w:t>118</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23" w:history="1">
            <w:r w:rsidRPr="00B90BD7">
              <w:rPr>
                <w:rStyle w:val="Lienhypertexte"/>
                <w:rFonts w:cs="Times New Roman"/>
                <w:noProof/>
                <w:lang w:val="en-US"/>
              </w:rPr>
              <w:t>4.6.2.</w:t>
            </w:r>
            <w:r>
              <w:rPr>
                <w:rFonts w:asciiTheme="minorHAnsi" w:hAnsiTheme="minorHAnsi" w:cstheme="minorBidi"/>
                <w:noProof/>
                <w:sz w:val="22"/>
                <w:szCs w:val="22"/>
                <w:lang w:eastAsia="fr-FR"/>
              </w:rPr>
              <w:tab/>
            </w:r>
            <w:r w:rsidRPr="00B90BD7">
              <w:rPr>
                <w:rStyle w:val="Lienhypertexte"/>
                <w:rFonts w:cs="Times New Roman"/>
                <w:noProof/>
                <w:lang w:val="en-US"/>
              </w:rPr>
              <w:t>Pareto Front Computation and Compression</w:t>
            </w:r>
            <w:r>
              <w:rPr>
                <w:noProof/>
                <w:webHidden/>
              </w:rPr>
              <w:tab/>
            </w:r>
            <w:r>
              <w:rPr>
                <w:noProof/>
                <w:webHidden/>
              </w:rPr>
              <w:fldChar w:fldCharType="begin"/>
            </w:r>
            <w:r>
              <w:rPr>
                <w:noProof/>
                <w:webHidden/>
              </w:rPr>
              <w:instrText xml:space="preserve"> PAGEREF _Toc216021123 \h </w:instrText>
            </w:r>
            <w:r>
              <w:rPr>
                <w:noProof/>
                <w:webHidden/>
              </w:rPr>
            </w:r>
            <w:r>
              <w:rPr>
                <w:noProof/>
                <w:webHidden/>
              </w:rPr>
              <w:fldChar w:fldCharType="separate"/>
            </w:r>
            <w:r>
              <w:rPr>
                <w:noProof/>
                <w:webHidden/>
              </w:rPr>
              <w:t>119</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24" w:history="1">
            <w:r w:rsidRPr="00B90BD7">
              <w:rPr>
                <w:rStyle w:val="Lienhypertexte"/>
                <w:rFonts w:cs="Times New Roman"/>
                <w:noProof/>
                <w:lang w:val="en-US"/>
              </w:rPr>
              <w:t>4.6.3.</w:t>
            </w:r>
            <w:r>
              <w:rPr>
                <w:rFonts w:asciiTheme="minorHAnsi" w:hAnsiTheme="minorHAnsi" w:cstheme="minorBidi"/>
                <w:noProof/>
                <w:sz w:val="22"/>
                <w:szCs w:val="22"/>
                <w:lang w:eastAsia="fr-FR"/>
              </w:rPr>
              <w:tab/>
            </w:r>
            <w:r w:rsidRPr="00B90BD7">
              <w:rPr>
                <w:rStyle w:val="Lienhypertexte"/>
                <w:rFonts w:cs="Times New Roman"/>
                <w:noProof/>
                <w:lang w:val="en-US"/>
              </w:rPr>
              <w:t>Ashby Chart Visualization and Materials Selection</w:t>
            </w:r>
            <w:r>
              <w:rPr>
                <w:noProof/>
                <w:webHidden/>
              </w:rPr>
              <w:tab/>
            </w:r>
            <w:r>
              <w:rPr>
                <w:noProof/>
                <w:webHidden/>
              </w:rPr>
              <w:fldChar w:fldCharType="begin"/>
            </w:r>
            <w:r>
              <w:rPr>
                <w:noProof/>
                <w:webHidden/>
              </w:rPr>
              <w:instrText xml:space="preserve"> PAGEREF _Toc216021124 \h </w:instrText>
            </w:r>
            <w:r>
              <w:rPr>
                <w:noProof/>
                <w:webHidden/>
              </w:rPr>
            </w:r>
            <w:r>
              <w:rPr>
                <w:noProof/>
                <w:webHidden/>
              </w:rPr>
              <w:fldChar w:fldCharType="separate"/>
            </w:r>
            <w:r>
              <w:rPr>
                <w:noProof/>
                <w:webHidden/>
              </w:rPr>
              <w:t>121</w:t>
            </w:r>
            <w:r>
              <w:rPr>
                <w:noProof/>
                <w:webHidden/>
              </w:rPr>
              <w:fldChar w:fldCharType="end"/>
            </w:r>
          </w:hyperlink>
        </w:p>
        <w:p w:rsidR="00380C88" w:rsidRDefault="00380C88">
          <w:pPr>
            <w:pStyle w:val="TM2"/>
            <w:tabs>
              <w:tab w:val="left" w:pos="880"/>
              <w:tab w:val="right" w:leader="dot" w:pos="9062"/>
            </w:tabs>
            <w:rPr>
              <w:rFonts w:asciiTheme="minorHAnsi" w:hAnsiTheme="minorHAnsi" w:cstheme="minorBidi"/>
              <w:noProof/>
              <w:sz w:val="22"/>
              <w:szCs w:val="22"/>
              <w:lang w:eastAsia="fr-FR"/>
            </w:rPr>
          </w:pPr>
          <w:hyperlink w:anchor="_Toc216021125" w:history="1">
            <w:r w:rsidRPr="00B90BD7">
              <w:rPr>
                <w:rStyle w:val="Lienhypertexte"/>
                <w:rFonts w:cs="Times New Roman"/>
                <w:noProof/>
                <w:lang w:val="en-US"/>
              </w:rPr>
              <w:t>4.7.</w:t>
            </w:r>
            <w:r>
              <w:rPr>
                <w:rFonts w:asciiTheme="minorHAnsi" w:hAnsiTheme="minorHAnsi" w:cstheme="minorBidi"/>
                <w:noProof/>
                <w:sz w:val="22"/>
                <w:szCs w:val="22"/>
                <w:lang w:eastAsia="fr-FR"/>
              </w:rPr>
              <w:tab/>
            </w:r>
            <w:r w:rsidRPr="00B90BD7">
              <w:rPr>
                <w:rStyle w:val="Lienhypertexte"/>
                <w:rFonts w:cs="Times New Roman"/>
                <w:noProof/>
                <w:lang w:val="en-US"/>
              </w:rPr>
              <w:t>Analysis of the Pareto Front &amp; Selection</w:t>
            </w:r>
            <w:r>
              <w:rPr>
                <w:noProof/>
                <w:webHidden/>
              </w:rPr>
              <w:tab/>
            </w:r>
            <w:r>
              <w:rPr>
                <w:noProof/>
                <w:webHidden/>
              </w:rPr>
              <w:fldChar w:fldCharType="begin"/>
            </w:r>
            <w:r>
              <w:rPr>
                <w:noProof/>
                <w:webHidden/>
              </w:rPr>
              <w:instrText xml:space="preserve"> PAGEREF _Toc216021125 \h </w:instrText>
            </w:r>
            <w:r>
              <w:rPr>
                <w:noProof/>
                <w:webHidden/>
              </w:rPr>
            </w:r>
            <w:r>
              <w:rPr>
                <w:noProof/>
                <w:webHidden/>
              </w:rPr>
              <w:fldChar w:fldCharType="separate"/>
            </w:r>
            <w:r>
              <w:rPr>
                <w:noProof/>
                <w:webHidden/>
              </w:rPr>
              <w:t>128</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26" w:history="1">
            <w:r w:rsidRPr="00B90BD7">
              <w:rPr>
                <w:rStyle w:val="Lienhypertexte"/>
                <w:rFonts w:cs="Times New Roman"/>
                <w:noProof/>
                <w:lang w:val="en-US"/>
              </w:rPr>
              <w:t>4.7.1.</w:t>
            </w:r>
            <w:r>
              <w:rPr>
                <w:rFonts w:asciiTheme="minorHAnsi" w:hAnsiTheme="minorHAnsi" w:cstheme="minorBidi"/>
                <w:noProof/>
                <w:sz w:val="22"/>
                <w:szCs w:val="22"/>
                <w:lang w:eastAsia="fr-FR"/>
              </w:rPr>
              <w:tab/>
            </w:r>
            <w:r w:rsidRPr="00B90BD7">
              <w:rPr>
                <w:rStyle w:val="Lienhypertexte"/>
                <w:rFonts w:cs="Times New Roman"/>
                <w:noProof/>
                <w:lang w:val="en-US"/>
              </w:rPr>
              <w:t>Analysis of the Correlations between Elements in the Pareto Front</w:t>
            </w:r>
            <w:r>
              <w:rPr>
                <w:noProof/>
                <w:webHidden/>
              </w:rPr>
              <w:tab/>
            </w:r>
            <w:r>
              <w:rPr>
                <w:noProof/>
                <w:webHidden/>
              </w:rPr>
              <w:fldChar w:fldCharType="begin"/>
            </w:r>
            <w:r>
              <w:rPr>
                <w:noProof/>
                <w:webHidden/>
              </w:rPr>
              <w:instrText xml:space="preserve"> PAGEREF _Toc216021126 \h </w:instrText>
            </w:r>
            <w:r>
              <w:rPr>
                <w:noProof/>
                <w:webHidden/>
              </w:rPr>
            </w:r>
            <w:r>
              <w:rPr>
                <w:noProof/>
                <w:webHidden/>
              </w:rPr>
              <w:fldChar w:fldCharType="separate"/>
            </w:r>
            <w:r>
              <w:rPr>
                <w:noProof/>
                <w:webHidden/>
              </w:rPr>
              <w:t>130</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27" w:history="1">
            <w:r w:rsidRPr="00B90BD7">
              <w:rPr>
                <w:rStyle w:val="Lienhypertexte"/>
                <w:rFonts w:cs="Times New Roman"/>
                <w:noProof/>
                <w:lang w:val="en-US"/>
              </w:rPr>
              <w:t>4.7.2.</w:t>
            </w:r>
            <w:r>
              <w:rPr>
                <w:rFonts w:asciiTheme="minorHAnsi" w:hAnsiTheme="minorHAnsi" w:cstheme="minorBidi"/>
                <w:noProof/>
                <w:sz w:val="22"/>
                <w:szCs w:val="22"/>
                <w:lang w:eastAsia="fr-FR"/>
              </w:rPr>
              <w:tab/>
            </w:r>
            <w:r w:rsidRPr="00B90BD7">
              <w:rPr>
                <w:rStyle w:val="Lienhypertexte"/>
                <w:rFonts w:cs="Times New Roman"/>
                <w:noProof/>
                <w:lang w:val="en-US"/>
              </w:rPr>
              <w:t>Ward Clustering on CLR-Transformed Compositions and Analysis</w:t>
            </w:r>
            <w:r>
              <w:rPr>
                <w:noProof/>
                <w:webHidden/>
              </w:rPr>
              <w:tab/>
            </w:r>
            <w:r>
              <w:rPr>
                <w:noProof/>
                <w:webHidden/>
              </w:rPr>
              <w:fldChar w:fldCharType="begin"/>
            </w:r>
            <w:r>
              <w:rPr>
                <w:noProof/>
                <w:webHidden/>
              </w:rPr>
              <w:instrText xml:space="preserve"> PAGEREF _Toc216021127 \h </w:instrText>
            </w:r>
            <w:r>
              <w:rPr>
                <w:noProof/>
                <w:webHidden/>
              </w:rPr>
            </w:r>
            <w:r>
              <w:rPr>
                <w:noProof/>
                <w:webHidden/>
              </w:rPr>
              <w:fldChar w:fldCharType="separate"/>
            </w:r>
            <w:r>
              <w:rPr>
                <w:noProof/>
                <w:webHidden/>
              </w:rPr>
              <w:t>132</w:t>
            </w:r>
            <w:r>
              <w:rPr>
                <w:noProof/>
                <w:webHidden/>
              </w:rPr>
              <w:fldChar w:fldCharType="end"/>
            </w:r>
          </w:hyperlink>
        </w:p>
        <w:p w:rsidR="00380C88" w:rsidRDefault="00380C88">
          <w:pPr>
            <w:pStyle w:val="TM3"/>
            <w:tabs>
              <w:tab w:val="left" w:pos="1320"/>
              <w:tab w:val="right" w:leader="dot" w:pos="9062"/>
            </w:tabs>
            <w:rPr>
              <w:rFonts w:asciiTheme="minorHAnsi" w:hAnsiTheme="minorHAnsi" w:cstheme="minorBidi"/>
              <w:noProof/>
              <w:sz w:val="22"/>
              <w:szCs w:val="22"/>
              <w:lang w:eastAsia="fr-FR"/>
            </w:rPr>
          </w:pPr>
          <w:hyperlink w:anchor="_Toc216021128" w:history="1">
            <w:r w:rsidRPr="00B90BD7">
              <w:rPr>
                <w:rStyle w:val="Lienhypertexte"/>
                <w:rFonts w:cs="Times New Roman"/>
                <w:noProof/>
                <w:lang w:val="en-US"/>
              </w:rPr>
              <w:t>4.7.3.</w:t>
            </w:r>
            <w:r>
              <w:rPr>
                <w:rFonts w:asciiTheme="minorHAnsi" w:hAnsiTheme="minorHAnsi" w:cstheme="minorBidi"/>
                <w:noProof/>
                <w:sz w:val="22"/>
                <w:szCs w:val="22"/>
                <w:lang w:eastAsia="fr-FR"/>
              </w:rPr>
              <w:tab/>
            </w:r>
            <w:r w:rsidRPr="00B90BD7">
              <w:rPr>
                <w:rStyle w:val="Lienhypertexte"/>
                <w:rFonts w:cs="Times New Roman"/>
                <w:noProof/>
                <w:lang w:val="en-US"/>
              </w:rPr>
              <w:t>Experimental Validation and Iterative Integration</w:t>
            </w:r>
            <w:r>
              <w:rPr>
                <w:noProof/>
                <w:webHidden/>
              </w:rPr>
              <w:tab/>
            </w:r>
            <w:r>
              <w:rPr>
                <w:noProof/>
                <w:webHidden/>
              </w:rPr>
              <w:fldChar w:fldCharType="begin"/>
            </w:r>
            <w:r>
              <w:rPr>
                <w:noProof/>
                <w:webHidden/>
              </w:rPr>
              <w:instrText xml:space="preserve"> PAGEREF _Toc216021128 \h </w:instrText>
            </w:r>
            <w:r>
              <w:rPr>
                <w:noProof/>
                <w:webHidden/>
              </w:rPr>
            </w:r>
            <w:r>
              <w:rPr>
                <w:noProof/>
                <w:webHidden/>
              </w:rPr>
              <w:fldChar w:fldCharType="separate"/>
            </w:r>
            <w:r>
              <w:rPr>
                <w:noProof/>
                <w:webHidden/>
              </w:rPr>
              <w:t>136</w:t>
            </w:r>
            <w:r>
              <w:rPr>
                <w:noProof/>
                <w:webHidden/>
              </w:rPr>
              <w:fldChar w:fldCharType="end"/>
            </w:r>
          </w:hyperlink>
        </w:p>
        <w:p w:rsidR="00A555F4" w:rsidRDefault="00A555F4" w:rsidP="00FA1DC5">
          <w:pPr>
            <w:spacing w:line="480" w:lineRule="auto"/>
          </w:pPr>
          <w:r>
            <w:rPr>
              <w:b/>
              <w:bCs/>
            </w:rPr>
            <w:fldChar w:fldCharType="end"/>
          </w:r>
        </w:p>
      </w:sdtContent>
    </w:sdt>
    <w:p w:rsidR="00FC0993" w:rsidRDefault="00FC0993" w:rsidP="00A555F4">
      <w:pPr>
        <w:spacing w:after="160" w:line="480" w:lineRule="auto"/>
        <w:rPr>
          <w:rFonts w:cs="Times New Roman"/>
          <w:lang w:val="en-US"/>
        </w:rPr>
      </w:pPr>
      <w:r>
        <w:rPr>
          <w:rFonts w:cs="Times New Roman"/>
          <w:lang w:val="en-US"/>
        </w:rPr>
        <w:br w:type="page"/>
      </w:r>
    </w:p>
    <w:p w:rsidR="007419CB" w:rsidRPr="000A4838" w:rsidRDefault="007419CB" w:rsidP="00F949EF">
      <w:pPr>
        <w:pStyle w:val="Titre1"/>
        <w:numPr>
          <w:ilvl w:val="0"/>
          <w:numId w:val="40"/>
        </w:numPr>
        <w:spacing w:before="0" w:after="160" w:line="480" w:lineRule="auto"/>
        <w:rPr>
          <w:rFonts w:ascii="Times New Roman" w:hAnsi="Times New Roman" w:cs="Times New Roman"/>
          <w:color w:val="auto"/>
          <w:lang w:val="en-US"/>
        </w:rPr>
      </w:pPr>
      <w:bookmarkStart w:id="3" w:name="_Toc216021081"/>
      <w:r w:rsidRPr="000A4838">
        <w:rPr>
          <w:rFonts w:ascii="Times New Roman" w:hAnsi="Times New Roman" w:cs="Times New Roman"/>
          <w:color w:val="auto"/>
          <w:lang w:val="en-US"/>
        </w:rPr>
        <w:lastRenderedPageBreak/>
        <w:t>METHODOLOGICAL FRAMEWORK</w:t>
      </w:r>
      <w:bookmarkEnd w:id="0"/>
      <w:bookmarkEnd w:id="1"/>
      <w:bookmarkEnd w:id="2"/>
      <w:bookmarkEnd w:id="3"/>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4" w:name="_Ref205243482"/>
      <w:bookmarkStart w:id="5" w:name="_Toc214314320"/>
      <w:bookmarkStart w:id="6" w:name="_Toc216021082"/>
      <w:r w:rsidRPr="000A4838">
        <w:rPr>
          <w:rFonts w:ascii="Times New Roman" w:hAnsi="Times New Roman" w:cs="Times New Roman"/>
          <w:color w:val="auto"/>
          <w:sz w:val="24"/>
          <w:szCs w:val="24"/>
          <w:lang w:val="en-US"/>
        </w:rPr>
        <w:t>Target Property Matrix</w:t>
      </w:r>
      <w:bookmarkEnd w:id="4"/>
      <w:bookmarkEnd w:id="5"/>
      <w:bookmarkEnd w:id="6"/>
    </w:p>
    <w:p w:rsidR="007419CB" w:rsidRPr="000A4838" w:rsidRDefault="007419CB" w:rsidP="0021751D">
      <w:pPr>
        <w:spacing w:after="160" w:line="480" w:lineRule="auto"/>
        <w:rPr>
          <w:lang w:val="en-US"/>
        </w:rPr>
      </w:pPr>
      <w:r w:rsidRPr="000A4838">
        <w:rPr>
          <w:lang w:val="en-US"/>
        </w:rPr>
        <w:t xml:space="preserve">To engineer a high-entropy superalloy (HESA) that merges high strength, thermal stability, and environmental resistance, it is essential to identify the key properties that collectively define “good” performance. Drawing upon both high-entropy alloy (HEA) and conventional superalloy literature, the following physical quantities form the </w:t>
      </w:r>
      <w:r w:rsidRPr="000A4838">
        <w:rPr>
          <w:rStyle w:val="lev"/>
          <w:rFonts w:eastAsia="Arial"/>
          <w:b w:val="0"/>
          <w:lang w:val="en-US"/>
        </w:rPr>
        <w:t>Target Property Matrix</w:t>
      </w:r>
      <w:r w:rsidRPr="000A4838">
        <w:rPr>
          <w:lang w:val="en-US"/>
        </w:rPr>
        <w:t>, which guides descriptor engineering (Section </w:t>
      </w:r>
      <w:r w:rsidRPr="00935A2F">
        <w:rPr>
          <w:i/>
          <w:lang w:val="en-US"/>
        </w:rPr>
        <w:fldChar w:fldCharType="begin"/>
      </w:r>
      <w:r w:rsidRPr="00935A2F">
        <w:rPr>
          <w:i/>
          <w:lang w:val="en-US"/>
        </w:rPr>
        <w:instrText xml:space="preserve"> REF _Ref203551999 \h </w:instrText>
      </w:r>
      <w:r>
        <w:rPr>
          <w:i/>
          <w:lang w:val="en-US"/>
        </w:rPr>
        <w:instrText xml:space="preserve"> \* MERGEFORMAT </w:instrText>
      </w:r>
      <w:r w:rsidRPr="00935A2F">
        <w:rPr>
          <w:i/>
          <w:lang w:val="en-US"/>
        </w:rPr>
      </w:r>
      <w:r w:rsidRPr="00935A2F">
        <w:rPr>
          <w:i/>
          <w:lang w:val="en-US"/>
        </w:rPr>
        <w:fldChar w:fldCharType="separate"/>
      </w:r>
      <w:r w:rsidR="00380C88" w:rsidRPr="00380C88">
        <w:rPr>
          <w:rFonts w:cs="Times New Roman"/>
          <w:i/>
          <w:szCs w:val="24"/>
          <w:lang w:val="en-US"/>
        </w:rPr>
        <w:t>Descriptors Engineering</w:t>
      </w:r>
      <w:r w:rsidRPr="00935A2F">
        <w:rPr>
          <w:i/>
          <w:lang w:val="en-US"/>
        </w:rPr>
        <w:fldChar w:fldCharType="end"/>
      </w:r>
      <w:r w:rsidRPr="000A4838">
        <w:rPr>
          <w:lang w:val="en-US"/>
        </w:rPr>
        <w:t>) and property-driven model development (Section </w:t>
      </w:r>
      <w:r w:rsidRPr="00935A2F">
        <w:rPr>
          <w:i/>
          <w:lang w:val="en-US"/>
        </w:rPr>
        <w:fldChar w:fldCharType="begin"/>
      </w:r>
      <w:r w:rsidRPr="00935A2F">
        <w:rPr>
          <w:i/>
          <w:lang w:val="en-US"/>
        </w:rPr>
        <w:instrText xml:space="preserve"> REF _Ref203552040 \h </w:instrText>
      </w:r>
      <w:r>
        <w:rPr>
          <w:i/>
          <w:lang w:val="en-US"/>
        </w:rPr>
        <w:instrText xml:space="preserve"> \* MERGEFORMAT </w:instrText>
      </w:r>
      <w:r w:rsidRPr="00935A2F">
        <w:rPr>
          <w:i/>
          <w:lang w:val="en-US"/>
        </w:rPr>
      </w:r>
      <w:r w:rsidRPr="00935A2F">
        <w:rPr>
          <w:i/>
          <w:lang w:val="en-US"/>
        </w:rPr>
        <w:fldChar w:fldCharType="separate"/>
      </w:r>
      <w:r w:rsidR="00380C88" w:rsidRPr="00380C88">
        <w:rPr>
          <w:rFonts w:cs="Times New Roman"/>
          <w:i/>
          <w:szCs w:val="24"/>
          <w:lang w:val="en-US"/>
        </w:rPr>
        <w:t>Supervised Machine Learning</w:t>
      </w:r>
      <w:r w:rsidRPr="00935A2F">
        <w:rPr>
          <w:i/>
          <w:lang w:val="en-US"/>
        </w:rPr>
        <w:fldChar w:fldCharType="end"/>
      </w:r>
      <w:r w:rsidRPr="000A4838">
        <w:rPr>
          <w:lang w:val="en-US"/>
        </w:rPr>
        <w:t>).</w:t>
      </w:r>
    </w:p>
    <w:p w:rsidR="007419CB" w:rsidRPr="00A660E4" w:rsidRDefault="007419CB" w:rsidP="0021751D">
      <w:pPr>
        <w:spacing w:after="160" w:line="480" w:lineRule="auto"/>
        <w:rPr>
          <w:lang w:val="en-US"/>
        </w:rPr>
      </w:pPr>
      <w:r w:rsidRPr="00A660E4">
        <w:rPr>
          <w:lang w:val="en-US"/>
        </w:rPr>
        <w:t xml:space="preserve">High-temperature strength is primarily governed by creep resistance. This property is enhanced by the precipitation of ordered </w:t>
      </w:r>
      <m:oMath>
        <m:r>
          <w:rPr>
            <w:rFonts w:ascii="Cambria Math" w:hAnsi="Cambria Math"/>
            <w:lang w:val="en-US"/>
          </w:rPr>
          <m:t>γ'</m:t>
        </m:r>
      </m:oMath>
      <w:r w:rsidRPr="00A660E4">
        <w:rPr>
          <w:lang w:val="en-US"/>
        </w:rPr>
        <w:t xml:space="preserve"> (L1</w:t>
      </w:r>
      <w:r w:rsidRPr="00A660E4">
        <w:rPr>
          <w:vertAlign w:val="subscript"/>
          <w:lang w:val="en-US"/>
        </w:rPr>
        <w:t>2</w:t>
      </w:r>
      <w:r w:rsidRPr="00A660E4">
        <w:rPr>
          <w:lang w:val="en-US"/>
        </w:rPr>
        <w:t xml:space="preserve">) phases within an FCC matrix </w:t>
      </w:r>
      <w:r w:rsidRPr="00A660E4">
        <w:rPr>
          <w:lang w:val="en-US"/>
        </w:rPr>
        <w:fldChar w:fldCharType="begin"/>
      </w:r>
      <w:r w:rsidR="00B77C17">
        <w:rPr>
          <w:lang w:val="en-US"/>
        </w:rPr>
        <w:instrText xml:space="preserve"> ADDIN ZOTERO_ITEM CSL_CITATION {"citationID":"U4DgmLKC","properties":{"formattedCitation":"\\super 1\\nosupersub{}","plainCitation":"1","noteIndex":0},"citationItems":[{"id":350,"uris":["http://zotero.org/users/local/hYny5ca1/items/YF3VXW6L","http://zotero.org/users/local/hYny5ca1/items/SYTVESPM"],"itemData":{"id":350,"type":"article-journal","abstract":"Improving creep resistance has commonly been achieved by the optimizat ion of alloy design that results into strong solid-solution strengthen ing and/or coherent precipitates for dislocation blockage. High-entrop y alloys (HEAs), despite their single-phase solid-solution nature, onl y exhibit creep properties that are comparable to precipitate-strength ened ferritic alloys. Moreover, many HEAs are found to be plagued with many incoherent second phases after long-term annealing, which reduce s the lifetime and thus prohibits their usage at elevated temperatures . The present work demonstrates the extraordinary creep resistance of a non-equiatomic Al0.3CoCrFeNi HEA, in which the creep strain rate is found to be several orders of magnitude lower than the Cantor alloy an d its subsets. Using a suite of characterization tools such as atom pr obe tomography (APT) and transmission electron microscopy (TEM), it wa s shown that a B2 precipitate phase that has been widely seen during a nnealing is suppressed during the early stage of the creep deformation . Currently, metastable and coherent L12 precipitates emerge and provi de significant creep strengthening. This observation is rationalized b y the coupling between the applied stress and the lattice mismatch. In the range of 973 </w:instrText>
      </w:r>
      <w:r w:rsidR="00B77C17">
        <w:rPr>
          <w:rFonts w:ascii="Cambria Math" w:hAnsi="Cambria Math"/>
          <w:lang w:val="en-US"/>
        </w:rPr>
        <w:instrText>∼</w:instrText>
      </w:r>
      <w:r w:rsidR="00B77C17">
        <w:rPr>
          <w:lang w:val="en-US"/>
        </w:rPr>
        <w:instrText xml:space="preserve"> 1033 K, the stress exponent and activation energy were determined to be 3–6.53 and 390–548.2 kJ·mol−1, respectively. The creep lifetime, on the other hand, is comparable to Cantor subset all oys because the precipitate free zone near the grain boundaries does n ot provide sufficient constraint for the grain boundary cavity growth. The present work provides a pathway to design novel HEAs with improve d creep resistance.","archive":"Crossref","container-title":"Acta Materialia","DOI":"10.1016/j.actamat.2022.118600","ISSN":"1359-6454","journalAbbreviation":"Acta Materialia","language":"en","page":"118600","title":"Extraordinary creep resistance in a non-equiatomic high-entropy alloy from the optimum solid-solution strengthening and stress-assisted prec ipitation process","volume":"244","author":[{"family":"Chen","given":"Shuying"},{"family":"Qiao","given":"Jingbo"},{"family":"Diao","given":"Haoyan"},{"family":"Yang","given":"Tengfei"},{"family":"Poplawsky","given":"Jonathan"},{"family":"Li","given":"Weidong"},{"family":"Meng","given":"Fanchao"},{"family":"Tong","given":"Yang"},{"family":"Jiang","given":"Liang"},{"family":"Liaw","given":"Peter K."},{"family":"Gao","given":"Yanfei"}],"issued":{"date-parts":[["2023",1]]}}}],"schema":"https://github.com/citation-style-language/schema/raw/master/csl-citation.json"} </w:instrText>
      </w:r>
      <w:r w:rsidRPr="00A660E4">
        <w:rPr>
          <w:lang w:val="en-US"/>
        </w:rPr>
        <w:fldChar w:fldCharType="separate"/>
      </w:r>
      <w:r w:rsidR="00B77C17" w:rsidRPr="00B77C17">
        <w:rPr>
          <w:rFonts w:cs="Times New Roman"/>
          <w:szCs w:val="24"/>
          <w:vertAlign w:val="superscript"/>
          <w:lang w:val="en-US"/>
        </w:rPr>
        <w:t>1</w:t>
      </w:r>
      <w:r w:rsidRPr="00A660E4">
        <w:rPr>
          <w:lang w:val="en-US"/>
        </w:rPr>
        <w:fldChar w:fldCharType="end"/>
      </w:r>
      <w:r w:rsidRPr="00A660E4">
        <w:rPr>
          <w:lang w:val="en-US"/>
        </w:rPr>
        <w:t xml:space="preserve">. Reported activation energies range from 378 to 548 kJ mol⁻¹ and stress exponents from 3 to 6.5 </w:t>
      </w:r>
      <w:r w:rsidRPr="00A660E4">
        <w:rPr>
          <w:lang w:val="en-US"/>
        </w:rPr>
        <w:fldChar w:fldCharType="begin"/>
      </w:r>
      <w:r w:rsidR="00B77C17">
        <w:rPr>
          <w:lang w:val="en-US"/>
        </w:rPr>
        <w:instrText xml:space="preserve"> ADDIN ZOTERO_ITEM CSL_CITATION {"citationID":"SDPfefa9","properties":{"formattedCitation":"\\super 2\\nosupersub{}","plainCitation":"2","noteIndex":0},"citationItems":[{"id":403,"uris":["http://zotero.org/users/local/hYny5ca1/items/GX2GPLW7"],"itemData":{"id":403,"type":"article-journal","abstract":"Thermally stable high-entropy alloys (HEAs) consisting of a high density of coherent precipitates show a great potential for\nhigh-temperature applications. In this work, we systematically\ninvestigated the phase stability and coarsening kinetics of\nL1&lt;sub&gt;2&lt;/sub&gt;-type coherent precipitates in a Ni-Co-Fe-Cr-Al-Ti-based HEA isothermally aged at 800, 900 and 1000 °C. Aged microstructures in the grain interiors under this temperature range were essentially dominated by the uniform precipitation of multicomponent\nL1&lt;sub&gt;2&lt;/sub&gt; (Ni, Co, Fe, Cr)&lt;sub&gt;3&lt;/sub&gt;(Ti, Al)-type precipitates. The coarsening kinetics of these intragranular L1&lt;sub&gt;2&lt;/sub&gt;\nprecipitates were quantitatively determined, which were adequately characterized by the classical Lifshitz-Slyozov-Wagner model. The activation energy for coarsening was determined to be 378 kJ/mol, which is relatively higher than that of conventional Ni or Co-based superalloys, suggesting a slow elemental diffusion in the HEA matrix. More importantly, the heterogeneous precipitation and the associated metastable phase transformation mechanism along grain boundaries (GBs) were carefully analyzed. Localized chemical heterogeneity was\nidentified within the discontinuous L1&lt;sub&gt;2&lt;/sub&gt; phase at the GBs, which thermodynamically destabilizes the L1&lt;sub&gt;2&lt;/sub&gt; structure and encourages the formation of brittle Heusler phase. Finally, we\nestablish a unique duplex-aging strategy that can be efficiently\nutilized for GB stabilization, by which these detrimental\nintergranular heterostructures can be greatly eliminated, leading to an exceptional resistance to intermediate-temperature embrittlement, along with enhanced tensile strengths. These findings will not only shed light on the precipitation mechanisms in compositionally complex HEAs but also generate new opportunities to the interfacial design of HEAs for advanced high-temperature applications with superior\nproperties.","archive":"Crossref","container-title":"SSRN Electronic Journal","DOI":"10.2139/ssrn.3477998","ISSN":"1556-5068","journalAbbreviation":"SSRN Journal","language":"en","title":"Control of Nanoscale Precipitation and Elimination of Intermediate-Temperature Embrittlement in Multicomponent High-Entropy Alloys","URL":"http://dx.doi.org/10.2139/ssrn.3477998","author":[{"family":"Yang","given":"Tao"},{"family":"PhD","given":"Yilu Zhao","suffix":""},{"family":"PhD","given":"Lei Fan","suffix":""},{"family":"PhD","given":"Jie Wei","suffix":""},{"family":"PhD","given":"Junhua Luan","suffix":""},{"family":"PhD","given":"Weihong Liu","suffix":""},{"family":"PhD","given":"Cheng Wang","suffix":""},{"family":"PhD","given":"Zengbao Jiao","suffix":""},{"family":"PhD","given":"Ji-jung Kai","suffix":""},{"family":"Liu","given":"C.T."}],"issued":{"date-parts":[["2019"]]}}}],"schema":"https://github.com/citation-style-language/schema/raw/master/csl-citation.json"} </w:instrText>
      </w:r>
      <w:r w:rsidRPr="00A660E4">
        <w:rPr>
          <w:lang w:val="en-US"/>
        </w:rPr>
        <w:fldChar w:fldCharType="separate"/>
      </w:r>
      <w:r w:rsidR="00B77C17" w:rsidRPr="00B77C17">
        <w:rPr>
          <w:rFonts w:cs="Times New Roman"/>
          <w:szCs w:val="24"/>
          <w:vertAlign w:val="superscript"/>
          <w:lang w:val="en-US"/>
        </w:rPr>
        <w:t>2</w:t>
      </w:r>
      <w:r w:rsidRPr="00A660E4">
        <w:rPr>
          <w:lang w:val="en-US"/>
        </w:rPr>
        <w:fldChar w:fldCharType="end"/>
      </w:r>
      <w:r w:rsidRPr="00A660E4">
        <w:rPr>
          <w:lang w:val="en-US"/>
        </w:rPr>
        <w:t>, reflecting the dominant role of microstructural kinetics in long-term deformation. Dual-phase microstructures (e.g., FCC/ L1</w:t>
      </w:r>
      <w:r w:rsidRPr="00A660E4">
        <w:rPr>
          <w:vertAlign w:val="subscript"/>
          <w:lang w:val="en-US"/>
        </w:rPr>
        <w:t>2</w:t>
      </w:r>
      <w:r w:rsidRPr="00A660E4">
        <w:rPr>
          <w:lang w:val="en-US"/>
        </w:rPr>
        <w:t xml:space="preserve"> or FCC + BCC in the 25–32% and 68–76% range) can balance strength and ductility, with elongations above 20% in some cases </w:t>
      </w:r>
      <w:r w:rsidRPr="00A660E4">
        <w:rPr>
          <w:lang w:val="en-US"/>
        </w:rPr>
        <w:fldChar w:fldCharType="begin"/>
      </w:r>
      <w:r w:rsidR="00B77C17">
        <w:rPr>
          <w:lang w:val="en-US"/>
        </w:rPr>
        <w:instrText xml:space="preserve"> ADDIN ZOTERO_ITEM CSL_CITATION {"citationID":"XSXiUP9F","properties":{"formattedCitation":"\\super 3\\nosupersub{}","plainCitation":"3","noteIndex":0},"citationItems":[{"id":392,"uris":["http://zotero.org/users/local/hYny5ca1/items/WI44TRII"],"itemData":{"id":392,"type":"article-journal","abstract":"Density-functional theory (DFT) is used to identify phase-equilibria in multi-principal-element and high-entropy alloys (MPEAs/HEAs),\nincluding duplex-phase and eutectic microstructures. A combination of composition-dependent formation energy and electronic-structure-based ordering parameters were used to identify a transition from FCC to BCC favoring mixtures, and these predictions experimentally validated in the Al-Co-Cr-Cu-Fe-Ni system. A sharp crossover in lattice structure and dual-phase stability as a function of composition were predicted via DFT and validated experimentally. The impact of solidification kinetics and thermodynamic stability was explored experimentally using a range of techniques, from slow (castings) to rapid (laser\nremelting), which showed a decoupling of phase fraction from thermal history, i.e., phase fraction was found to be solidification\nrate-independent, enabling tuning of a multi-modal cell and grain size ranging from nanoscale through macroscale. Strength and ductility tradeoffs for select processing parameters were investigated via\nuniaxial tension and small-punch testing on specimens manufactured via powder-based additive manufacturing (directed-energy deposition). This work establishes a pathway for design and optimization of\nnext-generation multiphase superalloys via tailoring of structural and chemical ordering in concentrated solid solutions.","archive":"Crossref","container-title":"Acta Materialia","DOI":"10.1016/j.actamat.2024.119952","ISSN":"1359-6454","journalAbbreviation":"Acta Materialia","language":"en","page":"119952","title":"Theory-guided design of duplex-phase multi-principal-element alloys","volume":"272","author":[{"family":"Singh","given":"Prashant"},{"family":"Johnson","given":"Duane D."},{"family":"Tiarks","given":"Jordan"},{"family":"White","given":"Emma M.H."},{"family":"Kustas","given":"Andrew B."},{"family":"Pegues","given":"Jonathan W."},{"family":"Jones","given":"Morgan R."},{"family":"Lim","given":"Hannah"},{"family":"DelRio","given":"Frank W."},{"family":"Carroll","given":"Jay D."},{"family":"Ouyang","given":"Gaoyuan"},{"family":"Abere","given":"Michael J."},{"family":"Naorem","given":"Rameshwari"},{"family":"Huang","given":"Hailong"},{"family":"Riedemann","given":"Trevor M."},{"family":"Kotula","given":"Paul G."},{"family":"Anderson","given":"Iver E."},{"family":"Argibay","given":"Nicolas"}],"issued":{"date-parts":[["2024",6]]}}}],"schema":"https://github.com/citation-style-language/schema/raw/master/csl-citation.json"} </w:instrText>
      </w:r>
      <w:r w:rsidRPr="00A660E4">
        <w:rPr>
          <w:lang w:val="en-US"/>
        </w:rPr>
        <w:fldChar w:fldCharType="separate"/>
      </w:r>
      <w:r w:rsidR="00B77C17" w:rsidRPr="00B77C17">
        <w:rPr>
          <w:rFonts w:cs="Times New Roman"/>
          <w:szCs w:val="24"/>
          <w:vertAlign w:val="superscript"/>
          <w:lang w:val="en-US"/>
        </w:rPr>
        <w:t>3</w:t>
      </w:r>
      <w:r w:rsidRPr="00A660E4">
        <w:rPr>
          <w:lang w:val="en-US"/>
        </w:rPr>
        <w:fldChar w:fldCharType="end"/>
      </w:r>
      <w:r w:rsidRPr="00A660E4">
        <w:rPr>
          <w:lang w:val="en-US"/>
        </w:rPr>
        <w:t xml:space="preserve">. However, the formation of </w:t>
      </w:r>
      <w:proofErr w:type="spellStart"/>
      <w:r w:rsidRPr="00A660E4">
        <w:rPr>
          <w:lang w:val="en-US"/>
        </w:rPr>
        <w:t>intermetallics</w:t>
      </w:r>
      <w:proofErr w:type="spellEnd"/>
      <w:r w:rsidRPr="00A660E4">
        <w:rPr>
          <w:lang w:val="en-US"/>
        </w:rPr>
        <w:t xml:space="preserve"> such as Laves phases or Ni</w:t>
      </w:r>
      <w:r w:rsidRPr="00A660E4">
        <w:rPr>
          <w:vertAlign w:val="subscript"/>
          <w:lang w:val="en-US"/>
        </w:rPr>
        <w:t>3</w:t>
      </w:r>
      <w:r w:rsidRPr="00A660E4">
        <w:rPr>
          <w:lang w:val="en-US"/>
        </w:rPr>
        <w:t xml:space="preserve">Ti at grain boundaries can significantly degrade creep performance </w:t>
      </w:r>
      <w:r w:rsidRPr="00A660E4">
        <w:rPr>
          <w:lang w:val="en-US"/>
        </w:rPr>
        <w:fldChar w:fldCharType="begin"/>
      </w:r>
      <w:r w:rsidR="00B77C17">
        <w:rPr>
          <w:lang w:val="en-US"/>
        </w:rPr>
        <w:instrText xml:space="preserve"> ADDIN ZOTERO_ITEM CSL_CITATION {"citationID":"yuj512cH","properties":{"formattedCitation":"\\super 4\\nosupersub{}","plainCitation":"4","noteIndex":0},"citationItems":[{"id":399,"uris":["http://zotero.org/users/local/hYny5ca1/items/Z7JRE664"],"itemData":{"id":399,"type":"article-journal","abstract":"To achieve the synergy among density, strength, ductility, wear performance and thermal stability, a series of newly developed\nCoCrFeNiMoTix (x = 2 and 16.666 at. %) high entropy alloys (HEAs) via multiple phases nano crystalline structure were successfully\nfabricated using mechanical alloying (MA) following by spark plasma sintering (SPS). The results demonstrated that the SPSed Ti2-HEA and Ti16.6-HEA have a multiple phases structure consisting of FCC\nstructure (Ni-type as a major phase), two types of BCC structure\n(Mo-type and Ti-type), topologically close packed (TCP) phases (laves, sigma (σ) and R phases) and geometrically close packed (GCP) phase (L12 precipitates). The micro hardness, strength and specific strength were increased from 711 HV, 1770 MPa and 197 MPa.Cm3/g for the Ti2-HEA to 817 HV, 1830 MPa and 236 MPa.Cm3/g for the Ti16.6-HEA,\nrespectively, which were affected by more percentages of precipitates, intermetallic and BCC phases. Besides, fracture strain, coefficient friction, wear rate and the surface roughness were decreased from 16%, 0.19, 4.9*10−4 mm3 N−1 m−1 and 54.2 for the Ti2-HEA to 14.5%, 0.17, 2.7*10−4 mm3 N−1 m−1 and 31.6 for the Ti16.6-HEA. The ultimate shear strength (USS) values at 300 °C, 400 °C, 500 °C and 600 °C were\nincreased from 960 MPa, 820 MP, 646 MPa and 24 MPa for the Ti2-HEA to 1180 MPa, 1010 MP, 802 MPa and 94 MPa for the Ti16.6-HEA,\nrespectively. The Ti16.6-HEA illustrated higher thermal stability at all temperatures, where the USS slightly was decreased from 300 °C to 500 °C with a sudden drop at 600 °C.","archive":"Crossref","container-title":"Journal of Materials Research and Technology","DOI":"10.1016/j.jmrt.2024.03.018","ISSN":"2238-7854","journalAbbreviation":"Journal of Materials Research and Technology","language":"en","page":"5447-5463","title":"Effect of Ti content on achieving development of mechanical properties and wear resistance of CoCrFeNiMoTix high entropy alloy","volume":"29","author":[{"family":"Ezatpour","given":"H.R."},{"family":"Torabi-Parizi","given":"M."}],"issued":{"date-parts":[["2024",3]]}}}],"schema":"https://github.com/citation-style-language/schema/raw/master/csl-citation.json"} </w:instrText>
      </w:r>
      <w:r w:rsidRPr="00A660E4">
        <w:rPr>
          <w:lang w:val="en-US"/>
        </w:rPr>
        <w:fldChar w:fldCharType="separate"/>
      </w:r>
      <w:r w:rsidR="00B77C17" w:rsidRPr="00B77C17">
        <w:rPr>
          <w:rFonts w:cs="Times New Roman"/>
          <w:szCs w:val="24"/>
          <w:vertAlign w:val="superscript"/>
          <w:lang w:val="en-US"/>
        </w:rPr>
        <w:t>4</w:t>
      </w:r>
      <w:r w:rsidRPr="00A660E4">
        <w:rPr>
          <w:lang w:val="en-US"/>
        </w:rPr>
        <w:fldChar w:fldCharType="end"/>
      </w:r>
      <w:r w:rsidRPr="00A660E4">
        <w:rPr>
          <w:lang w:val="en-US"/>
        </w:rPr>
        <w:t>.</w:t>
      </w:r>
    </w:p>
    <w:p w:rsidR="007419CB" w:rsidRPr="000A4838" w:rsidRDefault="007419CB" w:rsidP="0021751D">
      <w:pPr>
        <w:spacing w:after="160" w:line="480" w:lineRule="auto"/>
        <w:rPr>
          <w:lang w:val="en-US"/>
        </w:rPr>
      </w:pPr>
      <w:r w:rsidRPr="000A4838">
        <w:rPr>
          <w:lang w:val="en-US"/>
        </w:rPr>
        <w:t xml:space="preserve">Resistance to </w:t>
      </w:r>
      <w:r w:rsidRPr="000A4838">
        <w:rPr>
          <w:b/>
          <w:lang w:val="en-US"/>
        </w:rPr>
        <w:t>high-temperature oxidation</w:t>
      </w:r>
      <w:r w:rsidRPr="000A4838">
        <w:rPr>
          <w:lang w:val="en-US"/>
        </w:rPr>
        <w:t xml:space="preserve"> is essential for aerospace and turbine applications. Superalloys typically employ Al and Cr to form protective oxide layers (e.g. alumina), while HEAs with refractory elements like Mo, Ta, and Si have shown promising oxidation resistance. Measuring the oxidation rate constant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A</m:t>
            </m:r>
          </m:sub>
        </m:sSub>
      </m:oMath>
      <w:r w:rsidRPr="000A4838">
        <w:rPr>
          <w:lang w:val="en-US"/>
        </w:rPr>
        <w:t>) provides quantitative insight into surface stability under thermal cycling.</w:t>
      </w:r>
    </w:p>
    <w:p w:rsidR="007419CB" w:rsidRPr="000A4838" w:rsidRDefault="007419CB" w:rsidP="0021751D">
      <w:pPr>
        <w:spacing w:after="160" w:line="480" w:lineRule="auto"/>
        <w:rPr>
          <w:lang w:val="en-US"/>
        </w:rPr>
      </w:pPr>
      <w:r w:rsidRPr="000A4838">
        <w:rPr>
          <w:lang w:val="en-US"/>
        </w:rPr>
        <w:t xml:space="preserve">Low density is advantageous for </w:t>
      </w:r>
      <w:r w:rsidRPr="000A4838">
        <w:rPr>
          <w:b/>
          <w:lang w:val="en-US"/>
        </w:rPr>
        <w:t>lightweight</w:t>
      </w:r>
      <w:r w:rsidRPr="000A4838">
        <w:rPr>
          <w:lang w:val="en-US"/>
        </w:rPr>
        <w:t xml:space="preserve"> structural applications. HESAs incorporating light elements such as Li, Mg, and Al can achieve densities below 5 g·cm</w:t>
      </w:r>
      <w:r w:rsidRPr="000A4838">
        <w:rPr>
          <w:vertAlign w:val="superscript"/>
          <w:lang w:val="en-US"/>
        </w:rPr>
        <w:t>-3</w:t>
      </w:r>
      <w:r w:rsidRPr="000A4838">
        <w:rPr>
          <w:lang w:val="en-US"/>
        </w:rPr>
        <w:t xml:space="preserve"> </w:t>
      </w:r>
      <w:r w:rsidRPr="000A4838">
        <w:rPr>
          <w:lang w:val="en-US"/>
        </w:rPr>
        <w:fldChar w:fldCharType="begin"/>
      </w:r>
      <w:r w:rsidR="00B77C17">
        <w:rPr>
          <w:lang w:val="en-US"/>
        </w:rPr>
        <w:instrText xml:space="preserve"> ADDIN ZOTERO_ITEM CSL_CITATION {"citationID":"ZD3veeGz","properties":{"formattedCitation":"\\super 5\\nosupersub{}","plainCitation":"5","noteIndex":0},"citationItems":[{"id":407,"uris":["http://zotero.org/users/local/hYny5ca1/items/IH9WD2T4"],"itemData":{"id":407,"type":"article-journal","abstract":"MSi2-type high-entropy refractory metal silicides (HERMS) have excellent oxidation resistance at medium and high temperatures due to high entropy effect, which is a promising ultrahigh temperature\nstructural material. HERMS have two phase structures, C11b and C40, due to allotropic transformation. Compared to C40, C11b has better fracture toughness, but it is now difficult to synthesize single-phase C11b. The first-principle was used to systematically study phase\nformation ability of HERMS. Formation enthalpy (ΔHf), mixing enthalpy (ΔHmix) and mixing enthalpy difference (δmix) were calculated for 504 MSi2-type HERMS structures. δmix, VEC and ΔHmixC11b were identified to characterize and predict phase stability of MSi2-type HERMS, in which δmix is a decisive factor, and has general applicability and important guiding significance for material systems with allotropic\ntransformation. The generalized criteria of predicting phase formation for MSi2-type HERMS were proposed. C11b phase formation criterion is VEC &gt; 4.58, δmix &lt; −0.05 eV/atom, ΔHmixC11b &lt; −0.02 eV/atom. C40 phase formation criterion is VEC ≤ 4.58 and ΔHmixC11b &gt; 0.09 eV/atom. Its accuracy was verified by experimental data to be 100%. This work is of great significance for composition design of HERMS and the further study of C11b-type HERMS.","archive":"Crossref","container-title":"Materials &amp; Design","DOI":"10.1016/j.matdes.2023.112060","ISSN":"0264-1275","journalAbbreviation":"Materials &amp; Design","language":"en","page":"112060","title":"Criteria of predicting phase formation for MSi2-Type High-Entropy refractory metal silicides","volume":"231","author":[{"family":"Zhang","given":"Laiqi"},{"family":"Li","given":"Huicong"},{"family":"Xiao","given":"Zepeng"}],"issued":{"date-parts":[["2023",7]]}}}],"schema":"https://github.com/citation-style-language/schema/raw/master/csl-citation.json"}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5</w:t>
      </w:r>
      <w:r w:rsidRPr="000A4838">
        <w:rPr>
          <w:lang w:val="en-US"/>
        </w:rPr>
        <w:fldChar w:fldCharType="end"/>
      </w:r>
      <w:r w:rsidRPr="000A4838">
        <w:rPr>
          <w:lang w:val="en-US"/>
        </w:rPr>
        <w:t xml:space="preserve">. However, care must be taken to preserve ductility and avoid unfavorable phase formation when reducing </w:t>
      </w:r>
      <w:r w:rsidRPr="000A4838">
        <w:rPr>
          <w:lang w:val="en-US"/>
        </w:rPr>
        <w:lastRenderedPageBreak/>
        <w:t xml:space="preserve">density </w:t>
      </w:r>
      <w:r w:rsidRPr="000A4838">
        <w:rPr>
          <w:lang w:val="en-US"/>
        </w:rPr>
        <w:fldChar w:fldCharType="begin"/>
      </w:r>
      <w:r w:rsidR="00B77C17">
        <w:rPr>
          <w:lang w:val="en-US"/>
        </w:rPr>
        <w:instrText xml:space="preserve"> ADDIN ZOTERO_ITEM CSL_CITATION {"citationID":"CtaUTW0s","properties":{"formattedCitation":"\\super 6\\nosupersub{}","plainCitation":"6","noteIndex":0},"citationItems":[{"id":394,"uris":["http://zotero.org/users/local/hYny5ca1/items/38FAUCY2"],"itemData":{"id":394,"type":"article-journal","abstract":"To develop single-phase lightweight high-entropy alloys (LWHEAs), we perform massive screening over a vast material space containing more than 560,000 possible compounds by employing thermodynamic principles and examine the mechanical properties of the resulting alloys based on density functional theory (DFT) calculations. Considering LWHEAs\ncomposed of five principal elements including light atoms such as Li, Mg and Al, we identify 40 optimal atomic compositions for single-phase solid solutions in body-centered-cubic structure. Combined with DFT calculations, it is demonstrated that the valence electron\nconcentration plays an important role in determining elastic moduli and that the identified LWHEAs are ductile as is evidenced by the satisfied Pugh criteria and positive Cauchy pressure. In cases of shear modulus and yield strength, pd-hybridization between Al and transition metal atoms is shown to make a significant contribution through forming strong directional bonds. Together with an observation that the inclusion of Li and Mg atoms is instrumental in reducing the overall density, the present results provide a valuable guidance to develop novel, low-density high-entropy alloys.","archive":"Crossref","container-title":"Materials &amp; Design","DOI":"10.1016/j.matdes.2023.111709","ISSN":"0264-1275","journalAbbreviation":"Materials &amp; Design","language":"en","page":"111709","title":"Single-phase lightweight high-entropy alloys with enhanced mechanical properties","volume":"227","author":[{"family":"Jeong","given":"Il-Seok"},{"family":"Lee","given":"Joo-Hyoung"}],"issued":{"date-parts":[["2023",3]]}}}],"schema":"https://github.com/citation-style-language/schema/raw/master/csl-citation.json"}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6</w:t>
      </w:r>
      <w:r w:rsidRPr="000A4838">
        <w:rPr>
          <w:lang w:val="en-US"/>
        </w:rPr>
        <w:fldChar w:fldCharType="end"/>
      </w:r>
      <w:r w:rsidRPr="000A4838">
        <w:rPr>
          <w:lang w:val="en-US"/>
        </w:rPr>
        <w:t>. The Target Property Matrix therefore includes density as a trade-off metric against strength and thermal stability.</w:t>
      </w:r>
    </w:p>
    <w:p w:rsidR="007419CB" w:rsidRPr="000A4838" w:rsidRDefault="007419CB" w:rsidP="0021751D">
      <w:pPr>
        <w:spacing w:after="160" w:line="480" w:lineRule="auto"/>
        <w:rPr>
          <w:lang w:val="en-US"/>
        </w:rPr>
      </w:pPr>
      <w:r w:rsidRPr="000A4838">
        <w:rPr>
          <w:lang w:val="en-US"/>
        </w:rPr>
        <w:t xml:space="preserve">Elastic moduli – Young’s, shear, and bulk – are key indicators of </w:t>
      </w:r>
      <w:r w:rsidRPr="000A4838">
        <w:rPr>
          <w:b/>
          <w:lang w:val="en-US"/>
        </w:rPr>
        <w:t>stiffness</w:t>
      </w:r>
      <w:r w:rsidRPr="000A4838">
        <w:rPr>
          <w:lang w:val="en-US"/>
        </w:rPr>
        <w:t xml:space="preserve"> and sound structural response. Their values often correlate with descriptors like valence electron concentration and atomic size mismatch </w:t>
      </w:r>
      <w:r w:rsidRPr="000A4838">
        <w:rPr>
          <w:lang w:val="en-US"/>
        </w:rPr>
        <w:fldChar w:fldCharType="begin"/>
      </w:r>
      <w:r w:rsidR="00B77C17">
        <w:rPr>
          <w:lang w:val="en-US"/>
        </w:rPr>
        <w:instrText xml:space="preserve"> ADDIN ZOTERO_ITEM CSL_CITATION {"citationID":"Ca5Le8Lk","properties":{"formattedCitation":"\\super 3\\nosupersub{}","plainCitation":"3","noteIndex":0},"citationItems":[{"id":392,"uris":["http://zotero.org/users/local/hYny5ca1/items/WI44TRII"],"itemData":{"id":392,"type":"article-journal","abstract":"Density-functional theory (DFT) is used to identify phase-equilibria in multi-principal-element and high-entropy alloys (MPEAs/HEAs),\nincluding duplex-phase and eutectic microstructures. A combination of composition-dependent formation energy and electronic-structure-based ordering parameters were used to identify a transition from FCC to BCC favoring mixtures, and these predictions experimentally validated in the Al-Co-Cr-Cu-Fe-Ni system. A sharp crossover in lattice structure and dual-phase stability as a function of composition were predicted via DFT and validated experimentally. The impact of solidification kinetics and thermodynamic stability was explored experimentally using a range of techniques, from slow (castings) to rapid (laser\nremelting), which showed a decoupling of phase fraction from thermal history, i.e., phase fraction was found to be solidification\nrate-independent, enabling tuning of a multi-modal cell and grain size ranging from nanoscale through macroscale. Strength and ductility tradeoffs for select processing parameters were investigated via\nuniaxial tension and small-punch testing on specimens manufactured via powder-based additive manufacturing (directed-energy deposition). This work establishes a pathway for design and optimization of\nnext-generation multiphase superalloys via tailoring of structural and chemical ordering in concentrated solid solutions.","archive":"Crossref","container-title":"Acta Materialia","DOI":"10.1016/j.actamat.2024.119952","ISSN":"1359-6454","journalAbbreviation":"Acta Materialia","language":"en","page":"119952","title":"Theory-guided design of duplex-phase multi-principal-element alloys","volume":"272","author":[{"family":"Singh","given":"Prashant"},{"family":"Johnson","given":"Duane D."},{"family":"Tiarks","given":"Jordan"},{"family":"White","given":"Emma M.H."},{"family":"Kustas","given":"Andrew B."},{"family":"Pegues","given":"Jonathan W."},{"family":"Jones","given":"Morgan R."},{"family":"Lim","given":"Hannah"},{"family":"DelRio","given":"Frank W."},{"family":"Carroll","given":"Jay D."},{"family":"Ouyang","given":"Gaoyuan"},{"family":"Abere","given":"Michael J."},{"family":"Naorem","given":"Rameshwari"},{"family":"Huang","given":"Hailong"},{"family":"Riedemann","given":"Trevor M."},{"family":"Kotula","given":"Paul G."},{"family":"Anderson","given":"Iver E."},{"family":"Argibay","given":"Nicolas"}],"issued":{"date-parts":[["2024",6]]}}}],"schema":"https://github.com/citation-style-language/schema/raw/master/csl-citation.json"}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3</w:t>
      </w:r>
      <w:r w:rsidRPr="000A4838">
        <w:rPr>
          <w:lang w:val="en-US"/>
        </w:rPr>
        <w:fldChar w:fldCharType="end"/>
      </w:r>
      <w:r w:rsidRPr="000A4838">
        <w:rPr>
          <w:lang w:val="en-US"/>
        </w:rPr>
        <w:t>. High moduli support better load-bearing capacity, while concurrently informing hardness and vibrational stability.</w:t>
      </w:r>
    </w:p>
    <w:p w:rsidR="007419CB" w:rsidRPr="000A4838" w:rsidRDefault="007419CB" w:rsidP="0021751D">
      <w:pPr>
        <w:spacing w:after="160" w:line="480" w:lineRule="auto"/>
        <w:rPr>
          <w:lang w:val="en-US"/>
        </w:rPr>
      </w:pPr>
      <w:r w:rsidRPr="000A4838">
        <w:rPr>
          <w:lang w:val="en-US"/>
        </w:rPr>
        <w:t>Despite configurational entropy favoring solid-solution stability in HEAs, enthalpic contributions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H</m:t>
            </m:r>
          </m:e>
          <m:sub>
            <m:r>
              <m:rPr>
                <m:sty m:val="p"/>
              </m:rPr>
              <w:rPr>
                <w:rFonts w:ascii="Cambria Math" w:hAnsi="Cambria Math"/>
                <w:lang w:val="en-US"/>
              </w:rPr>
              <m:t>mix</m:t>
            </m:r>
          </m:sub>
        </m:sSub>
      </m:oMath>
      <w:r w:rsidRPr="000A4838">
        <w:rPr>
          <w:lang w:val="en-US"/>
        </w:rPr>
        <w:t xml:space="preserve">) must remain moderate to avoid intermetallic formation. Ideal ranges lie between −10 and +5 kJ/mol </w:t>
      </w:r>
      <w:r w:rsidRPr="000A4838">
        <w:rPr>
          <w:lang w:val="en-US"/>
        </w:rPr>
        <w:fldChar w:fldCharType="begin"/>
      </w:r>
      <w:r w:rsidR="00B77C17">
        <w:rPr>
          <w:lang w:val="en-US"/>
        </w:rPr>
        <w:instrText xml:space="preserve"> ADDIN ZOTERO_ITEM CSL_CITATION {"citationID":"hoA6Z4si","properties":{"formattedCitation":"\\super 7\\nosupersub{}","plainCitation":"7","noteIndex":0},"citationItems":[{"id":413,"uris":["http://zotero.org/users/local/hYny5ca1/items/UIGRMIXB"],"itemData":{"id":413,"type":"article-journal","abstract":"The factors of the atomic size difference Delta and the enthalpy of mixing ?Hmix of the multi-component alloys were summarized from the literatures. The formation zones of solid-solution phases, intermediate phases, and bulk metallic glasses were determined and the validity was verified by experimental results. For forming the solid solution, the alloys should have high entropy of mixing, lower Delta, and not too negative and positive enthalpy of mixing.","container-title":"Advanced Engineering Materials","DOI":"10.1002/adem.200700240","ISSN":"1438-1656","issue":"6","journalAbbreviation":"Advanced Engineering Materials","note":"publisher: John Wiley &amp; Sons, Ltd","page":"534-538","title":"Solid-Solution Phase Formation Rules for Multi-component Alloys","volume":"10","author":[{"family":"Zhang","given":"Y."},{"family":"Zhou","given":"Y. J."},{"family":"Lin","given":"J. P."},{"family":"Chen","given":"G. L."},{"family":"Liaw","given":"P. K."}],"issued":{"date-parts":[["2008",6,1]]}}}],"schema":"https://github.com/citation-style-language/schema/raw/master/csl-citation.json"}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7</w:t>
      </w:r>
      <w:r w:rsidRPr="000A4838">
        <w:rPr>
          <w:lang w:val="en-US"/>
        </w:rPr>
        <w:fldChar w:fldCharType="end"/>
      </w:r>
      <w:r w:rsidRPr="000A4838">
        <w:rPr>
          <w:lang w:val="en-US"/>
        </w:rPr>
        <w:t xml:space="preserve"> (so between -0.1 and 0.05 eV/atom). A high </w:t>
      </w:r>
      <m:oMath>
        <m:r>
          <m:rPr>
            <m:sty m:val="p"/>
          </m:rPr>
          <w:rPr>
            <w:rStyle w:val="lev"/>
            <w:rFonts w:ascii="Cambria Math" w:eastAsia="Arial" w:hAnsi="Cambria Math"/>
            <w:lang w:val="en-US"/>
          </w:rPr>
          <m:t>Ω</m:t>
        </m:r>
      </m:oMath>
      <w:r w:rsidRPr="000A4838">
        <w:rPr>
          <w:rStyle w:val="lev"/>
          <w:rFonts w:eastAsia="Arial"/>
          <w:lang w:val="en-US"/>
        </w:rPr>
        <w:t xml:space="preserve"> parameter</w:t>
      </w:r>
      <w:r w:rsidRPr="000A4838">
        <w:rPr>
          <w:lang w:val="en-US"/>
        </w:rPr>
        <w:t xml:space="preserve"> – defined as </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7419CB" w:rsidP="0021751D">
            <w:pPr>
              <w:spacing w:after="160" w:line="480" w:lineRule="auto"/>
              <w:rPr>
                <w:lang w:val="en-US"/>
              </w:rPr>
            </w:pPr>
            <m:oMathPara>
              <m:oMath>
                <m:r>
                  <m:rPr>
                    <m:sty m:val="p"/>
                  </m:rPr>
                  <w:rPr>
                    <w:rStyle w:val="lev"/>
                    <w:rFonts w:ascii="Cambria Math" w:eastAsia="Arial" w:hAnsi="Cambria Math"/>
                    <w:lang w:val="en-US"/>
                  </w:rPr>
                  <m:t>Ω</m:t>
                </m:r>
                <m:r>
                  <w:rPr>
                    <w:rStyle w:val="lev"/>
                    <w:rFonts w:ascii="Cambria Math" w:hAnsi="Cambria Math"/>
                    <w:lang w:val="en-US"/>
                  </w:rPr>
                  <m:t>≡</m:t>
                </m:r>
                <m:f>
                  <m:fPr>
                    <m:ctrlPr>
                      <w:rPr>
                        <w:rStyle w:val="lev"/>
                        <w:b w:val="0"/>
                        <w:bCs w:val="0"/>
                        <w:i/>
                        <w:iCs/>
                        <w:lang w:val="en-US"/>
                      </w:rPr>
                    </m:ctrlPr>
                  </m:fPr>
                  <m:num>
                    <m:sSub>
                      <m:sSubPr>
                        <m:ctrlPr>
                          <w:rPr>
                            <w:rStyle w:val="lev"/>
                            <w:b w:val="0"/>
                            <w:bCs w:val="0"/>
                            <w:i/>
                            <w:iCs/>
                            <w:lang w:val="en-US"/>
                          </w:rPr>
                        </m:ctrlPr>
                      </m:sSubPr>
                      <m:e>
                        <m:r>
                          <w:rPr>
                            <w:rStyle w:val="lev"/>
                            <w:rFonts w:ascii="Cambria Math" w:hAnsi="Cambria Math"/>
                            <w:lang w:val="en-US"/>
                          </w:rPr>
                          <m:t>T</m:t>
                        </m:r>
                      </m:e>
                      <m:sub>
                        <m:r>
                          <w:rPr>
                            <w:rStyle w:val="lev"/>
                            <w:rFonts w:ascii="Cambria Math" w:hAnsi="Cambria Math"/>
                            <w:lang w:val="en-US"/>
                          </w:rPr>
                          <m:t>m</m:t>
                        </m:r>
                      </m:sub>
                    </m:sSub>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mix</m:t>
                        </m:r>
                      </m:sub>
                    </m:sSub>
                  </m:num>
                  <m:den>
                    <m:d>
                      <m:dPr>
                        <m:begChr m:val="|"/>
                        <m:endChr m:val="|"/>
                        <m:ctrlPr>
                          <w:rPr>
                            <w:rStyle w:val="lev"/>
                            <w:b w:val="0"/>
                            <w:bCs w:val="0"/>
                            <w:i/>
                            <w:iCs/>
                            <w:lang w:val="en-US"/>
                          </w:rPr>
                        </m:ctrlPr>
                      </m:dPr>
                      <m:e>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H</m:t>
                            </m:r>
                          </m:e>
                          <m:sub>
                            <m:r>
                              <m:rPr>
                                <m:sty m:val="p"/>
                              </m:rPr>
                              <w:rPr>
                                <w:rFonts w:ascii="Cambria Math" w:hAnsi="Cambria Math"/>
                                <w:lang w:val="en-US"/>
                              </w:rPr>
                              <m:t>mix</m:t>
                            </m:r>
                          </m:sub>
                        </m:sSub>
                      </m:e>
                    </m:d>
                  </m:den>
                </m:f>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spacing w:after="160" w:line="480" w:lineRule="auto"/>
        <w:rPr>
          <w:lang w:val="en-US"/>
        </w:rPr>
      </w:pPr>
      <w:r w:rsidRPr="000A4838">
        <w:rPr>
          <w:lang w:val="en-US"/>
        </w:rPr>
        <w:t xml:space="preserve">– (with </w:t>
      </w:r>
      <m:oMath>
        <m:r>
          <m:rPr>
            <m:sty m:val="p"/>
          </m:rPr>
          <w:rPr>
            <w:rFonts w:ascii="Cambria Math" w:hAnsi="Cambria Math"/>
            <w:lang w:val="en-US"/>
          </w:rPr>
          <m:t>Ω</m:t>
        </m:r>
      </m:oMath>
      <w:r w:rsidRPr="000A4838">
        <w:rPr>
          <w:lang w:val="en-US"/>
        </w:rPr>
        <w:t xml:space="preserve"> &gt; 1) signals entropy-dominated solid solution stability. Inclusion of melting points – often above 1 700 K for HESAs – and critical phase transformation temperatures (e.g. BCC stability thresholds) further inform alloy resilience under extreme conditions </w:t>
      </w:r>
      <w:r w:rsidRPr="000A4838">
        <w:rPr>
          <w:lang w:val="en-US"/>
        </w:rPr>
        <w:fldChar w:fldCharType="begin"/>
      </w:r>
      <w:r w:rsidR="00B77C17">
        <w:rPr>
          <w:lang w:val="en-US"/>
        </w:rPr>
        <w:instrText xml:space="preserve"> ADDIN ZOTERO_ITEM CSL_CITATION {"citationID":"CDj29F9e","properties":{"formattedCitation":"\\super 8\\nosupersub{}","plainCitation":"8","noteIndex":0},"citationItems":[{"id":389,"uris":["http://zotero.org/users/local/hYny5ca1/items/6QPRBWQ4"],"itemData":{"id":389,"type":"article-journal","abstract":"Abstract High entropy alloys (HEAs) are multicomponent compounds whose high configurational entropy allows them to solidify into a single phase, with a simple crystal lattice structure. Some HEAs exhibit desirable properties, such as high specific strength, ductility, and corrosion resistance, while challenging the scientist to make\nconfident predictions in the face of multiple competing phases. We demonstrate phase stability in the multicomponent alloy system of Cr–Mo–Nb–V, for which some of its binary subsystems are subject to phase separation and complex intermetallic-phase formation. Our\nfirst-principles calculation of free energy predicts that the\nconfigurational entropy stabilizes a single body-centered cubic (BCC) phase from T = 1700 K up to melting, while precipitation of a complex intermetallic is favored at lower temperatures. We form the compound experimentally and confirm that it develops as a single BCC phase from the melt, but that it transforms reversibly at lower temperatures.","archive":"Crossref","container-title":"npj Computational Materials","DOI":"10.1038/s41524-017-0049-4","ISSN":"2057-3960","issue":"1","journalAbbreviation":"npj Comput Mater","language":"en","title":"First-principles prediction of high-entropy-alloy stability","URL":"http://dx.doi.org/10.1038/s41524-017-0049-4","volume":"3","author":[{"family":"Feng","given":"Rui"},{"family":"Liaw","given":"Peter K."},{"family":"Gao","given":"Michael C."},{"family":"Widom","given":"Michael"}],"issued":{"date-parts":[["2017",11,21]]}}}],"schema":"https://github.com/citation-style-language/schema/raw/master/csl-citation.json"}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8</w:t>
      </w:r>
      <w:r w:rsidRPr="000A4838">
        <w:rPr>
          <w:lang w:val="en-US"/>
        </w:rPr>
        <w:fldChar w:fldCharType="end"/>
      </w:r>
      <w:r w:rsidRPr="000A4838">
        <w:rPr>
          <w:lang w:val="en-US"/>
        </w:rPr>
        <w:t>.</w:t>
      </w:r>
    </w:p>
    <w:p w:rsidR="007419CB" w:rsidRPr="000A4838" w:rsidRDefault="007419CB" w:rsidP="0021751D">
      <w:pPr>
        <w:spacing w:after="160" w:line="480" w:lineRule="auto"/>
        <w:rPr>
          <w:lang w:val="en-US"/>
        </w:rPr>
      </w:pPr>
      <w:r w:rsidRPr="000A4838">
        <w:rPr>
          <w:lang w:val="en-US"/>
        </w:rPr>
        <w:t xml:space="preserve">Processing history – including cooling rate, aging, or additive manufacturing – strongly affects microstructure by controlling phase size, boundary density, and defect populations </w:t>
      </w:r>
      <w:r w:rsidRPr="000A4838">
        <w:rPr>
          <w:lang w:val="en-US"/>
        </w:rPr>
        <w:fldChar w:fldCharType="begin"/>
      </w:r>
      <w:r w:rsidR="00B77C17">
        <w:rPr>
          <w:lang w:val="en-US"/>
        </w:rPr>
        <w:instrText xml:space="preserve"> ADDIN ZOTERO_ITEM CSL_CITATION {"citationID":"QZmrNwWB","properties":{"formattedCitation":"\\super 2\\nosupersub{}","plainCitation":"2","noteIndex":0},"citationItems":[{"id":403,"uris":["http://zotero.org/users/local/hYny5ca1/items/GX2GPLW7"],"itemData":{"id":403,"type":"article-journal","abstract":"Thermally stable high-entropy alloys (HEAs) consisting of a high density of coherent precipitates show a great potential for\nhigh-temperature applications. In this work, we systematically\ninvestigated the phase stability and coarsening kinetics of\nL1&lt;sub&gt;2&lt;/sub&gt;-type coherent precipitates in a Ni-Co-Fe-Cr-Al-Ti-based HEA isothermally aged at 800, 900 and 1000 °C. Aged microstructures in the grain interiors under this temperature range were essentially dominated by the uniform precipitation of multicomponent\nL1&lt;sub&gt;2&lt;/sub&gt; (Ni, Co, Fe, Cr)&lt;sub&gt;3&lt;/sub&gt;(Ti, Al)-type precipitates. The coarsening kinetics of these intragranular L1&lt;sub&gt;2&lt;/sub&gt;\nprecipitates were quantitatively determined, which were adequately characterized by the classical Lifshitz-Slyozov-Wagner model. The activation energy for coarsening was determined to be 378 kJ/mol, which is relatively higher than that of conventional Ni or Co-based superalloys, suggesting a slow elemental diffusion in the HEA matrix. More importantly, the heterogeneous precipitation and the associated metastable phase transformation mechanism along grain boundaries (GBs) were carefully analyzed. Localized chemical heterogeneity was\nidentified within the discontinuous L1&lt;sub&gt;2&lt;/sub&gt; phase at the GBs, which thermodynamically destabilizes the L1&lt;sub&gt;2&lt;/sub&gt; structure and encourages the formation of brittle Heusler phase. Finally, we\nestablish a unique duplex-aging strategy that can be efficiently\nutilized for GB stabilization, by which these detrimental\nintergranular heterostructures can be greatly eliminated, leading to an exceptional resistance to intermediate-temperature embrittlement, along with enhanced tensile strengths. These findings will not only shed light on the precipitation mechanisms in compositionally complex HEAs but also generate new opportunities to the interfacial design of HEAs for advanced high-temperature applications with superior\nproperties.","archive":"Crossref","container-title":"SSRN Electronic Journal","DOI":"10.2139/ssrn.3477998","ISSN":"1556-5068","journalAbbreviation":"SSRN Journal","language":"en","title":"Control of Nanoscale Precipitation and Elimination of Intermediate-Temperature Embrittlement in Multicomponent High-Entropy Alloys","URL":"http://dx.doi.org/10.2139/ssrn.3477998","author":[{"family":"Yang","given":"Tao"},{"family":"PhD","given":"Yilu Zhao","suffix":""},{"family":"PhD","given":"Lei Fan","suffix":""},{"family":"PhD","given":"Jie Wei","suffix":""},{"family":"PhD","given":"Junhua Luan","suffix":""},{"family":"PhD","given":"Weihong Liu","suffix":""},{"family":"PhD","given":"Cheng Wang","suffix":""},{"family":"PhD","given":"Zengbao Jiao","suffix":""},{"family":"PhD","given":"Ji-jung Kai","suffix":""},{"family":"Liu","given":"C.T."}],"issued":{"date-parts":[["2019"]]}}}],"schema":"https://github.com/citation-style-language/schema/raw/master/csl-citation.json"}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2</w:t>
      </w:r>
      <w:r w:rsidRPr="000A4838">
        <w:rPr>
          <w:lang w:val="en-US"/>
        </w:rPr>
        <w:fldChar w:fldCharType="end"/>
      </w:r>
      <w:r w:rsidRPr="000A4838">
        <w:rPr>
          <w:lang w:val="en-US"/>
        </w:rPr>
        <w:t xml:space="preserve">. Interstitial elements such as C, N, O can strengthen but in excess promote embrittlement (e.g. HCP phases or carbides) </w:t>
      </w:r>
      <w:r w:rsidRPr="000A4838">
        <w:rPr>
          <w:lang w:val="en-US"/>
        </w:rPr>
        <w:fldChar w:fldCharType="begin"/>
      </w:r>
      <w:r w:rsidR="00B77C17">
        <w:rPr>
          <w:lang w:val="en-US"/>
        </w:rPr>
        <w:instrText xml:space="preserve"> ADDIN ZOTERO_ITEM CSL_CITATION {"citationID":"Fv02nJce","properties":{"formattedCitation":"\\super 9\\nosupersub{}","plainCitation":"9","noteIndex":0},"citationItems":[{"id":395,"uris":["http://zotero.org/users/local/hYny5ca1/items/C4YW5HEM"],"itemData":{"id":395,"type":"article-journal","abstract":"To probe the significant interstitial effects coupling with the metastability design of high-entropy alloys (HEAs), we introduced both interstitial C and N into a representative metastable HEA. The\nmechanical behavior of the novel C-N co-doped interstitial HEA (iHEA) with nominal composition Fe48.5Mn30Co10Cr10C0.5N1.0 (at. %) in\ndifferent grain sizes has been investigated via digital image\ncorrelation (DIC) assisted tensile testing. The microstructure\ncharacteristics prior to and after tensile deformation with different local strain levels were probed by various techniques. The C-N\nco-doped iHEA shows a face-centered cubic (FCC) matrix without\nhexagonal closed packed (HCP) martensite after annealing plus the subsequent quenching, different from the reference metastable FCC-HCP dual-phase HEA without interstitials. Upon tensile deformation,\ndislocation slip and twinning prevail, and the new iHEA does not show phase transformation which is the primary deformation mechanism in the reference interstitial-free metastable HEA. This further confirms the enhanced FCC phase stability due to C-N co-doping. The interstitial effect coupling with the multiple strengthening mechanisms including twinning induced plasticity (TWIP) and nano-particle strengthening due to nano-sized carbonitrides leads to significantly higher yield\nstrength (753 MPa) and ultimate tensile strength (1038 MPa) at good ductility (48.0%) compared to that of the reference interstitial-free metastable HEA (</w:instrText>
      </w:r>
      <w:r w:rsidR="00B77C17">
        <w:rPr>
          <w:rFonts w:ascii="Cambria Math" w:hAnsi="Cambria Math"/>
          <w:lang w:val="en-US"/>
        </w:rPr>
        <w:instrText>∼</w:instrText>
      </w:r>
      <w:r w:rsidR="00B77C17">
        <w:rPr>
          <w:lang w:val="en-US"/>
        </w:rPr>
        <w:instrText xml:space="preserve">250 MPa, </w:instrText>
      </w:r>
      <w:r w:rsidR="00B77C17">
        <w:rPr>
          <w:rFonts w:ascii="Cambria Math" w:hAnsi="Cambria Math"/>
          <w:lang w:val="en-US"/>
        </w:rPr>
        <w:instrText>∼</w:instrText>
      </w:r>
      <w:r w:rsidR="00B77C17">
        <w:rPr>
          <w:lang w:val="en-US"/>
        </w:rPr>
        <w:instrText xml:space="preserve">850 MPa and </w:instrText>
      </w:r>
      <w:r w:rsidR="00B77C17">
        <w:rPr>
          <w:rFonts w:ascii="Cambria Math" w:hAnsi="Cambria Math"/>
          <w:lang w:val="en-US"/>
        </w:rPr>
        <w:instrText>∼</w:instrText>
      </w:r>
      <w:r w:rsidR="00B77C17">
        <w:rPr>
          <w:lang w:val="en-US"/>
        </w:rPr>
        <w:instrText xml:space="preserve">70%, respectively) at a\nsimilar grain size of </w:instrText>
      </w:r>
      <w:r w:rsidR="00B77C17">
        <w:rPr>
          <w:rFonts w:ascii="Cambria Math" w:hAnsi="Cambria Math"/>
          <w:lang w:val="en-US"/>
        </w:rPr>
        <w:instrText>∼</w:instrText>
      </w:r>
      <w:r w:rsidR="00B77C17">
        <w:rPr>
          <w:lang w:val="en-US"/>
        </w:rPr>
        <w:instrText xml:space="preserve">4 </w:instrText>
      </w:r>
      <w:r w:rsidR="00B77C17">
        <w:rPr>
          <w:rFonts w:cs="Times New Roman"/>
          <w:lang w:val="en-US"/>
        </w:rPr>
        <w:instrText>μ</w:instrText>
      </w:r>
      <w:r w:rsidR="00B77C17">
        <w:rPr>
          <w:lang w:val="en-US"/>
        </w:rPr>
        <w:instrText xml:space="preserve">m. Accordingly, our work demonstrates the significant capability of interstitials including C and N for tuning the phase stability and enhancing mechanical properties of HEAs.","archive":"Crossref","container-title":"Journal of Alloys and Compounds","DOI":"10.1016/j.jallcom.2020.154799","ISSN":"0925-8388","journalAbbreviation":"Journal of Alloys and Compounds","language":"en","page":"154799","title":"Carbon and nitrogen co-doping enhances phase stability and mechanical properties of a metastable high-entropy alloy","volume":"831","author":[{"family":"Zhang","given":"Wanying"},{"family":"Yan","given":"Dingshun"},{"family":"Lu","given":"Wenjun"},{"family":"Li","given":"Zhiming"}],"issued":{"date-parts":[["2020",8]]}}}],"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9</w:t>
      </w:r>
      <w:r w:rsidRPr="000A4838">
        <w:rPr>
          <w:lang w:val="en-US"/>
        </w:rPr>
        <w:fldChar w:fldCharType="end"/>
      </w:r>
      <w:r w:rsidRPr="000A4838">
        <w:rPr>
          <w:lang w:val="en-US"/>
        </w:rPr>
        <w:t xml:space="preserve">. Thus ductility metrics and volume fractions of secondary phases (e.g. coherent </w:t>
      </w:r>
      <m:oMath>
        <m:r>
          <w:rPr>
            <w:rFonts w:ascii="Cambria Math" w:hAnsi="Cambria Math"/>
            <w:lang w:val="en-US"/>
          </w:rPr>
          <m:t>γ'</m:t>
        </m:r>
      </m:oMath>
      <w:r w:rsidRPr="000A4838">
        <w:rPr>
          <w:lang w:val="en-US"/>
        </w:rPr>
        <w:t xml:space="preserve">, Laves, carbides) are incorporated to ensure a balanced mechanical profile </w:t>
      </w:r>
      <w:r w:rsidRPr="000A4838">
        <w:rPr>
          <w:lang w:val="en-US"/>
        </w:rPr>
        <w:fldChar w:fldCharType="begin"/>
      </w:r>
      <w:r w:rsidR="00B77C17">
        <w:rPr>
          <w:lang w:val="en-US"/>
        </w:rPr>
        <w:instrText xml:space="preserve"> ADDIN ZOTERO_ITEM CSL_CITATION {"citationID":"NMLNYZfl","properties":{"formattedCitation":"\\super 10,11\\nosupersub{}","plainCitation":"10,11","noteIndex":0},"citationItems":[{"id":414,"uris":["http://zotero.org/users/local/hYny5ca1/items/2KCRP6GC"],"itemData":{"id":414,"type":"article-journal","abstract":"High entropy alloys (HEAs) are barely 12 years old. The field has stimulated new ideas and has inspired the exploration of the vast composition space offered by multi-principal element alloys (MPEAs). Here we present a critical review of this field, with the intent of summarizing key findings, uncovering major trends and providing guidance for future efforts. Major themes in this assessment include definition of terms; thermodynamic analysis of complex, concentrated alloys (CCAs); taxonomy of current alloy families; microstructures; mechanical properties; potential applications; and future efforts. Based on detailed analyses, the following major results emerge. Although classical thermodynamic concepts are unchanged, trends in MPEAs can be different than in simpler alloys. Common thermodynamic perceptions can be misleading and new trends are described. From a strong focus on 3d transition metal alloys, there are now seven distinct CCA families. A new theme of designing alloy families by selecting elements to achieve a specific, intended purpose is starting to emerge. A comprehensive microstructural assessment is performed using three datasets: experimental data drawn from 408 different alloys and two computational datasets generated using the CALculated PHAse Diagram (CALPHAD) method. Each dataset emphasizes different elements and shows different microstructural trends. Trends in these three datasets are all predicted by a ‘structure in – structure out’ (SISO) analysis developed here that uses the weighted fractions of the constituent element crystal structures in each dataset. A total of 13 distinct multi-principal element single-phase fields are found in this microstructural assessment. Relationships between composition, microstructure and properties are established for 3d transition metal MPEAs, including the roles of Al, Cr and Cu. Critical evaluation shows that commercial austenitic stainless steels and nickel alloys with 3 or more principal elements are MPEAs, as well as some established functional materials. Mechanical properties of 3d transition metal CCAs are equivalent to commercial austenitic stainless steels and nickel alloys, while some refractory metal CCAs show potential to extend the service strength and/or temperature of nickel superalloys. Detailed analyses of microstructures and properties allow two major HEA hypotheses to be resolved. Although the ‘entropy effect’ is not supported by the present data, it has nevertheless made an enduring contribution by inspiring a clearer understanding of the importance of configurational entropy on phase stability. The ‘sluggish diffusion’ hypothesis is also not supported by available data, but it motivates re-evaluation of a classical concept of metallic diffusion. Building on recent published work, the CCA field has expanded to include materials with metallic, ionic or covalent bonding. It also includes microstructures with any number of phases and any type of phases. Finally, the MPEA field is shown to include both structural and functional materials applications. A significant number of future efforts are recommended, with an emphasis on developing high-throughput experiments and computations for structural materials. The review concludes with a brief description of major accomplishments of the field and insights gained from the first 12 years of research. The field has lost none of its potency and continues to pose new questions and offer new possibilities. The vast range of complex compositions and microstructures remains the most compelling motivation for future studies.","container-title":"Acta Materialia","DOI":"10.1016/j.actamat.2016.08.081","ISSN":"1359-6454","journalAbbreviation":"Acta Materialia","page":"448-511","title":"A critical review of high entropy alloys and related concepts","volume":"122","author":[{"family":"Miracle","given":"D.B."},{"family":"Senkov","given":"O.N."}],"issued":{"date-parts":[["2017",1,1]]}},"label":"page"},{"id":415,"uris":["http://zotero.org/users/local/hYny5ca1/items/482UZVGT"],"itemData":{"id":415,"type":"article-journal","abstract":"High-entropy alloys (HEAs) are a relatively new class of materials that have gained considerable attention from the metallurgical research community over recent years. They are characterised by their unconventional compositions, in that they are not based around a single major component, but rather comprise multiple principal alloying elements. Four core effects have been proposed in HEAs: (1) the entropic stabilisation of solid solutions, (2) the severe distortion of their lattices, (3) sluggish diffusion kinetics and (4) that properties are derived from a cocktail effect. By assessing these claims on the basis of existing experimental evidence in the literature, as well as classical metallurgical understanding, it is concluded that the significance of these effects may not be as great as initially believed. The effect of entropic stabilisation does not appear to be overarching, insufficient evidence exists to establish the strain in the lattices of HEAs, and rapid precipitation observed in some HEAs suggests their diffusion kinetics are not necessarily anomalously slow in comparison to conventional alloys. The meaning and influence of the cocktail effect is also a matter for debate. Nevertheless, it is clear that HEAs represent a stimulating opportunity for the metallurgical research community. The complex nature of their compositions means that the discovery of alloys with unusual and attractive properties is inevitable. It is suggested that future activity regarding these alloys seeks to establish the nature of their physical metallurgy, and develop them for practical applications. Their use as structural materials is one of the most promising and exciting opportunities. To realise this ambition, methods to rapidly predict phase equilibria and select suitable HEA compositions are needed, and this constitutes a significant challenge. However, while this obstacle might be considerable, the rewards associated with its conquest are even more substantial. Similarly, the challenges associated with comprehending the behaviour of alloys with complex compositions are great, but the potential to enhance our fundamental metallurgical understanding is more remarkable. Consequently, HEAs represent one of the most stimulating and promising research fields in materials science at present.","container-title":"International Materials Reviews","DOI":"10.1080/09506608.2016.1180020","ISSN":"0950-6608","issue":"3","note":"publisher: SAGE Publications","page":"183-202","title":"High-entropy alloys: a critical assessment of their founding principles and future prospects","volume":"61","author":[{"family":"Pickering","given":"E. J."},{"family":"Jones","given":"N. G."}],"issued":{"date-parts":[["2016",4,1]]}},"label":"page"}],"schema":"https://github.com/citation-style-language/schema/raw/master/csl-citation.json"}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10,11</w:t>
      </w:r>
      <w:r w:rsidRPr="000A4838">
        <w:rPr>
          <w:lang w:val="en-US"/>
        </w:rPr>
        <w:fldChar w:fldCharType="end"/>
      </w:r>
      <w:r w:rsidRPr="000A4838">
        <w:rPr>
          <w:lang w:val="en-US"/>
        </w:rPr>
        <w:t>.</w:t>
      </w:r>
    </w:p>
    <w:p w:rsidR="007419CB" w:rsidRPr="000A4838" w:rsidRDefault="007419CB" w:rsidP="0021751D">
      <w:pPr>
        <w:spacing w:after="160" w:line="480" w:lineRule="auto"/>
        <w:rPr>
          <w:lang w:val="en-US"/>
        </w:rPr>
      </w:pPr>
      <w:r w:rsidRPr="000A4838">
        <w:rPr>
          <w:lang w:val="en-US"/>
        </w:rPr>
        <w:t xml:space="preserve">HEAs derive much of their novelty from </w:t>
      </w:r>
      <w:r w:rsidRPr="00A60569">
        <w:rPr>
          <w:rStyle w:val="lev"/>
          <w:rFonts w:eastAsia="Arial"/>
          <w:b w:val="0"/>
          <w:lang w:val="en-US"/>
        </w:rPr>
        <w:t>sluggish diffusion</w:t>
      </w:r>
      <w:r w:rsidRPr="000A4838">
        <w:rPr>
          <w:lang w:val="en-US"/>
        </w:rPr>
        <w:t xml:space="preserve"> and the so-called </w:t>
      </w:r>
      <w:r w:rsidRPr="00A60569">
        <w:rPr>
          <w:rStyle w:val="lev"/>
          <w:rFonts w:eastAsia="Arial"/>
          <w:b w:val="0"/>
          <w:lang w:val="en-US"/>
        </w:rPr>
        <w:t>cocktail effect</w:t>
      </w:r>
      <w:r w:rsidRPr="000A4838">
        <w:rPr>
          <w:lang w:val="en-US"/>
        </w:rPr>
        <w:t xml:space="preserve"> – where multiple principal elements interact to produce emergent behaviors not found in binary alloys </w:t>
      </w:r>
      <w:r w:rsidRPr="000A4838">
        <w:rPr>
          <w:lang w:val="en-US"/>
        </w:rPr>
        <w:fldChar w:fldCharType="begin"/>
      </w:r>
      <w:r w:rsidR="00B77C17">
        <w:rPr>
          <w:lang w:val="en-US"/>
        </w:rPr>
        <w:instrText xml:space="preserve"> ADDIN ZOTERO_ITEM CSL_CITATION {"citationID":"6215a3rG","properties":{"formattedCitation":"\\super 12\\nosupersub{}","plainCitation":"12","noteIndex":0},"citationItems":[{"id":417,"uris":["http://zotero.org/users/local/hYny5ca1/items/GZNAD56Y"],"itemData":{"id":417,"type":"article-journal","abstract":"Sluggish diffusion kinetics is an important contributor to the outstanding properties of high-entropy alloys. However, the diffusion kinetics in high-entropy alloys has never been probed directly. Here, the diffusion couple method was used to measure the diffusion parameters of Co, Cr, Fe, Mn and Ni in ideal-solution-like Co–Cr–Fe–Mn–Ni alloys. These parameters were compared with those in various conventional face-centered cubic metals. The results show that the diffusion coefficients in the Co–Cr–Fe–Mn–Ni alloys are indeed lower than those in the reference metals. Correspondingly, the activation energies in the high-entropy alloys are higher than those in the reference metals. Moreover, the trend of the normalized activation energy is positively related to the number of composing elements in the matrix. A quasi-chemical model is proposed to analyze the fluctuation of lattice potential energy in different matrices and to explain the observed trend in activation energies. Greater fluctuation of lattice potential energy produces more significant atomic traps and blocks, leading to higher activation energies, and thus accounts for the sluggish diffusion in high-entropy alloys.","container-title":"Acta Materialia","DOI":"10.1016/j.actamat.2013.04.058","ISSN":"1359-6454","issue":"13","journalAbbreviation":"Acta Materialia","page":"4887-4897","title":"Sluggish diffusion in Co–Cr–Fe–Mn–Ni high-entropy alloys","volume":"61","author":[{"family":"Tsai","given":"K.-Y."},{"family":"Tsai","given":"M.-H."},{"family":"Yeh","given":"J.-W."}],"issued":{"date-parts":[["2013",8,1]]}}}],"schema":"https://github.com/citation-style-language/schema/raw/master/csl-citation.json"}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12</w:t>
      </w:r>
      <w:r w:rsidRPr="000A4838">
        <w:rPr>
          <w:lang w:val="en-US"/>
        </w:rPr>
        <w:fldChar w:fldCharType="end"/>
      </w:r>
      <w:r w:rsidRPr="000A4838">
        <w:rPr>
          <w:lang w:val="en-US"/>
        </w:rPr>
        <w:t xml:space="preserve">. The formation of undesirable </w:t>
      </w:r>
      <w:proofErr w:type="spellStart"/>
      <w:r w:rsidRPr="000A4838">
        <w:rPr>
          <w:lang w:val="en-US"/>
        </w:rPr>
        <w:t>intermetallics</w:t>
      </w:r>
      <w:proofErr w:type="spellEnd"/>
      <w:r w:rsidRPr="000A4838">
        <w:rPr>
          <w:lang w:val="en-US"/>
        </w:rPr>
        <w:t xml:space="preserve"> at grain boundaries is a major failure </w:t>
      </w:r>
      <w:r w:rsidRPr="000A4838">
        <w:rPr>
          <w:lang w:val="en-US"/>
        </w:rPr>
        <w:lastRenderedPageBreak/>
        <w:t xml:space="preserve">mode; their avoidance is ensured by tracking formation enthalpies and solid-solution stability indicators </w:t>
      </w:r>
      <w:r w:rsidRPr="000A4838">
        <w:rPr>
          <w:lang w:val="en-US"/>
        </w:rPr>
        <w:fldChar w:fldCharType="begin"/>
      </w:r>
      <w:r w:rsidR="00B77C17">
        <w:rPr>
          <w:lang w:val="en-US"/>
        </w:rPr>
        <w:instrText xml:space="preserve"> ADDIN ZOTERO_ITEM CSL_CITATION {"citationID":"3NPzItBx","properties":{"formattedCitation":"\\super 13\\nosupersub{}","plainCitation":"13","noteIndex":0},"citationItems":[{"id":418,"uris":["http://zotero.org/users/local/hYny5ca1/items/4TDW6FQ5"],"itemData":{"id":418,"type":"book","ISBN":"978-3-319-80057-8","publisher":"Springer","title":"High-Entropy Alloys: Fundamentals and Applications","author":[{"family":"","given":"Gao, Michael C"}],"issued":{"date-parts":[["2018"]]}}}],"schema":"https://github.com/citation-style-language/schema/raw/master/csl-citation.json"}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13</w:t>
      </w:r>
      <w:r w:rsidRPr="000A4838">
        <w:rPr>
          <w:lang w:val="en-US"/>
        </w:rPr>
        <w:fldChar w:fldCharType="end"/>
      </w:r>
      <w:r w:rsidRPr="000A4838">
        <w:rPr>
          <w:lang w:val="en-US"/>
        </w:rPr>
        <w:t>.</w:t>
      </w:r>
    </w:p>
    <w:p w:rsidR="007419CB" w:rsidRPr="00BF7E42" w:rsidRDefault="007419CB" w:rsidP="0021751D">
      <w:pPr>
        <w:spacing w:after="160" w:line="480" w:lineRule="auto"/>
        <w:rPr>
          <w:lang w:val="en-US"/>
        </w:rPr>
      </w:pPr>
      <w:r w:rsidRPr="000A4838">
        <w:rPr>
          <w:lang w:val="en-US"/>
        </w:rPr>
        <w:t>These properties are interdependent. For instance, adding L1</w:t>
      </w:r>
      <w:r w:rsidRPr="000A4838">
        <w:rPr>
          <w:vertAlign w:val="subscript"/>
          <w:lang w:val="en-US"/>
        </w:rPr>
        <w:t>2</w:t>
      </w:r>
      <w:r w:rsidRPr="000A4838">
        <w:rPr>
          <w:lang w:val="en-US"/>
        </w:rPr>
        <w:t xml:space="preserve">-forming elements improves creep </w:t>
      </w:r>
      <w:r w:rsidRPr="00BF7E42">
        <w:rPr>
          <w:lang w:val="en-US"/>
        </w:rPr>
        <w:t>resistance but may reduce ductility or elevate density. Adding light elements reduces weight but can compromise oxidation resistance or phase stability. Similarly, increasing configurational entropy by adding more principal elements promotes solid-solution stability but may influence moduli and formation enthalpy unfavorably.</w:t>
      </w:r>
    </w:p>
    <w:p w:rsidR="007419CB" w:rsidRPr="000A4838" w:rsidRDefault="007419CB" w:rsidP="0021751D">
      <w:pPr>
        <w:spacing w:after="160" w:line="480" w:lineRule="auto"/>
        <w:rPr>
          <w:lang w:val="en-US"/>
        </w:rPr>
      </w:pPr>
      <w:r w:rsidRPr="00BF7E42">
        <w:rPr>
          <w:lang w:val="en-US"/>
        </w:rPr>
        <w:t>To effectively select and optimize HESA compositions, the methodology incorporates these properties into a unified matrix. In subsequent stages, surrogate models predict them, data cleaning and descriptor selection refine predictor</w:t>
      </w:r>
      <w:r w:rsidRPr="000A4838">
        <w:rPr>
          <w:lang w:val="en-US"/>
        </w:rPr>
        <w:t xml:space="preserve"> sets, and Pareto-based decision layers identify designs that best satisfy multi-objective criteria – thereby integrating physical insight and data-driven rigor into a reproducible alloy-design workflow.</w:t>
      </w: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7" w:name="_Ref203551999"/>
      <w:bookmarkStart w:id="8" w:name="_Toc214314321"/>
      <w:bookmarkStart w:id="9" w:name="_Toc216021083"/>
      <w:r w:rsidRPr="000A4838">
        <w:rPr>
          <w:rFonts w:ascii="Times New Roman" w:hAnsi="Times New Roman" w:cs="Times New Roman"/>
          <w:color w:val="auto"/>
          <w:sz w:val="24"/>
          <w:szCs w:val="24"/>
          <w:lang w:val="en-US"/>
        </w:rPr>
        <w:t>Descriptors Engineering</w:t>
      </w:r>
      <w:bookmarkEnd w:id="7"/>
      <w:bookmarkEnd w:id="8"/>
      <w:bookmarkEnd w:id="9"/>
    </w:p>
    <w:p w:rsidR="007419CB" w:rsidRPr="006460D3" w:rsidRDefault="00A372E3" w:rsidP="0021751D">
      <w:pPr>
        <w:spacing w:after="160" w:line="480" w:lineRule="auto"/>
        <w:rPr>
          <w:lang w:val="en-US"/>
        </w:rPr>
      </w:pPr>
      <w:r>
        <w:rPr>
          <w:lang w:val="en-US"/>
        </w:rPr>
        <w:t>I</w:t>
      </w:r>
      <w:r w:rsidR="007419CB" w:rsidRPr="006460D3">
        <w:rPr>
          <w:lang w:val="en-US"/>
        </w:rPr>
        <w:t>n this machine learning process workflow, direct learning from raw elemental symbols is dismissed in favor of physics-informed, composition-derived features. First, by translating each atom into quantitative physical quantities, the model is exposed to the underlying thermochemical and electronic drivers of stability and functionality, rather than forcing it to infer these from arbitrary string tokens. Second, this strategy permits extrapolation to chemistries entirely absent from the training</w:t>
      </w:r>
      <w:r w:rsidR="007419CB" w:rsidRPr="000A4838">
        <w:rPr>
          <w:lang w:val="en-US"/>
        </w:rPr>
        <w:t xml:space="preserve"> set – e.g. alloys containing rare or novel elements – since any element with known atomic properties can be </w:t>
      </w:r>
      <w:proofErr w:type="spellStart"/>
      <w:r w:rsidR="007419CB" w:rsidRPr="000A4838">
        <w:rPr>
          <w:lang w:val="en-US"/>
        </w:rPr>
        <w:t>featurized</w:t>
      </w:r>
      <w:proofErr w:type="spellEnd"/>
      <w:r w:rsidR="007419CB" w:rsidRPr="000A4838">
        <w:rPr>
          <w:lang w:val="en-US"/>
        </w:rPr>
        <w:t xml:space="preserve">; learning from features allows to make predictions on elements never seen during training. Finally, limiting </w:t>
      </w:r>
      <w:r w:rsidR="007419CB" w:rsidRPr="006460D3">
        <w:rPr>
          <w:lang w:val="en-US"/>
        </w:rPr>
        <w:t>descriptors to composition alone removes dependence on crystal structure, enabling predictions for conjectured alloys whose lattice symmetry has yet to be determined.</w:t>
      </w:r>
    </w:p>
    <w:p w:rsidR="007419CB" w:rsidRPr="006460D3" w:rsidRDefault="007419CB" w:rsidP="0021751D">
      <w:pPr>
        <w:spacing w:after="160" w:line="480" w:lineRule="auto"/>
        <w:rPr>
          <w:lang w:val="en-US"/>
        </w:rPr>
      </w:pPr>
      <w:r w:rsidRPr="006460D3">
        <w:rPr>
          <w:lang w:val="en-US"/>
        </w:rPr>
        <w:lastRenderedPageBreak/>
        <w:t xml:space="preserve">To cover a broad range of physical effects – size, electronic structure, thermodynamics, and periodic trends – 42 descriptors are initially computed from each normalized composition. Although high-dimensional, </w:t>
      </w:r>
      <w:r>
        <w:rPr>
          <w:lang w:val="en-US"/>
        </w:rPr>
        <w:t>the</w:t>
      </w:r>
      <w:r w:rsidRPr="006460D3">
        <w:rPr>
          <w:lang w:val="en-US"/>
        </w:rPr>
        <w:t xml:space="preserve"> subsequent training pipelines use feature-importance ranking and the inherent sparsity mechanism of </w:t>
      </w:r>
      <w:proofErr w:type="spellStart"/>
      <w:r w:rsidRPr="006460D3">
        <w:rPr>
          <w:lang w:val="en-US"/>
        </w:rPr>
        <w:t>XGBoost</w:t>
      </w:r>
      <w:proofErr w:type="spellEnd"/>
      <w:r w:rsidRPr="006460D3">
        <w:rPr>
          <w:lang w:val="en-US"/>
        </w:rPr>
        <w:t xml:space="preserve"> to select the most informative subset per target property.</w:t>
      </w:r>
    </w:p>
    <w:p w:rsidR="007419CB" w:rsidRPr="006460D3" w:rsidRDefault="007419CB" w:rsidP="0021751D">
      <w:pPr>
        <w:spacing w:after="160" w:line="480" w:lineRule="auto"/>
        <w:rPr>
          <w:lang w:val="en-US"/>
        </w:rPr>
      </w:pPr>
      <w:r w:rsidRPr="006460D3">
        <w:rPr>
          <w:lang w:val="en-US"/>
        </w:rPr>
        <w:t>The descriptor used in the pipeline fall into several different categories:</w:t>
      </w:r>
    </w:p>
    <w:p w:rsidR="007419CB" w:rsidRPr="000A4838" w:rsidRDefault="007419CB" w:rsidP="00F949EF">
      <w:pPr>
        <w:pStyle w:val="Paragraphedeliste"/>
        <w:numPr>
          <w:ilvl w:val="0"/>
          <w:numId w:val="11"/>
        </w:numPr>
        <w:spacing w:after="160" w:line="480" w:lineRule="auto"/>
        <w:contextualSpacing w:val="0"/>
        <w:rPr>
          <w:lang w:val="en-US"/>
        </w:rPr>
      </w:pPr>
      <w:r w:rsidRPr="000A4838">
        <w:rPr>
          <w:lang w:val="en-US"/>
        </w:rPr>
        <w:t>Atomic Size and Distortion</w:t>
      </w:r>
    </w:p>
    <w:p w:rsidR="007419CB" w:rsidRPr="000A4838" w:rsidRDefault="007419CB" w:rsidP="00F949EF">
      <w:pPr>
        <w:pStyle w:val="Paragraphedeliste"/>
        <w:numPr>
          <w:ilvl w:val="0"/>
          <w:numId w:val="13"/>
        </w:numPr>
        <w:spacing w:after="160" w:line="480" w:lineRule="auto"/>
        <w:contextualSpacing w:val="0"/>
        <w:rPr>
          <w:lang w:val="en-US"/>
        </w:rPr>
      </w:pPr>
      <w:r w:rsidRPr="000A4838">
        <w:rPr>
          <w:bCs/>
          <w:lang w:val="en-US"/>
        </w:rPr>
        <w:t>Average Atomic Radius</w:t>
      </w:r>
      <w:r w:rsidRPr="000A4838">
        <w:rPr>
          <w:lang w:val="en-US"/>
        </w:rPr>
        <w:t xml:space="preserve"> (</w:t>
      </w:r>
      <w:proofErr w:type="spellStart"/>
      <w:r w:rsidRPr="000A4838">
        <w:rPr>
          <w:rStyle w:val="Accentuation"/>
          <w:rFonts w:ascii="Courier New" w:hAnsi="Courier New" w:cs="Courier New"/>
          <w:i w:val="0"/>
          <w:sz w:val="20"/>
          <w:szCs w:val="20"/>
          <w:lang w:val="en-US"/>
        </w:rPr>
        <w:t>avg_radius</w:t>
      </w:r>
      <w:proofErr w:type="spellEnd"/>
      <w:r w:rsidRPr="000A4838">
        <w:rPr>
          <w:lang w:val="en-US"/>
        </w:rPr>
        <w:t xml:space="preserve">) and </w:t>
      </w:r>
      <w:r w:rsidRPr="000A4838">
        <w:rPr>
          <w:rStyle w:val="lev"/>
          <w:b w:val="0"/>
          <w:lang w:val="en-US"/>
        </w:rPr>
        <w:t>Standard Deviation</w:t>
      </w:r>
      <w:r w:rsidRPr="000A4838">
        <w:rPr>
          <w:lang w:val="en-US"/>
        </w:rPr>
        <w:t xml:space="preserve"> (</w:t>
      </w:r>
      <w:proofErr w:type="spellStart"/>
      <w:r w:rsidRPr="000A4838">
        <w:rPr>
          <w:rStyle w:val="Accentuation"/>
          <w:rFonts w:ascii="Courier New" w:hAnsi="Courier New" w:cs="Courier New"/>
          <w:i w:val="0"/>
          <w:sz w:val="20"/>
          <w:szCs w:val="20"/>
          <w:lang w:val="en-US"/>
        </w:rPr>
        <w:t>std_radius</w:t>
      </w:r>
      <w:proofErr w:type="spellEnd"/>
      <w:r w:rsidRPr="000A4838">
        <w:rPr>
          <w:lang w:val="en-US"/>
        </w:rPr>
        <w:t>)</w:t>
      </w:r>
      <w:r w:rsidRPr="000A4838">
        <w:rPr>
          <w:lang w:val="en-US"/>
        </w:rPr>
        <w:br/>
        <w:t>– mean and spread of elemental metallic radii reflect ideal lattice parameters and size disorder.</w:t>
      </w:r>
    </w:p>
    <w:p w:rsidR="007419CB" w:rsidRPr="000A4838" w:rsidRDefault="007419CB" w:rsidP="00F949EF">
      <w:pPr>
        <w:pStyle w:val="Paragraphedeliste"/>
        <w:numPr>
          <w:ilvl w:val="0"/>
          <w:numId w:val="13"/>
        </w:numPr>
        <w:spacing w:after="160" w:line="480" w:lineRule="auto"/>
        <w:contextualSpacing w:val="0"/>
        <w:rPr>
          <w:b/>
          <w:lang w:val="en-US"/>
        </w:rPr>
      </w:pPr>
      <w:r w:rsidRPr="000A4838">
        <w:rPr>
          <w:rStyle w:val="lev"/>
          <w:b w:val="0"/>
          <w:lang w:val="en-US"/>
        </w:rPr>
        <w:t>Radius‐Mismatch Parameter</w:t>
      </w:r>
      <w:r w:rsidRPr="000A4838">
        <w:rPr>
          <w:lang w:val="en-US"/>
        </w:rPr>
        <w:t xml:space="preserve"> (</w:t>
      </w:r>
      <m:oMath>
        <m:r>
          <m:rPr>
            <m:sty m:val="p"/>
          </m:rPr>
          <w:rPr>
            <w:rStyle w:val="Accentuation"/>
            <w:rFonts w:ascii="Cambria Math" w:hAnsi="Cambria Math"/>
            <w:lang w:val="en-US"/>
          </w:rPr>
          <m:t>δ</m:t>
        </m:r>
      </m:oMath>
      <w:r w:rsidRPr="000A4838">
        <w:rPr>
          <w:lang w:val="en-US"/>
        </w:rPr>
        <w:t>)</w:t>
      </w:r>
    </w:p>
    <w:p w:rsidR="007419CB" w:rsidRPr="000A4838" w:rsidRDefault="007419CB" w:rsidP="0021751D">
      <w:pPr>
        <w:spacing w:after="160" w:line="480" w:lineRule="auto"/>
        <w:rPr>
          <w:lang w:val="en-US"/>
        </w:rPr>
      </w:pPr>
      <m:oMath>
        <m:r>
          <w:rPr>
            <w:rFonts w:ascii="Cambria Math" w:hAnsi="Cambria Math"/>
            <w:lang w:val="en-US"/>
          </w:rPr>
          <m:t>δ≡</m:t>
        </m:r>
        <m:rad>
          <m:radPr>
            <m:degHide m:val="1"/>
            <m:ctrlPr>
              <w:rPr>
                <w:rFonts w:ascii="Cambria Math" w:eastAsia="Cambria Math" w:hAnsi="Cambria Math"/>
                <w:i/>
                <w:lang w:val="en-US"/>
              </w:rPr>
            </m:ctrlPr>
          </m:radPr>
          <m:deg/>
          <m:e>
            <m:nary>
              <m:naryPr>
                <m:chr m:val="∑"/>
                <m:limLoc m:val="subSup"/>
                <m:supHide m:val="1"/>
                <m:ctrlPr>
                  <w:rPr>
                    <w:rFonts w:ascii="Cambria Math" w:eastAsia="Cambria Math" w:hAnsi="Cambria Math"/>
                    <w:i/>
                    <w:lang w:val="en-US"/>
                  </w:rPr>
                </m:ctrlPr>
              </m:naryPr>
              <m:sub>
                <m:r>
                  <w:rPr>
                    <w:rFonts w:ascii="Cambria Math" w:hAnsi="Cambria Math"/>
                    <w:lang w:val="en-US"/>
                  </w:rPr>
                  <m:t>i</m:t>
                </m:r>
              </m:sub>
              <m:sup/>
              <m:e>
                <m:sSup>
                  <m:sSupPr>
                    <m:ctrlPr>
                      <w:rPr>
                        <w:rFonts w:ascii="Cambria Math" w:eastAsia="Cambria Math" w:hAnsi="Cambria Math"/>
                        <w:i/>
                        <w:lang w:val="en-US"/>
                      </w:rPr>
                    </m:ctrlPr>
                  </m:sSupPr>
                  <m:e>
                    <m:sSub>
                      <m:sSubPr>
                        <m:ctrlPr>
                          <w:rPr>
                            <w:rFonts w:ascii="Cambria Math" w:eastAsia="Cambria Math" w:hAnsi="Cambria Math"/>
                            <w:i/>
                            <w:lang w:val="en-US"/>
                          </w:rPr>
                        </m:ctrlPr>
                      </m:sSubPr>
                      <m:e>
                        <m:r>
                          <w:rPr>
                            <w:rFonts w:ascii="Cambria Math" w:hAnsi="Cambria Math"/>
                            <w:lang w:val="en-US"/>
                          </w:rPr>
                          <m:t>c</m:t>
                        </m:r>
                      </m:e>
                      <m:sub>
                        <m:r>
                          <w:rPr>
                            <w:rFonts w:ascii="Cambria Math" w:hAnsi="Cambria Math"/>
                            <w:lang w:val="en-US"/>
                          </w:rPr>
                          <m:t>i</m:t>
                        </m:r>
                      </m:sub>
                    </m:sSub>
                    <m:d>
                      <m:dPr>
                        <m:ctrlPr>
                          <w:rPr>
                            <w:rFonts w:ascii="Cambria Math" w:eastAsia="Cambria Math" w:hAnsi="Cambria Math"/>
                            <w:i/>
                            <w:lang w:val="en-US"/>
                          </w:rPr>
                        </m:ctrlPr>
                      </m:dPr>
                      <m:e>
                        <m:r>
                          <w:rPr>
                            <w:rFonts w:ascii="Cambria Math" w:hAnsi="Cambria Math"/>
                            <w:lang w:val="en-US"/>
                          </w:rPr>
                          <m:t>1-</m:t>
                        </m:r>
                        <m:f>
                          <m:fPr>
                            <m:type m:val="lin"/>
                            <m:ctrlPr>
                              <w:rPr>
                                <w:rFonts w:ascii="Cambria Math" w:eastAsia="Cambria Math" w:hAnsi="Cambria Math"/>
                                <w:i/>
                                <w:lang w:val="en-US"/>
                              </w:rPr>
                            </m:ctrlPr>
                          </m:fPr>
                          <m:num>
                            <m:sSub>
                              <m:sSubPr>
                                <m:ctrlPr>
                                  <w:rPr>
                                    <w:rFonts w:ascii="Cambria Math" w:eastAsia="Cambria Math" w:hAnsi="Cambria Math"/>
                                    <w:i/>
                                    <w:lang w:val="en-US"/>
                                  </w:rPr>
                                </m:ctrlPr>
                              </m:sSubPr>
                              <m:e>
                                <m:r>
                                  <w:rPr>
                                    <w:rFonts w:ascii="Cambria Math" w:hAnsi="Cambria Math"/>
                                    <w:lang w:val="en-US"/>
                                  </w:rPr>
                                  <m:t>r</m:t>
                                </m:r>
                              </m:e>
                              <m:sub>
                                <m:r>
                                  <w:rPr>
                                    <w:rFonts w:ascii="Cambria Math" w:hAnsi="Cambria Math"/>
                                    <w:lang w:val="en-US"/>
                                  </w:rPr>
                                  <m:t>i</m:t>
                                </m:r>
                              </m:sub>
                            </m:sSub>
                          </m:num>
                          <m:den>
                            <m:acc>
                              <m:accPr>
                                <m:chr m:val="̅"/>
                                <m:ctrlPr>
                                  <w:rPr>
                                    <w:rFonts w:ascii="Cambria Math" w:eastAsia="Cambria Math" w:hAnsi="Cambria Math"/>
                                    <w:i/>
                                    <w:lang w:val="en-US"/>
                                  </w:rPr>
                                </m:ctrlPr>
                              </m:accPr>
                              <m:e>
                                <m:r>
                                  <w:rPr>
                                    <w:rFonts w:ascii="Cambria Math" w:hAnsi="Cambria Math"/>
                                    <w:lang w:val="en-US"/>
                                  </w:rPr>
                                  <m:t>r</m:t>
                                </m:r>
                              </m:e>
                            </m:acc>
                          </m:den>
                        </m:f>
                      </m:e>
                    </m:d>
                  </m:e>
                  <m:sup>
                    <m:r>
                      <w:rPr>
                        <w:rFonts w:ascii="Cambria Math" w:hAnsi="Cambria Math"/>
                        <w:lang w:val="en-US"/>
                      </w:rPr>
                      <m:t>2</m:t>
                    </m:r>
                  </m:sup>
                </m:sSup>
              </m:e>
            </m:nary>
          </m:e>
        </m:rad>
      </m:oMath>
      <w:r w:rsidRPr="000A4838">
        <w:rPr>
          <w:rStyle w:val="vlist-s"/>
          <w:lang w:val="en-US"/>
        </w:rPr>
        <w:t>​ q</w:t>
      </w:r>
      <w:r w:rsidRPr="000A4838">
        <w:rPr>
          <w:lang w:val="en-US"/>
        </w:rPr>
        <w:t xml:space="preserve">uantifies relative size variance; </w:t>
      </w:r>
      <m:oMath>
        <m:r>
          <w:rPr>
            <w:rFonts w:ascii="Cambria Math" w:hAnsi="Cambria Math"/>
            <w:lang w:val="en-US"/>
          </w:rPr>
          <m:t>δ &lt; 0.06</m:t>
        </m:r>
      </m:oMath>
      <w:r w:rsidRPr="000A4838">
        <w:rPr>
          <w:lang w:val="en-US"/>
        </w:rPr>
        <w:t xml:space="preserve"> is often cited as necessary for single‐phase HEA formation.</w:t>
      </w:r>
    </w:p>
    <w:p w:rsidR="007419CB" w:rsidRPr="000A4838" w:rsidRDefault="007419CB" w:rsidP="00F949EF">
      <w:pPr>
        <w:pStyle w:val="Paragraphedeliste"/>
        <w:numPr>
          <w:ilvl w:val="0"/>
          <w:numId w:val="12"/>
        </w:numPr>
        <w:spacing w:after="160" w:line="480" w:lineRule="auto"/>
        <w:contextualSpacing w:val="0"/>
        <w:rPr>
          <w:lang w:val="en-US"/>
        </w:rPr>
      </w:pPr>
      <w:r w:rsidRPr="000A4838">
        <w:rPr>
          <w:rStyle w:val="lev"/>
          <w:b w:val="0"/>
          <w:lang w:val="en-US"/>
        </w:rPr>
        <w:t>Maximum/Minimum Radius Ratios</w:t>
      </w:r>
      <w:r w:rsidRPr="000A4838">
        <w:rPr>
          <w:b/>
          <w:lang w:val="en-US"/>
        </w:rPr>
        <w:t xml:space="preserve"> </w:t>
      </w:r>
      <w:r w:rsidRPr="000A4838">
        <w:rPr>
          <w:lang w:val="en-US"/>
        </w:rPr>
        <w:t>(</w:t>
      </w:r>
      <w:proofErr w:type="spellStart"/>
      <w:r w:rsidRPr="000A4838">
        <w:rPr>
          <w:rStyle w:val="Accentuation"/>
          <w:rFonts w:ascii="Courier New" w:hAnsi="Courier New" w:cs="Courier New"/>
          <w:i w:val="0"/>
          <w:sz w:val="20"/>
          <w:szCs w:val="20"/>
          <w:lang w:val="en-US"/>
        </w:rPr>
        <w:t>max_r_ratio</w:t>
      </w:r>
      <w:proofErr w:type="spellEnd"/>
      <w:r w:rsidRPr="000A4838">
        <w:rPr>
          <w:lang w:val="en-US"/>
        </w:rPr>
        <w:t xml:space="preserve">, </w:t>
      </w:r>
      <w:proofErr w:type="spellStart"/>
      <w:r w:rsidRPr="000A4838">
        <w:rPr>
          <w:rStyle w:val="Accentuation"/>
          <w:rFonts w:ascii="Courier New" w:hAnsi="Courier New" w:cs="Courier New"/>
          <w:i w:val="0"/>
          <w:sz w:val="20"/>
          <w:szCs w:val="20"/>
          <w:lang w:val="en-US"/>
        </w:rPr>
        <w:t>min_r_ratio</w:t>
      </w:r>
      <w:proofErr w:type="spellEnd"/>
      <w:r w:rsidRPr="000A4838">
        <w:rPr>
          <w:lang w:val="en-US"/>
        </w:rPr>
        <w:t>)</w:t>
      </w:r>
      <w:r w:rsidRPr="000A4838">
        <w:rPr>
          <w:b/>
          <w:lang w:val="en-US"/>
        </w:rPr>
        <w:br/>
      </w:r>
      <w:r w:rsidRPr="000A4838">
        <w:rPr>
          <w:lang w:val="en-US"/>
        </w:rPr>
        <w:t>Identify extreme size outliers, which can trigger local strain and segregation.</w:t>
      </w:r>
    </w:p>
    <w:p w:rsidR="007419CB" w:rsidRPr="000A4838" w:rsidRDefault="007419CB" w:rsidP="00F949EF">
      <w:pPr>
        <w:numPr>
          <w:ilvl w:val="0"/>
          <w:numId w:val="12"/>
        </w:numPr>
        <w:spacing w:after="160" w:line="480" w:lineRule="auto"/>
        <w:rPr>
          <w:b/>
          <w:lang w:val="en-US"/>
        </w:rPr>
      </w:pPr>
      <w:r w:rsidRPr="000A4838">
        <w:rPr>
          <w:rStyle w:val="lev"/>
          <w:b w:val="0"/>
          <w:lang w:val="en-US"/>
        </w:rPr>
        <w:t>Virtual Density Descriptor</w:t>
      </w:r>
      <w:r w:rsidRPr="000A4838">
        <w:rPr>
          <w:b/>
          <w:lang w:val="en-US"/>
        </w:rPr>
        <w:t xml:space="preserve"> </w:t>
      </w:r>
      <w:r w:rsidRPr="000A4838">
        <w:rPr>
          <w:lang w:val="en-US"/>
        </w:rPr>
        <w:t>(</w:t>
      </w:r>
      <w:proofErr w:type="spellStart"/>
      <w:r w:rsidRPr="000A4838">
        <w:rPr>
          <w:rStyle w:val="Accentuation"/>
          <w:rFonts w:ascii="Courier New" w:hAnsi="Courier New" w:cs="Courier New"/>
          <w:i w:val="0"/>
          <w:sz w:val="20"/>
          <w:szCs w:val="20"/>
          <w:lang w:val="en-US"/>
        </w:rPr>
        <w:t>d_virt</w:t>
      </w:r>
      <w:proofErr w:type="spellEnd"/>
      <w:r w:rsidRPr="000A4838">
        <w:rPr>
          <w:lang w:val="en-US"/>
        </w:rPr>
        <w:t>).</w:t>
      </w:r>
    </w:p>
    <w:p w:rsidR="007419CB" w:rsidRPr="000A4838" w:rsidRDefault="00CC139D" w:rsidP="0021751D">
      <w:pPr>
        <w:spacing w:after="160" w:line="480" w:lineRule="auto"/>
        <w:rPr>
          <w:lang w:val="en-US"/>
        </w:rPr>
      </w:pPr>
      <m:oMath>
        <m:sSub>
          <m:sSubPr>
            <m:ctrlPr>
              <w:rPr>
                <w:rFonts w:ascii="Cambria Math" w:eastAsia="Cambria Math" w:hAnsi="Cambria Math"/>
                <w:i/>
                <w:lang w:val="en-US"/>
              </w:rPr>
            </m:ctrlPr>
          </m:sSubPr>
          <m:e>
            <m:r>
              <w:rPr>
                <w:rStyle w:val="vlist-s"/>
                <w:rFonts w:ascii="Cambria Math" w:hAnsi="Cambria Math"/>
                <w:lang w:val="en-US"/>
              </w:rPr>
              <m:t>d</m:t>
            </m:r>
          </m:e>
          <m:sub>
            <m:r>
              <w:rPr>
                <w:rStyle w:val="vlist-s"/>
                <w:rFonts w:ascii="Cambria Math" w:hAnsi="Cambria Math"/>
                <w:lang w:val="en-US"/>
              </w:rPr>
              <m:t>virt</m:t>
            </m:r>
          </m:sub>
        </m:sSub>
        <m:r>
          <w:rPr>
            <w:rStyle w:val="vlist-s"/>
            <w:rFonts w:ascii="Cambria Math" w:hAnsi="Cambria Math"/>
            <w:lang w:val="en-US"/>
          </w:rPr>
          <m:t>≡</m:t>
        </m:r>
        <m:f>
          <m:fPr>
            <m:ctrlPr>
              <w:rPr>
                <w:rFonts w:ascii="Cambria Math" w:eastAsia="Cambria Math" w:hAnsi="Cambria Math"/>
                <w:i/>
                <w:lang w:val="en-US"/>
              </w:rPr>
            </m:ctrlPr>
          </m:fPr>
          <m:num>
            <m:sSup>
              <m:sSupPr>
                <m:ctrlPr>
                  <w:rPr>
                    <w:rFonts w:ascii="Cambria Math" w:eastAsia="Cambria Math" w:hAnsi="Cambria Math"/>
                    <w:i/>
                    <w:lang w:val="en-US"/>
                  </w:rPr>
                </m:ctrlPr>
              </m:sSupPr>
              <m:e>
                <m:r>
                  <w:rPr>
                    <w:rStyle w:val="vlist-s"/>
                    <w:rFonts w:ascii="Cambria Math" w:hAnsi="Cambria Math"/>
                    <w:lang w:val="en-US"/>
                  </w:rPr>
                  <m:t>10</m:t>
                </m:r>
              </m:e>
              <m:sup>
                <m:r>
                  <w:rPr>
                    <w:rStyle w:val="vlist-s"/>
                    <w:rFonts w:ascii="Cambria Math" w:hAnsi="Cambria Math"/>
                    <w:lang w:val="en-US"/>
                  </w:rPr>
                  <m:t>7</m:t>
                </m:r>
              </m:sup>
            </m:sSup>
          </m:num>
          <m:den>
            <m:sSub>
              <m:sSubPr>
                <m:ctrlPr>
                  <w:rPr>
                    <w:rFonts w:ascii="Cambria Math" w:eastAsia="Cambria Math" w:hAnsi="Cambria Math"/>
                    <w:i/>
                    <w:lang w:val="en-US"/>
                  </w:rPr>
                </m:ctrlPr>
              </m:sSubPr>
              <m:e>
                <m:r>
                  <w:rPr>
                    <w:rStyle w:val="vlist-s"/>
                    <w:rFonts w:ascii="Cambria Math" w:hAnsi="Cambria Math"/>
                    <w:lang w:val="en-US"/>
                  </w:rPr>
                  <m:t>N</m:t>
                </m:r>
              </m:e>
              <m:sub>
                <m:r>
                  <w:rPr>
                    <w:rStyle w:val="vlist-s"/>
                    <w:rFonts w:ascii="Cambria Math" w:hAnsi="Cambria Math"/>
                    <w:lang w:val="en-US"/>
                  </w:rPr>
                  <m:t>A</m:t>
                </m:r>
              </m:sub>
            </m:sSub>
          </m:den>
        </m:f>
        <m:f>
          <m:fPr>
            <m:ctrlPr>
              <w:rPr>
                <w:rFonts w:ascii="Cambria Math" w:eastAsia="Cambria Math" w:hAnsi="Cambria Math"/>
                <w:i/>
                <w:lang w:val="en-US"/>
              </w:rPr>
            </m:ctrlPr>
          </m:fPr>
          <m:num>
            <m:acc>
              <m:accPr>
                <m:chr m:val="̅"/>
                <m:ctrlPr>
                  <w:rPr>
                    <w:rFonts w:ascii="Cambria Math" w:eastAsia="Cambria Math" w:hAnsi="Cambria Math"/>
                    <w:i/>
                    <w:lang w:val="en-US"/>
                  </w:rPr>
                </m:ctrlPr>
              </m:accPr>
              <m:e>
                <m:r>
                  <w:rPr>
                    <w:rStyle w:val="vlist-s"/>
                    <w:rFonts w:ascii="Cambria Math" w:hAnsi="Cambria Math"/>
                    <w:lang w:val="en-US"/>
                  </w:rPr>
                  <m:t>M</m:t>
                </m:r>
              </m:e>
            </m:acc>
          </m:num>
          <m:den>
            <m:sSup>
              <m:sSupPr>
                <m:ctrlPr>
                  <w:rPr>
                    <w:rFonts w:ascii="Cambria Math" w:eastAsia="Cambria Math" w:hAnsi="Cambria Math"/>
                    <w:i/>
                    <w:lang w:val="en-US"/>
                  </w:rPr>
                </m:ctrlPr>
              </m:sSupPr>
              <m:e>
                <m:acc>
                  <m:accPr>
                    <m:chr m:val="̅"/>
                    <m:ctrlPr>
                      <w:rPr>
                        <w:rFonts w:ascii="Cambria Math" w:eastAsia="Cambria Math" w:hAnsi="Cambria Math"/>
                        <w:i/>
                        <w:lang w:val="en-US"/>
                      </w:rPr>
                    </m:ctrlPr>
                  </m:accPr>
                  <m:e>
                    <m:r>
                      <w:rPr>
                        <w:rStyle w:val="vlist-s"/>
                        <w:rFonts w:ascii="Cambria Math" w:hAnsi="Cambria Math"/>
                        <w:lang w:val="en-US"/>
                      </w:rPr>
                      <m:t>r</m:t>
                    </m:r>
                  </m:e>
                </m:acc>
              </m:e>
              <m:sup>
                <m:r>
                  <w:rPr>
                    <w:rStyle w:val="vlist-s"/>
                    <w:rFonts w:ascii="Cambria Math" w:hAnsi="Cambria Math"/>
                    <w:lang w:val="en-US"/>
                  </w:rPr>
                  <m:t>3</m:t>
                </m:r>
              </m:sup>
            </m:sSup>
          </m:den>
        </m:f>
      </m:oMath>
      <w:r w:rsidR="007419CB" w:rsidRPr="000A4838">
        <w:rPr>
          <w:rStyle w:val="vlist-s"/>
          <w:lang w:val="en-US"/>
        </w:rPr>
        <w:t>​</w:t>
      </w:r>
      <w:r w:rsidR="007419CB" w:rsidRPr="000A4838">
        <w:rPr>
          <w:rStyle w:val="mpunct"/>
          <w:lang w:val="en-US"/>
        </w:rPr>
        <w:t>,</w:t>
      </w:r>
      <w:r w:rsidR="007419CB" w:rsidRPr="000A4838">
        <w:rPr>
          <w:lang w:val="en-US"/>
        </w:rPr>
        <w:t xml:space="preserve"> with average atomic weight </w:t>
      </w:r>
      <m:oMath>
        <m:acc>
          <m:accPr>
            <m:chr m:val="̅"/>
            <m:ctrlPr>
              <w:rPr>
                <w:rFonts w:ascii="Cambria Math" w:eastAsia="Cambria Math" w:hAnsi="Cambria Math"/>
                <w:i/>
                <w:lang w:val="en-US"/>
              </w:rPr>
            </m:ctrlPr>
          </m:accPr>
          <m:e>
            <m:r>
              <w:rPr>
                <w:rStyle w:val="vlist-s"/>
                <w:rFonts w:ascii="Cambria Math" w:hAnsi="Cambria Math"/>
                <w:lang w:val="en-US"/>
              </w:rPr>
              <m:t>M</m:t>
            </m:r>
          </m:e>
        </m:acc>
      </m:oMath>
      <w:r w:rsidR="007419CB" w:rsidRPr="000A4838">
        <w:rPr>
          <w:rStyle w:val="katex-mathml"/>
          <w:lang w:val="en-US"/>
        </w:rPr>
        <w:t xml:space="preserve"> </w:t>
      </w:r>
      <w:r w:rsidR="007419CB" w:rsidRPr="000A4838">
        <w:rPr>
          <w:lang w:val="en-US"/>
        </w:rPr>
        <w:t xml:space="preserve">and radius </w:t>
      </w:r>
      <m:oMath>
        <m:acc>
          <m:accPr>
            <m:chr m:val="̅"/>
            <m:ctrlPr>
              <w:rPr>
                <w:rFonts w:ascii="Cambria Math" w:eastAsia="Cambria Math" w:hAnsi="Cambria Math"/>
                <w:i/>
                <w:lang w:val="en-US"/>
              </w:rPr>
            </m:ctrlPr>
          </m:accPr>
          <m:e>
            <m:r>
              <w:rPr>
                <w:rStyle w:val="vlist-s"/>
                <w:rFonts w:ascii="Cambria Math" w:hAnsi="Cambria Math"/>
                <w:lang w:val="en-US"/>
              </w:rPr>
              <m:t>r</m:t>
            </m:r>
          </m:e>
        </m:acc>
      </m:oMath>
      <w:r w:rsidR="007419CB" w:rsidRPr="000A4838">
        <w:rPr>
          <w:rStyle w:val="vlist-s"/>
          <w:rFonts w:eastAsiaTheme="minorEastAsia"/>
          <w:lang w:val="en-US"/>
        </w:rPr>
        <w:t>, is</w:t>
      </w:r>
      <w:r w:rsidR="007419CB" w:rsidRPr="000A4838">
        <w:rPr>
          <w:lang w:val="en-US"/>
        </w:rPr>
        <w:t xml:space="preserve"> an empirical proxy for packing efficiency, and proved to be efficient to predict actual density.</w:t>
      </w:r>
    </w:p>
    <w:p w:rsidR="007419CB" w:rsidRPr="000A4838" w:rsidRDefault="007419CB" w:rsidP="0021751D">
      <w:pPr>
        <w:spacing w:after="160" w:line="480" w:lineRule="auto"/>
        <w:rPr>
          <w:lang w:val="en-US"/>
        </w:rPr>
      </w:pPr>
      <w:r w:rsidRPr="000A4838">
        <w:rPr>
          <w:lang w:val="en-US"/>
        </w:rPr>
        <w:t>2. Electronic Structure</w:t>
      </w:r>
    </w:p>
    <w:p w:rsidR="007419CB" w:rsidRPr="000A4838" w:rsidRDefault="007419CB" w:rsidP="00F949EF">
      <w:pPr>
        <w:pStyle w:val="Paragraphedeliste"/>
        <w:numPr>
          <w:ilvl w:val="0"/>
          <w:numId w:val="14"/>
        </w:numPr>
        <w:spacing w:after="160" w:line="480" w:lineRule="auto"/>
        <w:contextualSpacing w:val="0"/>
        <w:rPr>
          <w:lang w:val="en-US"/>
        </w:rPr>
      </w:pPr>
      <w:r w:rsidRPr="000A4838">
        <w:rPr>
          <w:bCs/>
          <w:lang w:val="en-US"/>
        </w:rPr>
        <w:t>Average and Standard deviation Pauling Electronegativity</w:t>
      </w:r>
      <w:r w:rsidRPr="000A4838">
        <w:rPr>
          <w:lang w:val="en-US"/>
        </w:rPr>
        <w:t xml:space="preserve"> (</w:t>
      </w:r>
      <w:proofErr w:type="spellStart"/>
      <w:r w:rsidRPr="000A4838">
        <w:rPr>
          <w:rFonts w:ascii="Courier New" w:hAnsi="Courier New" w:cs="Courier New"/>
          <w:iCs/>
          <w:sz w:val="20"/>
          <w:szCs w:val="20"/>
          <w:lang w:val="en-US"/>
        </w:rPr>
        <w:t>avg_eneg</w:t>
      </w:r>
      <w:proofErr w:type="spellEnd"/>
      <w:r w:rsidRPr="000A4838">
        <w:rPr>
          <w:lang w:val="en-US"/>
        </w:rPr>
        <w:t xml:space="preserve">, </w:t>
      </w:r>
      <w:proofErr w:type="spellStart"/>
      <w:r w:rsidRPr="000A4838">
        <w:rPr>
          <w:rFonts w:ascii="Courier New" w:hAnsi="Courier New" w:cs="Courier New"/>
          <w:iCs/>
          <w:sz w:val="20"/>
          <w:szCs w:val="20"/>
          <w:lang w:val="en-US"/>
        </w:rPr>
        <w:t>std_eneg</w:t>
      </w:r>
      <w:proofErr w:type="spellEnd"/>
      <w:r w:rsidRPr="000A4838">
        <w:rPr>
          <w:lang w:val="en-US"/>
        </w:rPr>
        <w:t>)</w:t>
      </w:r>
      <w:r w:rsidRPr="000A4838">
        <w:rPr>
          <w:lang w:val="en-US"/>
        </w:rPr>
        <w:br/>
        <w:t xml:space="preserve">Influence bond polarity and mixing enthalpy; high </w:t>
      </w:r>
      <m:oMath>
        <m:sSub>
          <m:sSubPr>
            <m:ctrlPr>
              <w:rPr>
                <w:rFonts w:ascii="Cambria Math" w:eastAsia="Cambria Math" w:hAnsi="Cambria Math"/>
                <w:i/>
                <w:lang w:val="en-US"/>
              </w:rPr>
            </m:ctrlPr>
          </m:sSubPr>
          <m:e>
            <m:r>
              <m:rPr>
                <m:sty m:val="p"/>
              </m:rPr>
              <w:rPr>
                <w:rFonts w:ascii="Cambria Math" w:hAnsi="Cambria Math"/>
                <w:lang w:val="en-US"/>
              </w:rPr>
              <m:t>Δ</m:t>
            </m:r>
          </m:e>
          <m:sub>
            <m:r>
              <m:rPr>
                <m:sty m:val="p"/>
              </m:rPr>
              <w:rPr>
                <w:rFonts w:ascii="Cambria Math" w:hAnsi="Cambria Math"/>
                <w:lang w:val="en-US"/>
              </w:rPr>
              <m:t>eneg</m:t>
            </m:r>
          </m:sub>
        </m:sSub>
      </m:oMath>
      <w:r w:rsidRPr="000A4838">
        <w:rPr>
          <w:lang w:val="en-US"/>
        </w:rPr>
        <w:t xml:space="preserve"> often correlates with intermetallic formation </w:t>
      </w:r>
      <w:r w:rsidRPr="000A4838">
        <w:rPr>
          <w:lang w:val="en-US"/>
        </w:rPr>
        <w:fldChar w:fldCharType="begin"/>
      </w:r>
      <w:r w:rsidR="00B77C17">
        <w:rPr>
          <w:lang w:val="en-US"/>
        </w:rPr>
        <w:instrText xml:space="preserve"> ADDIN ZOTERO_ITEM CSL_CITATION {"citationID":"GteAkKc6","properties":{"formattedCitation":"\\super 23\\nosupersub{}","plainCitation":"23","noteIndex":0},"citationItems":[{"id":191,"uris":["http://zotero.org/users/local/hYny5ca1/items/P3459329"],"itemData":{"id":191,"type":"entry-encyclopedia","abstract":"Electronegativity, symbolized as χ, is the tendency for an atom of a given chemical element to attract shared electrons (or electron density) when forming a chemical bond. An atom's electronegativity is affected by both its atomic number and the distance at which its valence electrons reside from the charged nucleus. The higher the associated electronegativity, the more an atom or a substituent group attracts electrons. Electronegativity serves as a simple way to quantitatively estimate the bond energy, and the sign and magnitude of a bond's chemical polarity, which characterizes a bond along the continuous scale from covalent to ionic bonding. The loosely defined term electropositivity is the opposite of electronegativity: it characterizes an element's tendency to donate valence electrons.\nOn the most basic level, electronegativity is determined by factors like the nuclear charge (the more protons an atom has, the more \"pull\" it will have on electrons) and the number and location of other electrons in the atomic shells (the more electrons an atom has, the farther from the nucleus the valence electrons will be, and as a result, the less positive charge they will experience—both because of their increased distance from the nucleus and because the other electrons in the lower energy core orbitals will act to shield the valence electrons from the positively charged nucleus).\nThe term \"electronegativity\" was introduced by Jöns Jacob Berzelius in 1811,\nthough the concept was known before that and was studied by many chemists including Avogadro.\nIn spite of its long history, an accurate scale of electronegativity was not developed until 1932, when Linus Pauling proposed an electronegativity scale which depends on bond energies, as a development of valence bond theory. It has been shown to correlate with a number of other chemical properties. Electronegativity cannot be directly measured and must be calculated from other atomic or molecular properties. Several methods of calculation have been proposed, and although there may be small differences in the numerical values of the electronegativity, all methods show the same periodic trends between elements.\nThe most commonly used method of calculation is that originally proposed by Linus Pauling. This gives a dimensionless quantity, commonly referred to as the Pauling scale (χr), on a relative scale running from 0.79 to 3.98 (hydrogen = 2.20). When other methods of calculation are used, it is conventional (although not obligatory) to quote the results on a scale that covers the same range of numerical values: this is known as an electronegativity in Pauling units.\nAs it is usually calculated, electronegativity is not a property of an atom alone, but rather a property of an atom in a molecule. Even so, the electronegativity of an atom is strongly correlated with the first ionization energy. The electronegativity is slightly negatively correlated (for smaller electronegativity values) and rather strongly positively correlated (for most and larger electronegativity values) with the electron affinity. It is to be expected that the electronegativity of an element will vary with its chemical environment, but it is usually considered to be a transferable property, that is to say that similar values will be valid in a variety of situations.\nCaesium is the least electronegative element (0.79); fluorine is the most (3.98).","container-title":"Wikipedia","language":"en","license":"Creative Commons Attribution-ShareAlike License","note":"Page Version ID: 1288112384","source":"Wikipedia","title":"Electronegativity","URL":"https://en.wikipedia.org/w/index.php?title=Electronegativity&amp;oldid=1288112384","accessed":{"date-parts":[["2025",5,9]]},"issued":{"date-parts":[["2025",4,30]]}}}],"schema":"https://github.com/citation-style-language/schema/raw/master/csl-citation.json"} </w:instrText>
      </w:r>
      <w:r w:rsidRPr="000A4838">
        <w:rPr>
          <w:lang w:val="en-US"/>
        </w:rPr>
        <w:fldChar w:fldCharType="separate"/>
      </w:r>
      <w:r w:rsidR="00B77C17" w:rsidRPr="00B77C17">
        <w:rPr>
          <w:rFonts w:cs="Times New Roman"/>
          <w:szCs w:val="24"/>
          <w:vertAlign w:val="superscript"/>
        </w:rPr>
        <w:t>23</w:t>
      </w:r>
      <w:r w:rsidRPr="000A4838">
        <w:rPr>
          <w:lang w:val="en-US"/>
        </w:rPr>
        <w:fldChar w:fldCharType="end"/>
      </w:r>
      <w:r w:rsidRPr="000A4838">
        <w:rPr>
          <w:lang w:val="en-US"/>
        </w:rPr>
        <w:t>.</w:t>
      </w:r>
    </w:p>
    <w:p w:rsidR="007419CB" w:rsidRPr="000A4838" w:rsidRDefault="007419CB" w:rsidP="00F949EF">
      <w:pPr>
        <w:pStyle w:val="Paragraphedeliste"/>
        <w:numPr>
          <w:ilvl w:val="0"/>
          <w:numId w:val="14"/>
        </w:numPr>
        <w:spacing w:after="160" w:line="480" w:lineRule="auto"/>
        <w:contextualSpacing w:val="0"/>
        <w:rPr>
          <w:lang w:val="en-US"/>
        </w:rPr>
      </w:pPr>
      <w:r w:rsidRPr="000A4838">
        <w:rPr>
          <w:bCs/>
          <w:lang w:val="en-US"/>
        </w:rPr>
        <w:lastRenderedPageBreak/>
        <w:t>Electronegativity Range</w:t>
      </w:r>
      <w:r w:rsidRPr="000A4838">
        <w:rPr>
          <w:lang w:val="en-US"/>
        </w:rPr>
        <w:t xml:space="preserve"> (</w:t>
      </w:r>
      <w:proofErr w:type="spellStart"/>
      <w:r w:rsidRPr="000A4838">
        <w:rPr>
          <w:rFonts w:ascii="Courier New" w:hAnsi="Courier New" w:cs="Courier New"/>
          <w:iCs/>
          <w:sz w:val="20"/>
          <w:szCs w:val="20"/>
          <w:lang w:val="en-US"/>
        </w:rPr>
        <w:t>range_eneg</w:t>
      </w:r>
      <w:proofErr w:type="spellEnd"/>
      <w:r w:rsidRPr="000A4838">
        <w:rPr>
          <w:lang w:val="en-US"/>
        </w:rPr>
        <w:t>). Difference between maximum and minimum Pauling values; large spreads can drive ordering.</w:t>
      </w:r>
    </w:p>
    <w:p w:rsidR="007419CB" w:rsidRPr="000A4838" w:rsidRDefault="007419CB" w:rsidP="00F949EF">
      <w:pPr>
        <w:pStyle w:val="Paragraphedeliste"/>
        <w:numPr>
          <w:ilvl w:val="0"/>
          <w:numId w:val="14"/>
        </w:numPr>
        <w:spacing w:after="160" w:line="480" w:lineRule="auto"/>
        <w:contextualSpacing w:val="0"/>
        <w:rPr>
          <w:lang w:val="en-US"/>
        </w:rPr>
      </w:pPr>
      <w:r w:rsidRPr="000A4838">
        <w:rPr>
          <w:bCs/>
          <w:lang w:val="en-US"/>
        </w:rPr>
        <w:t>Average and Standard deviation Allen Electronegativity</w:t>
      </w:r>
      <w:r w:rsidRPr="000A4838">
        <w:rPr>
          <w:lang w:val="en-US"/>
        </w:rPr>
        <w:t xml:space="preserve"> (</w:t>
      </w:r>
      <w:proofErr w:type="spellStart"/>
      <w:r w:rsidRPr="000A4838">
        <w:rPr>
          <w:rFonts w:ascii="Courier New" w:hAnsi="Courier New" w:cs="Courier New"/>
          <w:iCs/>
          <w:sz w:val="20"/>
          <w:szCs w:val="20"/>
          <w:lang w:val="en-US"/>
        </w:rPr>
        <w:t>avg_en_allen</w:t>
      </w:r>
      <w:proofErr w:type="spellEnd"/>
      <w:r w:rsidRPr="000A4838">
        <w:rPr>
          <w:lang w:val="en-US"/>
        </w:rPr>
        <w:t xml:space="preserve">, </w:t>
      </w:r>
      <w:proofErr w:type="spellStart"/>
      <w:r w:rsidRPr="000A4838">
        <w:rPr>
          <w:rFonts w:ascii="Courier New" w:hAnsi="Courier New" w:cs="Courier New"/>
          <w:iCs/>
          <w:sz w:val="20"/>
          <w:szCs w:val="20"/>
          <w:lang w:val="en-US"/>
        </w:rPr>
        <w:t>std_en_allen</w:t>
      </w:r>
      <w:proofErr w:type="spellEnd"/>
      <w:r w:rsidRPr="000A4838">
        <w:rPr>
          <w:lang w:val="en-US"/>
        </w:rPr>
        <w:t>)</w:t>
      </w:r>
      <w:r w:rsidRPr="000A4838">
        <w:rPr>
          <w:lang w:val="en-US"/>
        </w:rPr>
        <w:br/>
        <w:t xml:space="preserve">Alternative scale based on spectroscopic data, useful in oxide and intermetallic contexts </w:t>
      </w:r>
      <w:r w:rsidRPr="000A4838">
        <w:rPr>
          <w:lang w:val="en-US"/>
        </w:rPr>
        <w:fldChar w:fldCharType="begin"/>
      </w:r>
      <w:r w:rsidR="00B77C17">
        <w:rPr>
          <w:lang w:val="en-US"/>
        </w:rPr>
        <w:instrText xml:space="preserve"> ADDIN ZOTERO_ITEM CSL_CITATION {"citationID":"tzvrV6Pm","properties":{"formattedCitation":"\\super 24\\nosupersub{}","plainCitation":"24","noteIndex":0},"citationItems":[{"id":194,"uris":["http://zotero.org/users/local/hYny5ca1/items/27Q2EFNY"],"itemData":{"id":194,"type":"article-journal","container-title":"Journal of Chemical Education","DOI":"10.1021/acs.jchemed.4c01353","ISSN":"0021-9584","issue":"1","journalAbbreviation":"J. Chem. Educ.","note":"publisher: American Chemical Society","page":"424-429","title":"Revisiting Electronegativity and Electronegativity Scales","volume":"102","author":[{"family":"Lang","given":"Peter F."}],"issued":{"date-parts":[["2025",1,14]]}}}],"schema":"https://github.com/citation-style-language/schema/raw/master/csl-citation.json"}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24</w:t>
      </w:r>
      <w:r w:rsidRPr="000A4838">
        <w:rPr>
          <w:lang w:val="en-US"/>
        </w:rPr>
        <w:fldChar w:fldCharType="end"/>
      </w:r>
      <w:r w:rsidRPr="000A4838">
        <w:rPr>
          <w:lang w:val="en-US"/>
        </w:rPr>
        <w:t>.</w:t>
      </w:r>
    </w:p>
    <w:p w:rsidR="007419CB" w:rsidRPr="006460D3" w:rsidRDefault="007419CB" w:rsidP="00F949EF">
      <w:pPr>
        <w:pStyle w:val="Paragraphedeliste"/>
        <w:numPr>
          <w:ilvl w:val="0"/>
          <w:numId w:val="14"/>
        </w:numPr>
        <w:spacing w:after="160" w:line="480" w:lineRule="auto"/>
        <w:contextualSpacing w:val="0"/>
        <w:rPr>
          <w:lang w:val="en-US"/>
        </w:rPr>
      </w:pPr>
      <w:r w:rsidRPr="000A4838">
        <w:rPr>
          <w:bCs/>
          <w:lang w:val="en-US"/>
        </w:rPr>
        <w:t xml:space="preserve">First </w:t>
      </w:r>
      <w:r w:rsidRPr="006460D3">
        <w:rPr>
          <w:bCs/>
          <w:lang w:val="en-US"/>
        </w:rPr>
        <w:t>Ionization Energy (IE1)</w:t>
      </w:r>
      <w:r w:rsidRPr="006460D3">
        <w:rPr>
          <w:lang w:val="en-US"/>
        </w:rPr>
        <w:t xml:space="preserve"> (</w:t>
      </w:r>
      <w:r w:rsidRPr="006460D3">
        <w:rPr>
          <w:rFonts w:ascii="Courier New" w:hAnsi="Courier New" w:cs="Courier New"/>
          <w:iCs/>
          <w:sz w:val="20"/>
          <w:szCs w:val="20"/>
          <w:lang w:val="en-US"/>
        </w:rPr>
        <w:t>avg_IE1</w:t>
      </w:r>
      <w:r w:rsidRPr="006460D3">
        <w:rPr>
          <w:lang w:val="en-US"/>
        </w:rPr>
        <w:t xml:space="preserve">, </w:t>
      </w:r>
      <w:r w:rsidRPr="006460D3">
        <w:rPr>
          <w:rFonts w:ascii="Courier New" w:hAnsi="Courier New" w:cs="Courier New"/>
          <w:iCs/>
          <w:sz w:val="20"/>
          <w:szCs w:val="20"/>
          <w:lang w:val="en-US"/>
        </w:rPr>
        <w:t>std_IE1</w:t>
      </w:r>
      <w:r w:rsidRPr="006460D3">
        <w:rPr>
          <w:lang w:val="en-US"/>
        </w:rPr>
        <w:t xml:space="preserve">), correlates with cohesive energy and vacancy formation </w:t>
      </w:r>
      <w:r w:rsidRPr="006460D3">
        <w:rPr>
          <w:lang w:val="en-US"/>
        </w:rPr>
        <w:fldChar w:fldCharType="begin"/>
      </w:r>
      <w:r w:rsidR="00B77C17">
        <w:rPr>
          <w:lang w:val="en-US"/>
        </w:rPr>
        <w:instrText xml:space="preserve"> ADDIN ZOTERO_ITEM CSL_CITATION {"citationID":"sXw7aIGt","properties":{"formattedCitation":"\\super 25\\nosupersub{}","plainCitation":"25","noteIndex":0},"citationItems":[{"id":193,"uris":["http://zotero.org/users/local/hYny5ca1/items/QKWMJTSC","http://zotero.org/users/local/hYny5ca1/items/IESLAHZP"],"itemData":{"id":193,"type":"article-journal","abstract":"Propelled partly by the Materials Genome Initiative, and partly by the algorithmic developments and the resounding successes of data-driven efforts in other domains, informatics strategies are beginning to take shape within materials science. These approaches lead to surrogate machine learning models that enable rapid predictions based purely on past data rather than by direct experimentation or by computations/simulations in which fundamental equations are explicitly solved. Data-centric informatics methods are becoming useful to determine material properties that are hard to measure or compute using traditional methods—due to the cost, time or effort involved—but for which reliable data either already exists or can be generated for at least a subset of the critical cases. Predictions are typically interpolative, involving fingerprinting a material numerically first, and then following a mapping (established via a learning algorithm) between the fingerprint and the property of interest. Fingerprints, also referred to as “descriptors”, may be of many types and scales, as dictated by the application domain and needs. Predictions may also be extrapolative—extending into new materials spaces—provided prediction uncertainties are properly taken into account. This article attempts to provide an overview of some of the recent successful data-driven “materials informatics” strategies undertaken in the last decade, with particular emphasis on the fingerprint or descriptor choices. The review also identifies some challenges the community is facing and those that should be overcome in the near future.","container-title":"npj Computational Materials","DOI":"10.1038/s41524-017-0056-5","ISSN":"2057-3960","issue":"1","journalAbbreviation":"npj Computational Materials","page":"54","title":"Machine learning in materials informatics: recent applications and prospects","volume":"3","author":[{"family":"Ramprasad","given":"Rampi"},{"family":"Batra","given":"Rohit"},{"family":"Pilania","given":"Ghanshyam"},{"family":"Mannodi-Kanakkithodi","given":"Arun"},{"family":"Kim","given":"Chiho"}],"issued":{"date-parts":[["2017",12,13]]}}}],"schema":"https://github.com/citation-style-language/schema/raw/master/csl-citation.json"} </w:instrText>
      </w:r>
      <w:r w:rsidRPr="006460D3">
        <w:rPr>
          <w:lang w:val="en-US"/>
        </w:rPr>
        <w:fldChar w:fldCharType="separate"/>
      </w:r>
      <w:r w:rsidR="00B77C17" w:rsidRPr="00B77C17">
        <w:rPr>
          <w:rFonts w:cs="Times New Roman"/>
          <w:szCs w:val="24"/>
          <w:vertAlign w:val="superscript"/>
          <w:lang w:val="en-US"/>
        </w:rPr>
        <w:t>25</w:t>
      </w:r>
      <w:r w:rsidRPr="006460D3">
        <w:rPr>
          <w:lang w:val="en-US"/>
        </w:rPr>
        <w:fldChar w:fldCharType="end"/>
      </w:r>
      <w:r w:rsidRPr="006460D3">
        <w:rPr>
          <w:lang w:val="en-US"/>
        </w:rPr>
        <w:t>.</w:t>
      </w:r>
    </w:p>
    <w:p w:rsidR="007419CB" w:rsidRPr="006460D3" w:rsidRDefault="007419CB" w:rsidP="00F949EF">
      <w:pPr>
        <w:pStyle w:val="Paragraphedeliste"/>
        <w:numPr>
          <w:ilvl w:val="0"/>
          <w:numId w:val="14"/>
        </w:numPr>
        <w:spacing w:after="160" w:line="480" w:lineRule="auto"/>
        <w:contextualSpacing w:val="0"/>
        <w:rPr>
          <w:lang w:val="en-US"/>
        </w:rPr>
      </w:pPr>
      <w:r w:rsidRPr="006460D3">
        <w:rPr>
          <w:bCs/>
          <w:lang w:val="en-US"/>
        </w:rPr>
        <w:t>Electron Affinity (EA)</w:t>
      </w:r>
      <w:r w:rsidRPr="006460D3">
        <w:rPr>
          <w:lang w:val="en-US"/>
        </w:rPr>
        <w:t xml:space="preserve"> (</w:t>
      </w:r>
      <w:proofErr w:type="spellStart"/>
      <w:r w:rsidRPr="006460D3">
        <w:rPr>
          <w:rFonts w:ascii="Courier New" w:hAnsi="Courier New" w:cs="Courier New"/>
          <w:iCs/>
          <w:sz w:val="20"/>
          <w:szCs w:val="20"/>
          <w:lang w:val="en-US"/>
        </w:rPr>
        <w:t>avg_EA</w:t>
      </w:r>
      <w:proofErr w:type="spellEnd"/>
      <w:r w:rsidRPr="006460D3">
        <w:rPr>
          <w:lang w:val="en-US"/>
        </w:rPr>
        <w:t xml:space="preserve">, </w:t>
      </w:r>
      <w:proofErr w:type="spellStart"/>
      <w:r w:rsidRPr="006460D3">
        <w:rPr>
          <w:rFonts w:ascii="Courier New" w:hAnsi="Courier New" w:cs="Courier New"/>
          <w:iCs/>
          <w:sz w:val="20"/>
          <w:szCs w:val="20"/>
          <w:lang w:val="en-US"/>
        </w:rPr>
        <w:t>std_EA</w:t>
      </w:r>
      <w:proofErr w:type="spellEnd"/>
      <w:r w:rsidRPr="006460D3">
        <w:rPr>
          <w:lang w:val="en-US"/>
        </w:rPr>
        <w:t>), affects charge transfer tendencies in alloys.</w:t>
      </w:r>
    </w:p>
    <w:p w:rsidR="007419CB" w:rsidRPr="006460D3" w:rsidRDefault="007419CB" w:rsidP="00F949EF">
      <w:pPr>
        <w:pStyle w:val="Paragraphedeliste"/>
        <w:numPr>
          <w:ilvl w:val="0"/>
          <w:numId w:val="14"/>
        </w:numPr>
        <w:spacing w:after="160" w:line="480" w:lineRule="auto"/>
        <w:contextualSpacing w:val="0"/>
        <w:rPr>
          <w:lang w:val="en-US"/>
        </w:rPr>
      </w:pPr>
      <w:r w:rsidRPr="006460D3">
        <w:rPr>
          <w:bCs/>
          <w:lang w:val="en-US"/>
        </w:rPr>
        <w:t>Valence-Electron Count (VEC)</w:t>
      </w:r>
      <w:r w:rsidRPr="006460D3">
        <w:rPr>
          <w:lang w:val="en-US"/>
        </w:rPr>
        <w:t xml:space="preserve"> (</w:t>
      </w:r>
      <w:proofErr w:type="spellStart"/>
      <w:r w:rsidRPr="006460D3">
        <w:rPr>
          <w:rFonts w:ascii="Courier New" w:hAnsi="Courier New" w:cs="Courier New"/>
          <w:iCs/>
          <w:sz w:val="20"/>
          <w:szCs w:val="20"/>
          <w:lang w:val="en-US"/>
        </w:rPr>
        <w:t>avg_VEC</w:t>
      </w:r>
      <w:proofErr w:type="spellEnd"/>
      <w:r w:rsidRPr="006460D3">
        <w:rPr>
          <w:lang w:val="en-US"/>
        </w:rPr>
        <w:t xml:space="preserve">, </w:t>
      </w:r>
      <w:proofErr w:type="spellStart"/>
      <w:r w:rsidRPr="006460D3">
        <w:rPr>
          <w:rFonts w:ascii="Courier New" w:hAnsi="Courier New" w:cs="Courier New"/>
          <w:iCs/>
          <w:sz w:val="20"/>
          <w:szCs w:val="20"/>
          <w:lang w:val="en-US"/>
        </w:rPr>
        <w:t>std_VEC</w:t>
      </w:r>
      <w:proofErr w:type="spellEnd"/>
      <w:r w:rsidRPr="006460D3">
        <w:rPr>
          <w:lang w:val="en-US"/>
        </w:rPr>
        <w:t>). These electrons are the one participating in the chemical bond.</w:t>
      </w:r>
    </w:p>
    <w:p w:rsidR="007419CB" w:rsidRPr="000A4838" w:rsidRDefault="007419CB" w:rsidP="00F949EF">
      <w:pPr>
        <w:pStyle w:val="Paragraphedeliste"/>
        <w:numPr>
          <w:ilvl w:val="0"/>
          <w:numId w:val="14"/>
        </w:numPr>
        <w:spacing w:after="160" w:line="480" w:lineRule="auto"/>
        <w:contextualSpacing w:val="0"/>
        <w:rPr>
          <w:lang w:val="en-US"/>
        </w:rPr>
      </w:pPr>
      <w:r w:rsidRPr="006460D3">
        <w:rPr>
          <w:bCs/>
          <w:lang w:val="en-US"/>
        </w:rPr>
        <w:t>Fraction of d-Electrons</w:t>
      </w:r>
      <w:r w:rsidRPr="006460D3">
        <w:rPr>
          <w:lang w:val="en-US"/>
        </w:rPr>
        <w:t xml:space="preserve"> (</w:t>
      </w:r>
      <w:proofErr w:type="spellStart"/>
      <w:r w:rsidRPr="006460D3">
        <w:rPr>
          <w:rFonts w:ascii="Courier New" w:hAnsi="Courier New" w:cs="Courier New"/>
          <w:iCs/>
          <w:sz w:val="20"/>
          <w:szCs w:val="20"/>
          <w:lang w:val="en-US"/>
        </w:rPr>
        <w:t>frac</w:t>
      </w:r>
      <w:r w:rsidRPr="000A4838">
        <w:rPr>
          <w:rFonts w:ascii="Courier New" w:hAnsi="Courier New" w:cs="Courier New"/>
          <w:iCs/>
          <w:sz w:val="20"/>
          <w:szCs w:val="20"/>
          <w:lang w:val="en-US"/>
        </w:rPr>
        <w:t>_d</w:t>
      </w:r>
      <w:proofErr w:type="spellEnd"/>
      <w:r w:rsidRPr="000A4838">
        <w:rPr>
          <w:lang w:val="en-US"/>
        </w:rPr>
        <w:t>). Ratio of d‐orbital occupancy to total valence electrons; reflects propensity for metallic bonding and d-band effects. The special role of d-shell electrons arises from their intermediate energy (allowing multiple oxidation states), directional shapes (dictating complex geometry), and the presence of both filled and empty orbitals (enabling diverse bonding modes). Together, these features give rise to the rich redox, catalytic, magnetic, spectroscopic, and structural chemistry that defines the transition‐metal elements.</w:t>
      </w:r>
    </w:p>
    <w:p w:rsidR="007419CB" w:rsidRPr="000A4838" w:rsidRDefault="007419CB" w:rsidP="00F949EF">
      <w:pPr>
        <w:pStyle w:val="Paragraphedeliste"/>
        <w:numPr>
          <w:ilvl w:val="0"/>
          <w:numId w:val="14"/>
        </w:numPr>
        <w:spacing w:after="160" w:line="480" w:lineRule="auto"/>
        <w:contextualSpacing w:val="0"/>
        <w:rPr>
          <w:lang w:val="en-US"/>
        </w:rPr>
      </w:pPr>
      <w:r w:rsidRPr="000A4838">
        <w:rPr>
          <w:bCs/>
          <w:lang w:val="en-US"/>
        </w:rPr>
        <w:t>Average and Standard deviation d-Shell Principal Quantum Number</w:t>
      </w:r>
      <w:r w:rsidRPr="000A4838">
        <w:rPr>
          <w:lang w:val="en-US"/>
        </w:rPr>
        <w:t xml:space="preserve"> (</w:t>
      </w:r>
      <w:proofErr w:type="spellStart"/>
      <w:r w:rsidRPr="000A4838">
        <w:rPr>
          <w:rFonts w:ascii="Courier New" w:hAnsi="Courier New" w:cs="Courier New"/>
          <w:iCs/>
          <w:sz w:val="20"/>
          <w:szCs w:val="20"/>
          <w:lang w:val="en-US"/>
        </w:rPr>
        <w:t>avg_d_shell_n</w:t>
      </w:r>
      <w:proofErr w:type="spellEnd"/>
      <w:r w:rsidRPr="000A4838">
        <w:rPr>
          <w:lang w:val="en-US"/>
        </w:rPr>
        <w:t xml:space="preserve">, </w:t>
      </w:r>
      <w:proofErr w:type="spellStart"/>
      <w:r w:rsidRPr="000A4838">
        <w:rPr>
          <w:rFonts w:ascii="Courier New" w:hAnsi="Courier New" w:cs="Courier New"/>
          <w:iCs/>
          <w:sz w:val="20"/>
          <w:szCs w:val="20"/>
          <w:lang w:val="en-US"/>
        </w:rPr>
        <w:t>std_d_shell_n</w:t>
      </w:r>
      <w:proofErr w:type="spellEnd"/>
      <w:r w:rsidRPr="000A4838">
        <w:rPr>
          <w:lang w:val="en-US"/>
        </w:rPr>
        <w:t>). Distinguish 3d vs. 4d/5d metals, influencing electron localization.</w:t>
      </w:r>
    </w:p>
    <w:p w:rsidR="007419CB" w:rsidRPr="000A4838" w:rsidRDefault="007419CB" w:rsidP="0021751D">
      <w:pPr>
        <w:spacing w:after="160" w:line="480" w:lineRule="auto"/>
        <w:rPr>
          <w:lang w:val="en-US"/>
        </w:rPr>
      </w:pPr>
      <w:r w:rsidRPr="000A4838">
        <w:rPr>
          <w:lang w:val="en-US"/>
        </w:rPr>
        <w:t>3. Subshell Occupancies</w:t>
      </w:r>
    </w:p>
    <w:p w:rsidR="007419CB" w:rsidRPr="000A4838" w:rsidRDefault="007419CB" w:rsidP="00F949EF">
      <w:pPr>
        <w:pStyle w:val="Paragraphedeliste"/>
        <w:numPr>
          <w:ilvl w:val="0"/>
          <w:numId w:val="15"/>
        </w:numPr>
        <w:spacing w:after="160" w:line="480" w:lineRule="auto"/>
        <w:contextualSpacing w:val="0"/>
        <w:rPr>
          <w:lang w:val="en-US"/>
        </w:rPr>
      </w:pPr>
      <w:r w:rsidRPr="000A4838">
        <w:rPr>
          <w:rStyle w:val="lev"/>
          <w:b w:val="0"/>
          <w:lang w:val="en-US"/>
        </w:rPr>
        <w:t>Average and Standard deviation Occupancies of s, p, d, f Subshells</w:t>
      </w:r>
      <w:r w:rsidRPr="000A4838">
        <w:rPr>
          <w:lang w:val="en-US"/>
        </w:rPr>
        <w:t xml:space="preserve"> (</w:t>
      </w:r>
      <w:proofErr w:type="spellStart"/>
      <w:r w:rsidRPr="000A4838">
        <w:rPr>
          <w:rFonts w:ascii="Courier New" w:hAnsi="Courier New" w:cs="Courier New"/>
          <w:sz w:val="20"/>
          <w:szCs w:val="20"/>
          <w:lang w:val="en-US"/>
        </w:rPr>
        <w:t>avg_s</w:t>
      </w:r>
      <w:proofErr w:type="spellEnd"/>
      <w:r w:rsidRPr="000A4838">
        <w:rPr>
          <w:lang w:val="en-US"/>
        </w:rPr>
        <w:t xml:space="preserve">, </w:t>
      </w:r>
      <w:proofErr w:type="spellStart"/>
      <w:r w:rsidRPr="000A4838">
        <w:rPr>
          <w:rFonts w:ascii="Courier New" w:hAnsi="Courier New" w:cs="Courier New"/>
          <w:iCs/>
          <w:sz w:val="20"/>
          <w:szCs w:val="20"/>
          <w:lang w:val="en-US"/>
        </w:rPr>
        <w:t>std_s</w:t>
      </w:r>
      <w:proofErr w:type="spellEnd"/>
      <w:r w:rsidRPr="000A4838">
        <w:rPr>
          <w:lang w:val="en-US"/>
        </w:rPr>
        <w:t>, etc.)</w:t>
      </w:r>
      <w:r w:rsidRPr="000A4838">
        <w:rPr>
          <w:lang w:val="en-US"/>
        </w:rPr>
        <w:br/>
      </w:r>
      <w:r w:rsidRPr="000A4838">
        <w:rPr>
          <w:lang w:val="en-US"/>
        </w:rPr>
        <w:lastRenderedPageBreak/>
        <w:t>Detailed breakdown of valence electron distribution; rarely used in HEA literature but potentially informative for complex bonding</w:t>
      </w:r>
      <w:r w:rsidRPr="000A4838">
        <w:rPr>
          <w:rStyle w:val="ms-1"/>
          <w:lang w:val="en-US"/>
        </w:rPr>
        <w:t xml:space="preserve"> </w:t>
      </w:r>
      <w:r w:rsidRPr="000A4838">
        <w:rPr>
          <w:rStyle w:val="ms-1"/>
          <w:lang w:val="en-US"/>
        </w:rPr>
        <w:fldChar w:fldCharType="begin"/>
      </w:r>
      <w:r w:rsidR="00B77C17">
        <w:rPr>
          <w:rStyle w:val="ms-1"/>
          <w:lang w:val="en-US"/>
        </w:rPr>
        <w:instrText xml:space="preserve"> ADDIN ZOTERO_ITEM CSL_CITATION {"citationID":"jCfEfAAy","properties":{"formattedCitation":"\\super 25\\nosupersub{}","plainCitation":"25","noteIndex":0},"citationItems":[{"id":193,"uris":["http://zotero.org/users/local/hYny5ca1/items/QKWMJTSC","http://zotero.org/users/local/hYny5ca1/items/IESLAHZP"],"itemData":{"id":193,"type":"article-journal","abstract":"Propelled partly by the Materials Genome Initiative, and partly by the algorithmic developments and the resounding successes of data-driven efforts in other domains, informatics strategies are beginning to take shape within materials science. These approaches lead to surrogate machine learning models that enable rapid predictions based purely on past data rather than by direct experimentation or by computations/simulations in which fundamental equations are explicitly solved. Data-centric informatics methods are becoming useful to determine material properties that are hard to measure or compute using traditional methods—due to the cost, time or effort involved—but for which reliable data either already exists or can be generated for at least a subset of the critical cases. Predictions are typically interpolative, involving fingerprinting a material numerically first, and then following a mapping (established via a learning algorithm) between the fingerprint and the property of interest. Fingerprints, also referred to as “descriptors”, may be of many types and scales, as dictated by the application domain and needs. Predictions may also be extrapolative—extending into new materials spaces—provided prediction uncertainties are properly taken into account. This article attempts to provide an overview of some of the recent successful data-driven “materials informatics” strategies undertaken in the last decade, with particular emphasis on the fingerprint or descriptor choices. The review also identifies some challenges the community is facing and those that should be overcome in the near future.","container-title":"npj Computational Materials","DOI":"10.1038/s41524-017-0056-5","ISSN":"2057-3960","issue":"1","journalAbbreviation":"npj Computational Materials","page":"54","title":"Machine learning in materials informatics: recent applications and prospects","volume":"3","author":[{"family":"Ramprasad","given":"Rampi"},{"family":"Batra","given":"Rohit"},{"family":"Pilania","given":"Ghanshyam"},{"family":"Mannodi-Kanakkithodi","given":"Arun"},{"family":"Kim","given":"Chiho"}],"issued":{"date-parts":[["2017",12,13]]}}}],"schema":"https://github.com/citation-style-language/schema/raw/master/csl-citation.json"} </w:instrText>
      </w:r>
      <w:r w:rsidRPr="000A4838">
        <w:rPr>
          <w:rStyle w:val="ms-1"/>
          <w:lang w:val="en-US"/>
        </w:rPr>
        <w:fldChar w:fldCharType="separate"/>
      </w:r>
      <w:r w:rsidR="00B77C17" w:rsidRPr="00B77C17">
        <w:rPr>
          <w:rFonts w:cs="Times New Roman"/>
          <w:szCs w:val="24"/>
          <w:vertAlign w:val="superscript"/>
          <w:lang w:val="en-US"/>
        </w:rPr>
        <w:t>25</w:t>
      </w:r>
      <w:r w:rsidRPr="000A4838">
        <w:rPr>
          <w:rStyle w:val="ms-1"/>
          <w:lang w:val="en-US"/>
        </w:rPr>
        <w:fldChar w:fldCharType="end"/>
      </w:r>
      <w:r w:rsidRPr="000A4838">
        <w:rPr>
          <w:lang w:val="en-US"/>
        </w:rPr>
        <w:t>.</w:t>
      </w:r>
    </w:p>
    <w:p w:rsidR="007419CB" w:rsidRPr="000A4838" w:rsidRDefault="007419CB" w:rsidP="0021751D">
      <w:pPr>
        <w:spacing w:after="160" w:line="480" w:lineRule="auto"/>
        <w:rPr>
          <w:lang w:val="en-US"/>
        </w:rPr>
      </w:pPr>
      <w:r w:rsidRPr="000A4838">
        <w:rPr>
          <w:lang w:val="en-US"/>
        </w:rPr>
        <w:t>4. Periodic Trends and Position</w:t>
      </w:r>
    </w:p>
    <w:p w:rsidR="007419CB" w:rsidRPr="000A4838" w:rsidRDefault="007419CB" w:rsidP="00F949EF">
      <w:pPr>
        <w:pStyle w:val="Paragraphedeliste"/>
        <w:numPr>
          <w:ilvl w:val="0"/>
          <w:numId w:val="15"/>
        </w:numPr>
        <w:spacing w:after="160" w:line="480" w:lineRule="auto"/>
        <w:contextualSpacing w:val="0"/>
        <w:rPr>
          <w:lang w:val="en-US"/>
        </w:rPr>
      </w:pPr>
      <w:r w:rsidRPr="000A4838">
        <w:rPr>
          <w:rStyle w:val="lev"/>
          <w:b w:val="0"/>
          <w:lang w:val="en-US"/>
        </w:rPr>
        <w:t>Average and Standard deviation Group Number</w:t>
      </w:r>
      <w:r w:rsidRPr="000A4838">
        <w:rPr>
          <w:lang w:val="en-US"/>
        </w:rPr>
        <w:t xml:space="preserve"> (</w:t>
      </w:r>
      <w:proofErr w:type="spellStart"/>
      <w:r w:rsidRPr="000A4838">
        <w:rPr>
          <w:rFonts w:ascii="Courier New" w:hAnsi="Courier New" w:cs="Courier New"/>
          <w:iCs/>
          <w:sz w:val="20"/>
          <w:szCs w:val="20"/>
          <w:lang w:val="en-US"/>
        </w:rPr>
        <w:t>avg_group</w:t>
      </w:r>
      <w:proofErr w:type="spellEnd"/>
      <w:r w:rsidRPr="000A4838">
        <w:rPr>
          <w:i/>
          <w:lang w:val="en-US"/>
        </w:rPr>
        <w:t xml:space="preserve">, </w:t>
      </w:r>
      <w:proofErr w:type="spellStart"/>
      <w:r w:rsidRPr="000A4838">
        <w:rPr>
          <w:rFonts w:ascii="Courier New" w:hAnsi="Courier New" w:cs="Courier New"/>
          <w:sz w:val="20"/>
          <w:szCs w:val="20"/>
          <w:lang w:val="en-US"/>
        </w:rPr>
        <w:t>std_group</w:t>
      </w:r>
      <w:proofErr w:type="spellEnd"/>
      <w:r w:rsidRPr="000A4838">
        <w:rPr>
          <w:lang w:val="en-US"/>
        </w:rPr>
        <w:t>)</w:t>
      </w:r>
    </w:p>
    <w:p w:rsidR="007419CB" w:rsidRPr="000A4838" w:rsidRDefault="007419CB" w:rsidP="00F949EF">
      <w:pPr>
        <w:pStyle w:val="Paragraphedeliste"/>
        <w:numPr>
          <w:ilvl w:val="0"/>
          <w:numId w:val="15"/>
        </w:numPr>
        <w:spacing w:after="160" w:line="480" w:lineRule="auto"/>
        <w:contextualSpacing w:val="0"/>
        <w:rPr>
          <w:lang w:val="en-US"/>
        </w:rPr>
      </w:pPr>
      <w:r w:rsidRPr="000A4838">
        <w:rPr>
          <w:rStyle w:val="lev"/>
          <w:b w:val="0"/>
          <w:lang w:val="en-US"/>
        </w:rPr>
        <w:t>Average and Standard deviation Period Number</w:t>
      </w:r>
      <w:r w:rsidRPr="000A4838">
        <w:rPr>
          <w:lang w:val="en-US"/>
        </w:rPr>
        <w:t xml:space="preserve"> (</w:t>
      </w:r>
      <w:proofErr w:type="spellStart"/>
      <w:r w:rsidRPr="000A4838">
        <w:rPr>
          <w:rFonts w:ascii="Courier New" w:hAnsi="Courier New" w:cs="Courier New"/>
          <w:iCs/>
          <w:sz w:val="20"/>
          <w:szCs w:val="20"/>
          <w:lang w:val="en-US"/>
        </w:rPr>
        <w:t>avg_period</w:t>
      </w:r>
      <w:proofErr w:type="spellEnd"/>
      <w:r w:rsidRPr="000A4838">
        <w:rPr>
          <w:i/>
          <w:lang w:val="en-US"/>
        </w:rPr>
        <w:t xml:space="preserve">, </w:t>
      </w:r>
      <w:proofErr w:type="spellStart"/>
      <w:r w:rsidRPr="000A4838">
        <w:rPr>
          <w:rFonts w:ascii="Courier New" w:hAnsi="Courier New" w:cs="Courier New"/>
          <w:sz w:val="20"/>
          <w:szCs w:val="20"/>
          <w:lang w:val="en-US"/>
        </w:rPr>
        <w:t>std_period</w:t>
      </w:r>
      <w:proofErr w:type="spellEnd"/>
      <w:r w:rsidRPr="000A4838">
        <w:rPr>
          <w:lang w:val="en-US"/>
        </w:rPr>
        <w:t>)</w:t>
      </w:r>
    </w:p>
    <w:p w:rsidR="007419CB" w:rsidRPr="000A4838" w:rsidRDefault="007419CB" w:rsidP="00F949EF">
      <w:pPr>
        <w:pStyle w:val="Paragraphedeliste"/>
        <w:numPr>
          <w:ilvl w:val="0"/>
          <w:numId w:val="15"/>
        </w:numPr>
        <w:spacing w:after="160" w:line="480" w:lineRule="auto"/>
        <w:contextualSpacing w:val="0"/>
        <w:rPr>
          <w:lang w:val="en-US"/>
        </w:rPr>
      </w:pPr>
      <w:r w:rsidRPr="000A4838">
        <w:rPr>
          <w:rStyle w:val="lev"/>
          <w:b w:val="0"/>
          <w:lang w:val="en-US"/>
        </w:rPr>
        <w:t>Average and Standard deviation Mendeleev Number</w:t>
      </w:r>
      <w:r w:rsidRPr="000A4838">
        <w:rPr>
          <w:lang w:val="en-US"/>
        </w:rPr>
        <w:t xml:space="preserve"> (</w:t>
      </w:r>
      <w:proofErr w:type="spellStart"/>
      <w:r w:rsidRPr="000A4838">
        <w:rPr>
          <w:rFonts w:ascii="Courier New" w:hAnsi="Courier New" w:cs="Courier New"/>
          <w:iCs/>
          <w:sz w:val="20"/>
          <w:szCs w:val="20"/>
          <w:lang w:val="en-US"/>
        </w:rPr>
        <w:t>avg_mendeleev_no</w:t>
      </w:r>
      <w:proofErr w:type="spellEnd"/>
      <w:r w:rsidRPr="000A4838">
        <w:rPr>
          <w:rFonts w:ascii="Courier New" w:hAnsi="Courier New" w:cs="Courier New"/>
          <w:iCs/>
          <w:lang w:val="en-US"/>
        </w:rPr>
        <w:t xml:space="preserve">, </w:t>
      </w:r>
      <w:proofErr w:type="spellStart"/>
      <w:r w:rsidRPr="000A4838">
        <w:rPr>
          <w:rFonts w:ascii="Courier New" w:hAnsi="Courier New" w:cs="Courier New"/>
          <w:sz w:val="20"/>
          <w:szCs w:val="20"/>
          <w:lang w:val="en-US"/>
        </w:rPr>
        <w:t>std_mendeleev_no</w:t>
      </w:r>
      <w:proofErr w:type="spellEnd"/>
      <w:r w:rsidRPr="000A4838">
        <w:rPr>
          <w:lang w:val="en-US"/>
        </w:rPr>
        <w:t>)</w:t>
      </w:r>
    </w:p>
    <w:p w:rsidR="007419CB" w:rsidRPr="000A4838" w:rsidRDefault="007419CB" w:rsidP="0021751D">
      <w:pPr>
        <w:spacing w:after="160" w:line="480" w:lineRule="auto"/>
        <w:rPr>
          <w:lang w:val="en-US"/>
        </w:rPr>
      </w:pPr>
      <w:r w:rsidRPr="000A4838">
        <w:rPr>
          <w:lang w:val="en-US"/>
        </w:rPr>
        <w:t xml:space="preserve">The Mendeleev (or </w:t>
      </w:r>
      <w:proofErr w:type="spellStart"/>
      <w:r w:rsidRPr="000A4838">
        <w:rPr>
          <w:lang w:val="en-US"/>
        </w:rPr>
        <w:t>Pettifor</w:t>
      </w:r>
      <w:proofErr w:type="spellEnd"/>
      <w:r w:rsidRPr="000A4838">
        <w:rPr>
          <w:lang w:val="en-US"/>
        </w:rPr>
        <w:t>) scale orders elements by chemical similarity and has been effective in phase‐map predictions; refined definitions have been proposed to better correlate with electronic structure</w:t>
      </w:r>
      <w:r w:rsidRPr="000A4838">
        <w:rPr>
          <w:rStyle w:val="ms-1"/>
          <w:lang w:val="en-US"/>
        </w:rPr>
        <w:t xml:space="preserve"> </w:t>
      </w:r>
      <w:r w:rsidRPr="000A4838">
        <w:rPr>
          <w:rStyle w:val="ms-1"/>
          <w:lang w:val="en-US"/>
        </w:rPr>
        <w:fldChar w:fldCharType="begin"/>
      </w:r>
      <w:r w:rsidR="00B77C17">
        <w:rPr>
          <w:rStyle w:val="ms-1"/>
          <w:lang w:val="en-US"/>
        </w:rPr>
        <w:instrText xml:space="preserve"> ADDIN ZOTERO_ITEM CSL_CITATION {"citationID":"Tlbb5nkn","properties":{"formattedCitation":"\\super 26\\nosupersub{}","plainCitation":"26","noteIndex":0},"citationItems":[{"id":197,"uris":["http://zotero.org/users/local/hYny5ca1/items/WEAED3SK"],"itemData":{"id":197,"type":"article-journal","container-title":"The Journal of Physical Chemistry C","DOI":"10.1021/acs.jpcc.0c07857","ISSN":"1932-7447","issue":"43","journalAbbreviation":"J. Phys. Chem. C","note":"publisher: American Chemical Society","page":"23867-23878","title":"Nonempirical Definition of the Mendeleev Numbers: Organizing the Chemical Space","volume":"124","author":[{"family":"Allahyari","given":"Zahed"},{"family":"Oganov","given":"Artem R."}],"issued":{"date-parts":[["2020",10,29]]}}}],"schema":"https://github.com/citation-style-language/schema/raw/master/csl-citation.json"} </w:instrText>
      </w:r>
      <w:r w:rsidRPr="000A4838">
        <w:rPr>
          <w:rStyle w:val="ms-1"/>
          <w:lang w:val="en-US"/>
        </w:rPr>
        <w:fldChar w:fldCharType="separate"/>
      </w:r>
      <w:r w:rsidR="00B77C17" w:rsidRPr="00B77C17">
        <w:rPr>
          <w:rFonts w:cs="Times New Roman"/>
          <w:szCs w:val="24"/>
          <w:vertAlign w:val="superscript"/>
          <w:lang w:val="en-US"/>
        </w:rPr>
        <w:t>26</w:t>
      </w:r>
      <w:r w:rsidRPr="000A4838">
        <w:rPr>
          <w:rStyle w:val="ms-1"/>
          <w:lang w:val="en-US"/>
        </w:rPr>
        <w:fldChar w:fldCharType="end"/>
      </w:r>
      <w:r w:rsidRPr="000A4838">
        <w:rPr>
          <w:lang w:val="en-US"/>
        </w:rPr>
        <w:t>.</w:t>
      </w:r>
    </w:p>
    <w:p w:rsidR="007419CB" w:rsidRPr="000A4838" w:rsidRDefault="007419CB" w:rsidP="0021751D">
      <w:pPr>
        <w:spacing w:after="160" w:line="480" w:lineRule="auto"/>
        <w:rPr>
          <w:lang w:val="en-US"/>
        </w:rPr>
      </w:pPr>
      <w:r w:rsidRPr="000A4838">
        <w:rPr>
          <w:lang w:val="en-US"/>
        </w:rPr>
        <w:t>5. Stoichiometry and Composition</w:t>
      </w:r>
    </w:p>
    <w:p w:rsidR="007419CB" w:rsidRPr="000A4838" w:rsidRDefault="007419CB" w:rsidP="00F949EF">
      <w:pPr>
        <w:numPr>
          <w:ilvl w:val="0"/>
          <w:numId w:val="10"/>
        </w:numPr>
        <w:spacing w:after="160" w:line="480" w:lineRule="auto"/>
        <w:rPr>
          <w:lang w:val="en-US"/>
        </w:rPr>
      </w:pPr>
      <w:r w:rsidRPr="000A4838">
        <w:rPr>
          <w:rStyle w:val="lev"/>
          <w:b w:val="0"/>
          <w:lang w:val="en-US"/>
        </w:rPr>
        <w:t>Stoichiometric Entropy</w:t>
      </w:r>
      <w:r w:rsidRPr="000A4838">
        <w:rPr>
          <w:lang w:val="en-US"/>
        </w:rPr>
        <w:t xml:space="preserve"> (</w:t>
      </w:r>
      <w:proofErr w:type="spellStart"/>
      <w:r w:rsidRPr="000A4838">
        <w:rPr>
          <w:rFonts w:ascii="Courier New" w:hAnsi="Courier New" w:cs="Courier New"/>
          <w:sz w:val="20"/>
          <w:szCs w:val="20"/>
          <w:lang w:val="en-US"/>
        </w:rPr>
        <w:t>stoich_entropy</w:t>
      </w:r>
      <w:proofErr w:type="spellEnd"/>
      <w:r w:rsidRPr="000A4838">
        <w:rPr>
          <w:lang w:val="en-US"/>
        </w:rPr>
        <w:t>)</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CC139D" w:rsidP="0021751D">
            <w:pPr>
              <w:spacing w:after="160" w:line="480" w:lineRule="auto"/>
              <w:rPr>
                <w:lang w:val="en-US"/>
              </w:rPr>
            </w:pPr>
            <m:oMathPara>
              <m:oMath>
                <m:sSub>
                  <m:sSubPr>
                    <m:ctrlPr>
                      <w:rPr>
                        <w:rFonts w:ascii="Cambria Math" w:eastAsia="Cambria Math" w:hAnsi="Cambria Math"/>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r>
                  <m:rPr>
                    <m:sty m:val="p"/>
                  </m:rPr>
                  <w:rPr>
                    <w:rFonts w:ascii="Cambria Math" w:hAnsi="Cambria Math"/>
                    <w:lang w:val="en-US"/>
                  </w:rPr>
                  <m:t>≡</m:t>
                </m:r>
                <m:r>
                  <w:rPr>
                    <w:rFonts w:ascii="Cambria Math" w:hAnsi="Cambria Math"/>
                    <w:lang w:val="en-US"/>
                  </w:rPr>
                  <m:t>-</m:t>
                </m:r>
                <m:nary>
                  <m:naryPr>
                    <m:chr m:val="∑"/>
                    <m:limLoc m:val="undOvr"/>
                    <m:supHide m:val="1"/>
                    <m:ctrlPr>
                      <w:rPr>
                        <w:rFonts w:ascii="Cambria Math" w:eastAsia="Cambria Math" w:hAnsi="Cambria Math"/>
                        <w:i/>
                        <w:lang w:val="en-US"/>
                      </w:rPr>
                    </m:ctrlPr>
                  </m:naryPr>
                  <m:sub>
                    <m:r>
                      <w:rPr>
                        <w:rFonts w:ascii="Cambria Math" w:hAnsi="Cambria Math"/>
                        <w:lang w:val="en-US"/>
                      </w:rPr>
                      <m:t>i</m:t>
                    </m:r>
                  </m:sub>
                  <m:sup/>
                  <m:e>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func>
                      <m:funcPr>
                        <m:ctrlPr>
                          <w:rPr>
                            <w:rFonts w:ascii="Cambria Math" w:hAnsi="Cambria Math"/>
                            <w:lang w:val="en-US"/>
                          </w:rPr>
                        </m:ctrlPr>
                      </m:funcPr>
                      <m:fName>
                        <m:r>
                          <m:rPr>
                            <m:sty m:val="p"/>
                          </m:rPr>
                          <w:rPr>
                            <w:rFonts w:ascii="Cambria Math" w:hAnsi="Cambria Math"/>
                            <w:lang w:val="en-US"/>
                          </w:rPr>
                          <m:t>log</m:t>
                        </m:r>
                      </m:fName>
                      <m:e>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e>
                    </m:func>
                  </m:e>
                </m:nary>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2</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spacing w:after="160" w:line="480" w:lineRule="auto"/>
        <w:rPr>
          <w:lang w:val="en-US"/>
        </w:rPr>
      </w:pPr>
      <w:r w:rsidRPr="000A4838">
        <w:rPr>
          <w:lang w:val="en-US"/>
        </w:rPr>
        <w:t xml:space="preserve">Central to HEA design; near‐equimolar alloys have </w:t>
      </w:r>
      <m:oMath>
        <m:r>
          <m:rPr>
            <m:sty m:val="p"/>
          </m:rPr>
          <w:rPr>
            <w:rFonts w:ascii="Cambria Math" w:hAnsi="Cambria Math"/>
            <w:lang w:val="en-US"/>
          </w:rPr>
          <m:t>Δ</m:t>
        </m:r>
        <m:r>
          <w:rPr>
            <w:rFonts w:ascii="Cambria Math" w:hAnsi="Cambria Math"/>
            <w:lang w:val="en-US"/>
          </w:rPr>
          <m:t>Sₘᵢₓ &gt; 1.5</m:t>
        </m:r>
      </m:oMath>
      <w:r w:rsidRPr="000A4838">
        <w:rPr>
          <w:lang w:val="en-US"/>
        </w:rPr>
        <w:t>, driving single‐phase stability.</w:t>
      </w:r>
    </w:p>
    <w:p w:rsidR="007419CB" w:rsidRPr="000A4838" w:rsidRDefault="007419CB" w:rsidP="00F949EF">
      <w:pPr>
        <w:pStyle w:val="Paragraphedeliste"/>
        <w:numPr>
          <w:ilvl w:val="0"/>
          <w:numId w:val="10"/>
        </w:numPr>
        <w:spacing w:after="160" w:line="480" w:lineRule="auto"/>
        <w:contextualSpacing w:val="0"/>
        <w:rPr>
          <w:lang w:val="en-US"/>
        </w:rPr>
      </w:pPr>
      <w:r w:rsidRPr="000A4838">
        <w:rPr>
          <w:rStyle w:val="lev"/>
          <w:b w:val="0"/>
          <w:lang w:val="en-US"/>
        </w:rPr>
        <w:t>Number of Unique Elements</w:t>
      </w:r>
      <w:r w:rsidRPr="000A4838">
        <w:rPr>
          <w:lang w:val="en-US"/>
        </w:rPr>
        <w:t xml:space="preserve"> (</w:t>
      </w:r>
      <w:proofErr w:type="spellStart"/>
      <w:r w:rsidRPr="000A4838">
        <w:rPr>
          <w:rFonts w:ascii="Courier New" w:hAnsi="Courier New" w:cs="Courier New"/>
          <w:iCs/>
          <w:sz w:val="20"/>
          <w:szCs w:val="20"/>
          <w:lang w:val="en-US"/>
        </w:rPr>
        <w:t>unique_elements</w:t>
      </w:r>
      <w:proofErr w:type="spellEnd"/>
      <w:r w:rsidRPr="000A4838">
        <w:rPr>
          <w:lang w:val="en-US"/>
        </w:rPr>
        <w:t>), proxy for chemical complexity.</w:t>
      </w:r>
    </w:p>
    <w:p w:rsidR="007419CB" w:rsidRPr="00AD033E" w:rsidRDefault="007419CB" w:rsidP="0021751D">
      <w:pPr>
        <w:spacing w:after="160" w:line="480" w:lineRule="auto"/>
        <w:rPr>
          <w:lang w:val="en-US"/>
        </w:rPr>
      </w:pPr>
      <w:r w:rsidRPr="000A4838">
        <w:rPr>
          <w:lang w:val="en-US"/>
        </w:rPr>
        <w:t>6</w:t>
      </w:r>
      <w:r w:rsidRPr="00AD033E">
        <w:rPr>
          <w:lang w:val="en-US"/>
        </w:rPr>
        <w:t>. Thermodynamic Mixing</w:t>
      </w:r>
    </w:p>
    <w:p w:rsidR="007419CB" w:rsidRPr="00AD033E" w:rsidRDefault="007419CB" w:rsidP="00F949EF">
      <w:pPr>
        <w:pStyle w:val="Paragraphedeliste"/>
        <w:numPr>
          <w:ilvl w:val="0"/>
          <w:numId w:val="10"/>
        </w:numPr>
        <w:spacing w:after="160" w:line="480" w:lineRule="auto"/>
        <w:contextualSpacing w:val="0"/>
        <w:rPr>
          <w:lang w:val="en-US"/>
        </w:rPr>
      </w:pPr>
      <w:proofErr w:type="spellStart"/>
      <w:r w:rsidRPr="00AD033E">
        <w:rPr>
          <w:rStyle w:val="lev"/>
          <w:b w:val="0"/>
          <w:lang w:val="de-DE"/>
        </w:rPr>
        <w:t>Miedema</w:t>
      </w:r>
      <w:proofErr w:type="spellEnd"/>
      <w:r w:rsidRPr="00AD033E">
        <w:rPr>
          <w:rStyle w:val="lev"/>
          <w:b w:val="0"/>
          <w:lang w:val="de-DE"/>
        </w:rPr>
        <w:t xml:space="preserve"> Mixing </w:t>
      </w:r>
      <w:proofErr w:type="spellStart"/>
      <w:r w:rsidRPr="00AD033E">
        <w:rPr>
          <w:rStyle w:val="lev"/>
          <w:b w:val="0"/>
          <w:lang w:val="de-DE"/>
        </w:rPr>
        <w:t>Enthalpy</w:t>
      </w:r>
      <w:proofErr w:type="spellEnd"/>
      <w:r w:rsidRPr="00AD033E">
        <w:rPr>
          <w:lang w:val="de-DE"/>
        </w:rPr>
        <w:t xml:space="preserve"> (</w:t>
      </w:r>
      <w:proofErr w:type="spellStart"/>
      <w:r w:rsidRPr="00AD033E">
        <w:rPr>
          <w:rFonts w:ascii="Courier New" w:hAnsi="Courier New" w:cs="Courier New"/>
          <w:sz w:val="20"/>
          <w:szCs w:val="20"/>
          <w:lang w:val="de-DE"/>
        </w:rPr>
        <w:t>DeltaH_mix</w:t>
      </w:r>
      <w:proofErr w:type="spellEnd"/>
      <w:r w:rsidRPr="00AD033E">
        <w:rPr>
          <w:lang w:val="de-DE"/>
        </w:rPr>
        <w:t xml:space="preserve">). </w:t>
      </w:r>
      <w:r w:rsidRPr="00AD033E">
        <w:rPr>
          <w:lang w:val="en-US"/>
        </w:rPr>
        <w:t xml:space="preserve">Sum of binary </w:t>
      </w:r>
      <m:oMath>
        <m:r>
          <m:rPr>
            <m:sty m:val="p"/>
          </m:rPr>
          <w:rPr>
            <w:rFonts w:ascii="Cambria Math" w:hAnsi="Cambria Math"/>
            <w:lang w:val="en-US"/>
          </w:rPr>
          <m:t>Δ</m:t>
        </m:r>
        <m:r>
          <w:rPr>
            <w:rFonts w:ascii="Cambria Math" w:hAnsi="Cambria Math"/>
            <w:lang w:val="en-US"/>
          </w:rPr>
          <m:t>Hₘᵢₓ</m:t>
        </m:r>
      </m:oMath>
      <w:r w:rsidRPr="00AD033E">
        <w:rPr>
          <w:lang w:val="en-US"/>
        </w:rPr>
        <w:t xml:space="preserve"> contributions from the Miedema model; a negative </w:t>
      </w:r>
      <m:oMath>
        <m:r>
          <m:rPr>
            <m:sty m:val="p"/>
          </m:rPr>
          <w:rPr>
            <w:rFonts w:ascii="Cambria Math" w:hAnsi="Cambria Math"/>
            <w:lang w:val="en-US"/>
          </w:rPr>
          <m:t>Δ</m:t>
        </m:r>
        <m:r>
          <w:rPr>
            <w:rFonts w:ascii="Cambria Math" w:hAnsi="Cambria Math"/>
            <w:lang w:val="en-US"/>
          </w:rPr>
          <m:t>Hₘᵢₓ</m:t>
        </m:r>
      </m:oMath>
      <w:r w:rsidRPr="00AD033E">
        <w:rPr>
          <w:lang w:val="en-US"/>
        </w:rPr>
        <w:t xml:space="preserve"> can favor ordering or intermetallics formation if too large in magnitude. It actually corresponds to a phys</w:t>
      </w:r>
      <w:proofErr w:type="spellStart"/>
      <w:r w:rsidRPr="00AD033E">
        <w:rPr>
          <w:lang w:val="en-US"/>
        </w:rPr>
        <w:t>ical</w:t>
      </w:r>
      <w:proofErr w:type="spellEnd"/>
      <w:r w:rsidRPr="00AD033E">
        <w:rPr>
          <w:lang w:val="en-US"/>
        </w:rPr>
        <w:t xml:space="preserve"> quantity to be predicted – the formation energy at 0K – and it is directly provided by the </w:t>
      </w:r>
      <w:proofErr w:type="spellStart"/>
      <w:r w:rsidRPr="00AD033E">
        <w:rPr>
          <w:rFonts w:ascii="Courier New" w:hAnsi="Courier New" w:cs="Courier New"/>
          <w:sz w:val="20"/>
          <w:szCs w:val="20"/>
          <w:lang w:val="en-US"/>
        </w:rPr>
        <w:t>pymatgen</w:t>
      </w:r>
      <w:proofErr w:type="spellEnd"/>
      <w:r w:rsidRPr="00AD033E">
        <w:rPr>
          <w:rFonts w:ascii="Courier New" w:hAnsi="Courier New" w:cs="Courier New"/>
          <w:lang w:val="en-US"/>
        </w:rPr>
        <w:t xml:space="preserve"> </w:t>
      </w:r>
      <w:r w:rsidRPr="00AD033E">
        <w:rPr>
          <w:lang w:val="en-US"/>
        </w:rPr>
        <w:t xml:space="preserve">library. </w:t>
      </w:r>
      <w:r w:rsidRPr="00AD033E">
        <w:rPr>
          <w:lang w:val="en-US"/>
        </w:rPr>
        <w:lastRenderedPageBreak/>
        <w:t xml:space="preserve">Presumably, the value provided by the library cannot be very accurate since it is available for any composition, it is therefore used as a mere “feature” for the trainings, and the formation energy is obtained from a learning database focusing on the area of interest (stable metals-only materials). </w:t>
      </w:r>
    </w:p>
    <w:p w:rsidR="007419CB" w:rsidRPr="000A4838" w:rsidRDefault="007419CB" w:rsidP="0021751D">
      <w:pPr>
        <w:spacing w:after="160" w:line="480" w:lineRule="auto"/>
        <w:rPr>
          <w:lang w:val="en-US"/>
        </w:rPr>
      </w:pPr>
      <w:r w:rsidRPr="00AD033E">
        <w:rPr>
          <w:lang w:val="en-US"/>
        </w:rPr>
        <w:t>7. Mass and Density</w:t>
      </w:r>
    </w:p>
    <w:p w:rsidR="007419CB" w:rsidRPr="000A4838" w:rsidRDefault="007419CB" w:rsidP="00F949EF">
      <w:pPr>
        <w:pStyle w:val="Paragraphedeliste"/>
        <w:numPr>
          <w:ilvl w:val="0"/>
          <w:numId w:val="10"/>
        </w:numPr>
        <w:spacing w:after="160" w:line="480" w:lineRule="auto"/>
        <w:contextualSpacing w:val="0"/>
        <w:rPr>
          <w:lang w:val="en-US"/>
        </w:rPr>
      </w:pPr>
      <w:r w:rsidRPr="000A4838">
        <w:rPr>
          <w:rStyle w:val="lev"/>
          <w:b w:val="0"/>
          <w:lang w:val="en-US"/>
        </w:rPr>
        <w:t>Average and Standard deviation Atomic Weight</w:t>
      </w:r>
      <w:r w:rsidRPr="000A4838">
        <w:rPr>
          <w:lang w:val="en-US"/>
        </w:rPr>
        <w:t xml:space="preserve"> (</w:t>
      </w:r>
      <w:proofErr w:type="spellStart"/>
      <w:r w:rsidRPr="000A4838">
        <w:rPr>
          <w:rFonts w:ascii="Courier New" w:hAnsi="Courier New" w:cs="Courier New"/>
          <w:iCs/>
          <w:sz w:val="20"/>
          <w:szCs w:val="20"/>
          <w:lang w:val="en-US"/>
        </w:rPr>
        <w:t>avg_weight</w:t>
      </w:r>
      <w:proofErr w:type="spellEnd"/>
      <w:r w:rsidRPr="000A4838">
        <w:rPr>
          <w:lang w:val="en-US"/>
        </w:rPr>
        <w:t xml:space="preserve">, </w:t>
      </w:r>
      <w:proofErr w:type="spellStart"/>
      <w:r w:rsidRPr="000A4838">
        <w:rPr>
          <w:rFonts w:ascii="Courier New" w:hAnsi="Courier New" w:cs="Courier New"/>
          <w:sz w:val="20"/>
          <w:szCs w:val="20"/>
          <w:lang w:val="en-US"/>
        </w:rPr>
        <w:t>std_weight</w:t>
      </w:r>
      <w:proofErr w:type="spellEnd"/>
      <w:r w:rsidRPr="000A4838">
        <w:rPr>
          <w:lang w:val="en-US"/>
        </w:rPr>
        <w:t>), the basic mass scale.</w:t>
      </w:r>
    </w:p>
    <w:p w:rsidR="007419CB" w:rsidRPr="000A4838" w:rsidRDefault="007419CB" w:rsidP="00F949EF">
      <w:pPr>
        <w:pStyle w:val="Paragraphedeliste"/>
        <w:numPr>
          <w:ilvl w:val="0"/>
          <w:numId w:val="10"/>
        </w:numPr>
        <w:spacing w:after="160" w:line="480" w:lineRule="auto"/>
        <w:contextualSpacing w:val="0"/>
        <w:rPr>
          <w:lang w:val="en-US"/>
        </w:rPr>
      </w:pPr>
      <w:r w:rsidRPr="000A4838">
        <w:rPr>
          <w:rStyle w:val="lev"/>
          <w:b w:val="0"/>
          <w:lang w:val="en-US"/>
        </w:rPr>
        <w:t>Average and Standard deviation Melting Point</w:t>
      </w:r>
      <w:r w:rsidRPr="000A4838">
        <w:rPr>
          <w:lang w:val="en-US"/>
        </w:rPr>
        <w:t xml:space="preserve"> (</w:t>
      </w:r>
      <w:proofErr w:type="spellStart"/>
      <w:r w:rsidRPr="000A4838">
        <w:rPr>
          <w:rFonts w:ascii="Courier New" w:hAnsi="Courier New" w:cs="Courier New"/>
          <w:iCs/>
          <w:sz w:val="20"/>
          <w:szCs w:val="20"/>
          <w:lang w:val="en-US"/>
        </w:rPr>
        <w:t>avg_melting_point</w:t>
      </w:r>
      <w:proofErr w:type="spellEnd"/>
      <w:r w:rsidRPr="000A4838">
        <w:rPr>
          <w:lang w:val="en-US"/>
        </w:rPr>
        <w:t xml:space="preserve">, </w:t>
      </w:r>
      <w:proofErr w:type="spellStart"/>
      <w:r w:rsidRPr="000A4838">
        <w:rPr>
          <w:rFonts w:ascii="Courier New" w:hAnsi="Courier New" w:cs="Courier New"/>
          <w:sz w:val="20"/>
          <w:szCs w:val="20"/>
          <w:lang w:val="en-US"/>
        </w:rPr>
        <w:t>std_melting_point</w:t>
      </w:r>
      <w:proofErr w:type="spellEnd"/>
      <w:r w:rsidRPr="000A4838">
        <w:rPr>
          <w:lang w:val="en-US"/>
        </w:rPr>
        <w:t>). Inform high‐temperature processability, high-temperature behavior and entropy‐temperature ratios.</w:t>
      </w:r>
    </w:p>
    <w:p w:rsidR="007419CB" w:rsidRPr="000A4838" w:rsidRDefault="007419CB" w:rsidP="0021751D">
      <w:pPr>
        <w:spacing w:after="160" w:line="480" w:lineRule="auto"/>
        <w:rPr>
          <w:lang w:val="en-US"/>
        </w:rPr>
      </w:pPr>
      <w:r w:rsidRPr="000A4838">
        <w:rPr>
          <w:lang w:val="en-US"/>
        </w:rPr>
        <w:t>8. Ionic and Atomic Number</w:t>
      </w:r>
    </w:p>
    <w:p w:rsidR="007419CB" w:rsidRPr="000A4838" w:rsidRDefault="007419CB" w:rsidP="00F949EF">
      <w:pPr>
        <w:pStyle w:val="Paragraphedeliste"/>
        <w:numPr>
          <w:ilvl w:val="0"/>
          <w:numId w:val="10"/>
        </w:numPr>
        <w:spacing w:after="160" w:line="480" w:lineRule="auto"/>
        <w:contextualSpacing w:val="0"/>
        <w:rPr>
          <w:lang w:val="en-US"/>
        </w:rPr>
      </w:pPr>
      <w:r w:rsidRPr="000A4838">
        <w:rPr>
          <w:rStyle w:val="lev"/>
          <w:b w:val="0"/>
          <w:lang w:val="en-US"/>
        </w:rPr>
        <w:t>Average and Standard deviation Atomic Number</w:t>
      </w:r>
      <w:r w:rsidRPr="000A4838">
        <w:rPr>
          <w:lang w:val="en-US"/>
        </w:rPr>
        <w:t xml:space="preserve"> (</w:t>
      </w:r>
      <w:proofErr w:type="spellStart"/>
      <w:r w:rsidRPr="000A4838">
        <w:rPr>
          <w:rFonts w:ascii="Courier New" w:hAnsi="Courier New" w:cs="Courier New"/>
          <w:iCs/>
          <w:sz w:val="20"/>
          <w:szCs w:val="20"/>
          <w:lang w:val="en-US"/>
        </w:rPr>
        <w:t>avg_Z</w:t>
      </w:r>
      <w:proofErr w:type="spellEnd"/>
      <w:r w:rsidRPr="000A4838">
        <w:rPr>
          <w:lang w:val="en-US"/>
        </w:rPr>
        <w:t xml:space="preserve">, </w:t>
      </w:r>
      <w:proofErr w:type="spellStart"/>
      <w:r w:rsidRPr="000A4838">
        <w:rPr>
          <w:rFonts w:ascii="Courier New" w:hAnsi="Courier New" w:cs="Courier New"/>
          <w:sz w:val="20"/>
          <w:szCs w:val="20"/>
          <w:lang w:val="en-US"/>
        </w:rPr>
        <w:t>std_Z</w:t>
      </w:r>
      <w:proofErr w:type="spellEnd"/>
      <w:r w:rsidRPr="000A4838">
        <w:rPr>
          <w:lang w:val="en-US"/>
        </w:rPr>
        <w:t>). Correlate with core‐electron screening and cohesive energy.</w:t>
      </w:r>
    </w:p>
    <w:p w:rsidR="007419CB" w:rsidRPr="000A4838" w:rsidRDefault="007419CB" w:rsidP="0021751D">
      <w:pPr>
        <w:spacing w:after="160" w:line="480" w:lineRule="auto"/>
        <w:rPr>
          <w:lang w:val="en-US"/>
        </w:rPr>
      </w:pPr>
    </w:p>
    <w:p w:rsidR="007419CB" w:rsidRPr="00AD033E"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0" w:name="_Ref205243527"/>
      <w:bookmarkStart w:id="11" w:name="_Toc214314322"/>
      <w:bookmarkStart w:id="12" w:name="_Toc216021084"/>
      <w:r w:rsidRPr="00AD033E">
        <w:rPr>
          <w:rFonts w:ascii="Times New Roman" w:hAnsi="Times New Roman" w:cs="Times New Roman"/>
          <w:color w:val="auto"/>
          <w:sz w:val="24"/>
          <w:szCs w:val="24"/>
          <w:lang w:val="en-US"/>
        </w:rPr>
        <w:t>Outlier Detection &amp; Cleaning of Data</w:t>
      </w:r>
      <w:bookmarkEnd w:id="10"/>
      <w:bookmarkEnd w:id="11"/>
      <w:bookmarkEnd w:id="12"/>
    </w:p>
    <w:p w:rsidR="007419CB" w:rsidRPr="00AD033E" w:rsidRDefault="007419CB" w:rsidP="0021751D">
      <w:pPr>
        <w:spacing w:after="160" w:line="480" w:lineRule="auto"/>
        <w:rPr>
          <w:lang w:val="en-US"/>
        </w:rPr>
      </w:pPr>
      <w:r w:rsidRPr="00AD033E">
        <w:rPr>
          <w:lang w:val="en-US"/>
        </w:rPr>
        <w:t>In any data‐driven investigation, the presence of outliers can distort statistical summaries, impair model training, and ultimately lead to spurious conclusions. Prior to any machine‐learning step on creep‐related properties, a four‐fold outlier detection pipeline is implemented, combining (1) Local Outlier Factor (LOF), (2) Isolation Forest, (3) k-Nearest-Neighbors residual analysis (</w:t>
      </w:r>
      <w:proofErr w:type="spellStart"/>
      <w:r w:rsidRPr="00AD033E">
        <w:rPr>
          <w:lang w:val="en-US"/>
        </w:rPr>
        <w:t>kNN</w:t>
      </w:r>
      <w:proofErr w:type="spellEnd"/>
      <w:r w:rsidRPr="00AD033E">
        <w:rPr>
          <w:lang w:val="en-US"/>
        </w:rPr>
        <w:t xml:space="preserve">), and (4) </w:t>
      </w:r>
      <w:proofErr w:type="spellStart"/>
      <w:r w:rsidRPr="00AD033E">
        <w:rPr>
          <w:lang w:val="en-US"/>
        </w:rPr>
        <w:t>HuberRegressor</w:t>
      </w:r>
      <w:proofErr w:type="spellEnd"/>
      <w:r w:rsidRPr="00AD033E">
        <w:rPr>
          <w:lang w:val="en-US"/>
        </w:rPr>
        <w:t xml:space="preserve"> residual analysis. By flagging any sample identified as anomalous by </w:t>
      </w:r>
      <w:r w:rsidRPr="00AD033E">
        <w:rPr>
          <w:i/>
          <w:iCs/>
          <w:lang w:val="en-US"/>
        </w:rPr>
        <w:t>any</w:t>
      </w:r>
      <w:r w:rsidRPr="00AD033E">
        <w:rPr>
          <w:lang w:val="en-US"/>
        </w:rPr>
        <w:t xml:space="preserve"> method, the aim is to achieve a robust, conservative cleaning criterion that removes points exhibiting unusual local density, isolation characteristics, or anomalous responses relative to their peers or to a robust regression model.</w:t>
      </w: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3" w:name="_Toc214314323"/>
      <w:bookmarkStart w:id="14" w:name="_Toc216021085"/>
      <w:r w:rsidRPr="000A4838">
        <w:rPr>
          <w:rFonts w:ascii="Times New Roman" w:hAnsi="Times New Roman" w:cs="Times New Roman"/>
          <w:color w:val="auto"/>
          <w:lang w:val="en-US"/>
        </w:rPr>
        <w:lastRenderedPageBreak/>
        <w:t>Data Preparation and Standardization</w:t>
      </w:r>
      <w:bookmarkEnd w:id="13"/>
      <w:bookmarkEnd w:id="14"/>
    </w:p>
    <w:p w:rsidR="007419CB" w:rsidRPr="00AD033E" w:rsidRDefault="007419CB" w:rsidP="0021751D">
      <w:pPr>
        <w:spacing w:after="160" w:line="480" w:lineRule="auto"/>
        <w:rPr>
          <w:lang w:val="en-US"/>
        </w:rPr>
      </w:pPr>
      <w:r w:rsidRPr="000A4838">
        <w:rPr>
          <w:lang w:val="en-US"/>
        </w:rPr>
        <w:t xml:space="preserve">Before applying any outlier detector, all </w:t>
      </w:r>
      <w:r w:rsidRPr="00AD033E">
        <w:rPr>
          <w:lang w:val="en-US"/>
        </w:rPr>
        <w:t xml:space="preserve">feature columns </w:t>
      </w:r>
      <m:oMath>
        <m:r>
          <w:rPr>
            <w:rFonts w:ascii="Cambria Math" w:hAnsi="Cambria Math"/>
            <w:lang w:val="en-US"/>
          </w:rPr>
          <m:t>X</m:t>
        </m:r>
      </m:oMath>
      <w:r w:rsidRPr="00AD033E">
        <w:rPr>
          <w:lang w:val="en-US"/>
        </w:rPr>
        <w:t xml:space="preserve"> and the target variable </w:t>
      </w:r>
      <m:oMath>
        <m:r>
          <w:rPr>
            <w:rFonts w:ascii="Cambria Math" w:hAnsi="Cambria Math"/>
            <w:lang w:val="en-US"/>
          </w:rPr>
          <m:t>y</m:t>
        </m:r>
      </m:oMath>
      <w:r w:rsidRPr="00AD033E">
        <w:rPr>
          <w:lang w:val="en-US"/>
        </w:rPr>
        <w:t xml:space="preserve"> are converted to floating‐point numeric formats. Missing entries are dropped to avoid spurious distance or density calculations. A </w:t>
      </w:r>
      <m:oMath>
        <m:r>
          <w:rPr>
            <w:rFonts w:ascii="Cambria Math" w:hAnsi="Cambria Math"/>
            <w:lang w:val="en-US"/>
          </w:rPr>
          <m:t>Z</m:t>
        </m:r>
      </m:oMath>
      <w:r w:rsidRPr="00AD033E">
        <w:rPr>
          <w:lang w:val="en-US"/>
        </w:rPr>
        <w:t>‐score standardization is then applied:</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AD033E" w:rsidRDefault="00CC139D" w:rsidP="0021751D">
            <w:pPr>
              <w:spacing w:after="160" w:line="480" w:lineRule="auto"/>
              <w:rPr>
                <w:lang w:val="en-US"/>
              </w:rPr>
            </w:pPr>
            <m:oMathPara>
              <m:oMath>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scaled</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X-</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X</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X</m:t>
                        </m:r>
                      </m:sub>
                    </m:sSub>
                  </m:den>
                </m:f>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3</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spacing w:after="160" w:line="480" w:lineRule="auto"/>
        <w:rPr>
          <w:lang w:val="en-US"/>
        </w:rPr>
      </w:pPr>
      <w:r w:rsidRPr="000A4838">
        <w:rPr>
          <w:lang w:val="en-US"/>
        </w:rPr>
        <w:t xml:space="preserve">using </w:t>
      </w:r>
      <w:proofErr w:type="spellStart"/>
      <w:r w:rsidRPr="000A4838">
        <w:rPr>
          <w:rFonts w:ascii="Courier New" w:hAnsi="Courier New" w:cs="Courier New"/>
          <w:sz w:val="20"/>
          <w:szCs w:val="20"/>
          <w:lang w:val="en-US"/>
        </w:rPr>
        <w:t>StandardScaler</w:t>
      </w:r>
      <w:proofErr w:type="spellEnd"/>
      <w:r w:rsidRPr="000A4838">
        <w:rPr>
          <w:lang w:val="en-US"/>
        </w:rPr>
        <w:t xml:space="preserve">, ensuring that each feature has zero mean and unit variance. Standardization is critical for methods based on Euclidean distances (LOF, </w:t>
      </w:r>
      <w:proofErr w:type="spellStart"/>
      <w:r w:rsidRPr="000A4838">
        <w:rPr>
          <w:lang w:val="en-US"/>
        </w:rPr>
        <w:t>kNN</w:t>
      </w:r>
      <w:proofErr w:type="spellEnd"/>
      <w:r w:rsidRPr="000A4838">
        <w:rPr>
          <w:lang w:val="en-US"/>
        </w:rPr>
        <w:t>) and isolation by random splits (Isolation Forest), since features of large scales would otherwise dominate the detection process.</w:t>
      </w: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5" w:name="_Toc214314324"/>
      <w:bookmarkStart w:id="16" w:name="_Toc216021086"/>
      <w:r w:rsidRPr="000A4838">
        <w:rPr>
          <w:rFonts w:ascii="Times New Roman" w:hAnsi="Times New Roman" w:cs="Times New Roman"/>
          <w:color w:val="auto"/>
          <w:lang w:val="en-US"/>
        </w:rPr>
        <w:t>Local Outlier Factor (LOF)</w:t>
      </w:r>
      <w:bookmarkEnd w:id="15"/>
      <w:bookmarkEnd w:id="16"/>
    </w:p>
    <w:p w:rsidR="007419CB" w:rsidRPr="00092C88" w:rsidRDefault="007419CB" w:rsidP="0021751D">
      <w:pPr>
        <w:spacing w:after="160" w:line="480" w:lineRule="auto"/>
        <w:rPr>
          <w:highlight w:val="yellow"/>
          <w:lang w:val="en-US"/>
        </w:rPr>
      </w:pPr>
      <w:r w:rsidRPr="000A4838">
        <w:rPr>
          <w:lang w:val="en-US"/>
        </w:rPr>
        <w:t xml:space="preserve">LOF is a density‐based algorithm that assigns to each </w:t>
      </w:r>
      <w:r w:rsidRPr="00AD033E">
        <w:rPr>
          <w:lang w:val="en-US"/>
        </w:rPr>
        <w:t xml:space="preserve">sample a score reflecting how isolated it is with respect to its neighborhood. For a given data point </w:t>
      </w:r>
      <m:oMath>
        <m:r>
          <w:rPr>
            <w:rFonts w:ascii="Cambria Math" w:hAnsi="Cambria Math"/>
            <w:lang w:val="en-US"/>
          </w:rPr>
          <m:t>i</m:t>
        </m:r>
      </m:oMath>
      <w:r w:rsidRPr="00AD033E">
        <w:rPr>
          <w:lang w:val="en-US"/>
        </w:rPr>
        <w:t xml:space="preserve">, the </w:t>
      </w:r>
      <w:r w:rsidRPr="00AD033E">
        <w:rPr>
          <w:i/>
          <w:iCs/>
          <w:lang w:val="en-US"/>
        </w:rPr>
        <w:t>local reachability density</w:t>
      </w:r>
      <w:r w:rsidRPr="00AD033E">
        <w:rPr>
          <w:lang w:val="en-US"/>
        </w:rPr>
        <w:t xml:space="preserve"> (LRD) is computed, based on the average reachability distance to its </w:t>
      </w:r>
      <m:oMath>
        <m:r>
          <w:rPr>
            <w:rFonts w:ascii="Cambria Math" w:hAnsi="Cambria Math"/>
            <w:lang w:val="en-US"/>
          </w:rPr>
          <m:t>k</m:t>
        </m:r>
      </m:oMath>
      <w:r w:rsidRPr="00AD033E">
        <w:rPr>
          <w:lang w:val="en-US"/>
        </w:rPr>
        <w:t xml:space="preserve"> nearest neighbors:</w:t>
      </w:r>
    </w:p>
    <w:p w:rsidR="007419CB" w:rsidRPr="000A4838" w:rsidRDefault="00CC139D" w:rsidP="00F949EF">
      <w:pPr>
        <w:pStyle w:val="Paragraphedeliste"/>
        <w:numPr>
          <w:ilvl w:val="0"/>
          <w:numId w:val="10"/>
        </w:numPr>
        <w:spacing w:after="160" w:line="480" w:lineRule="auto"/>
        <w:contextualSpacing w:val="0"/>
        <w:rPr>
          <w:lang w:val="en-US"/>
        </w:rPr>
      </w:pPr>
      <m:oMath>
        <m:sSub>
          <m:sSubPr>
            <m:ctrlPr>
              <w:rPr>
                <w:rFonts w:ascii="Cambria Math" w:eastAsia="Cambria Math" w:hAnsi="Cambria Math"/>
                <w:i/>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(i</m:t>
        </m:r>
        <m:r>
          <w:rPr>
            <w:rFonts w:eastAsiaTheme="minorEastAsia"/>
            <w:lang w:val="en-US"/>
          </w:rPr>
          <m:t>)</m:t>
        </m:r>
      </m:oMath>
      <w:r w:rsidR="007419CB" w:rsidRPr="000A4838">
        <w:rPr>
          <w:rFonts w:eastAsiaTheme="minorEastAsia"/>
          <w:lang w:val="en-US"/>
        </w:rPr>
        <w:t xml:space="preserve"> </w:t>
      </w:r>
      <w:r w:rsidR="007419CB" w:rsidRPr="000A4838">
        <w:rPr>
          <w:lang w:val="en-US"/>
        </w:rPr>
        <w:t xml:space="preserve">denotes the </w:t>
      </w:r>
      <w:r w:rsidR="007419CB" w:rsidRPr="000A4838">
        <w:rPr>
          <w:i/>
          <w:iCs/>
          <w:lang w:val="en-US"/>
        </w:rPr>
        <w:t>set</w:t>
      </w:r>
      <w:r w:rsidR="007419CB" w:rsidRPr="000A4838">
        <w:rPr>
          <w:lang w:val="en-US"/>
        </w:rPr>
        <w:t xml:space="preserve"> of the </w:t>
      </w:r>
      <m:oMath>
        <m:r>
          <w:rPr>
            <w:rFonts w:ascii="Cambria Math" w:hAnsi="Cambria Math"/>
            <w:lang w:val="en-US"/>
          </w:rPr>
          <m:t>k</m:t>
        </m:r>
      </m:oMath>
      <w:r w:rsidR="007419CB" w:rsidRPr="000A4838">
        <w:rPr>
          <w:lang w:val="en-US"/>
        </w:rPr>
        <w:t xml:space="preserve"> nearest neighbors of point </w:t>
      </w:r>
      <m:oMath>
        <m:r>
          <w:rPr>
            <w:rFonts w:ascii="Cambria Math" w:hAnsi="Cambria Math"/>
            <w:lang w:val="en-US"/>
          </w:rPr>
          <m:t>i</m:t>
        </m:r>
      </m:oMath>
      <w:r w:rsidR="007419CB" w:rsidRPr="000A4838">
        <w:rPr>
          <w:lang w:val="en-US"/>
        </w:rPr>
        <w:t>, as determined by Euclidean distance in the standardized feature space.</w:t>
      </w:r>
    </w:p>
    <w:p w:rsidR="007419CB" w:rsidRPr="000A4838" w:rsidRDefault="007419CB" w:rsidP="00F949EF">
      <w:pPr>
        <w:pStyle w:val="Paragraphedeliste"/>
        <w:numPr>
          <w:ilvl w:val="0"/>
          <w:numId w:val="10"/>
        </w:numPr>
        <w:spacing w:after="160" w:line="480" w:lineRule="auto"/>
        <w:contextualSpacing w:val="0"/>
        <w:rPr>
          <w:lang w:val="en-US"/>
        </w:rPr>
      </w:pPr>
      <m:oMath>
        <m:r>
          <w:rPr>
            <w:rFonts w:ascii="Cambria Math" w:hAnsi="Cambria Math"/>
            <w:lang w:val="en-US"/>
          </w:rPr>
          <m:t>d(j,l)</m:t>
        </m:r>
      </m:oMath>
      <w:r w:rsidRPr="000A4838">
        <w:rPr>
          <w:rFonts w:eastAsiaTheme="minorEastAsia"/>
          <w:lang w:val="en-US"/>
        </w:rPr>
        <w:t xml:space="preserve"> is the Euclidian distance between </w:t>
      </w:r>
      <m:oMath>
        <m:r>
          <w:rPr>
            <w:rFonts w:eastAsiaTheme="minorEastAsia"/>
            <w:lang w:val="en-US"/>
          </w:rPr>
          <m:t>j</m:t>
        </m:r>
      </m:oMath>
      <w:r w:rsidRPr="000A4838">
        <w:rPr>
          <w:rFonts w:eastAsiaTheme="minorEastAsia"/>
          <w:lang w:val="en-US"/>
        </w:rPr>
        <w:t xml:space="preserve"> and </w:t>
      </w:r>
      <m:oMath>
        <m:r>
          <w:rPr>
            <w:rFonts w:eastAsiaTheme="minorEastAsia"/>
            <w:lang w:val="en-US"/>
          </w:rPr>
          <m:t>l</m:t>
        </m:r>
      </m:oMath>
    </w:p>
    <w:p w:rsidR="007419CB" w:rsidRPr="000A4838" w:rsidRDefault="00CC139D" w:rsidP="00F949EF">
      <w:pPr>
        <w:pStyle w:val="Paragraphedeliste"/>
        <w:numPr>
          <w:ilvl w:val="0"/>
          <w:numId w:val="10"/>
        </w:numPr>
        <w:spacing w:after="160" w:line="480" w:lineRule="auto"/>
        <w:contextualSpacing w:val="0"/>
        <w:rPr>
          <w:rFonts w:eastAsiaTheme="minorEastAsia"/>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m:t>
            </m:r>
          </m:sub>
        </m:sSub>
        <m:r>
          <w:rPr>
            <w:rFonts w:ascii="Cambria Math" w:hAnsi="Cambria Math"/>
            <w:lang w:val="en-US"/>
          </w:rPr>
          <m:t>(l)</m:t>
        </m:r>
      </m:oMath>
      <w:r w:rsidR="007419CB" w:rsidRPr="000A4838">
        <w:rPr>
          <w:rFonts w:eastAsiaTheme="minorEastAsia"/>
          <w:lang w:val="en-US"/>
        </w:rPr>
        <w:t xml:space="preserve"> (the </w:t>
      </w:r>
      <m:oMath>
        <m:r>
          <w:rPr>
            <w:rFonts w:ascii="Cambria Math" w:hAnsi="Cambria Math"/>
            <w:lang w:val="en-US"/>
          </w:rPr>
          <m:t>k</m:t>
        </m:r>
      </m:oMath>
      <w:r w:rsidR="007419CB" w:rsidRPr="000A4838">
        <w:rPr>
          <w:rFonts w:eastAsiaTheme="minorEastAsia"/>
          <w:i/>
          <w:iCs/>
          <w:lang w:val="en-US"/>
        </w:rPr>
        <w:t>-distance</w:t>
      </w:r>
      <w:r w:rsidR="007419CB" w:rsidRPr="000A4838">
        <w:rPr>
          <w:rFonts w:eastAsiaTheme="minorEastAsia"/>
          <w:lang w:val="en-US"/>
        </w:rPr>
        <w:t xml:space="preserve"> of </w:t>
      </w:r>
      <m:oMath>
        <m:r>
          <w:rPr>
            <w:rFonts w:eastAsiaTheme="minorEastAsia"/>
            <w:lang w:val="en-US"/>
          </w:rPr>
          <m:t>l</m:t>
        </m:r>
      </m:oMath>
      <w:r w:rsidR="007419CB" w:rsidRPr="000A4838">
        <w:rPr>
          <w:rFonts w:eastAsiaTheme="minorEastAsia"/>
          <w:lang w:val="en-US"/>
        </w:rPr>
        <w:t xml:space="preserve">) is the distance from </w:t>
      </w:r>
      <m:oMath>
        <m:r>
          <w:rPr>
            <w:rFonts w:eastAsiaTheme="minorEastAsia"/>
            <w:lang w:val="en-US"/>
          </w:rPr>
          <m:t>l</m:t>
        </m:r>
      </m:oMath>
      <w:r w:rsidR="007419CB" w:rsidRPr="000A4838">
        <w:rPr>
          <w:rFonts w:eastAsiaTheme="minorEastAsia"/>
          <w:lang w:val="en-US"/>
        </w:rPr>
        <w:t xml:space="preserve"> to its own </w:t>
      </w:r>
      <m:oMath>
        <m:r>
          <w:rPr>
            <w:rFonts w:eastAsiaTheme="minorEastAsia"/>
            <w:lang w:val="en-US"/>
          </w:rPr>
          <m:t>k</m:t>
        </m:r>
      </m:oMath>
      <w:r w:rsidR="007419CB" w:rsidRPr="000A4838">
        <w:rPr>
          <w:rFonts w:eastAsiaTheme="minorEastAsia"/>
          <w:vertAlign w:val="superscript"/>
          <w:lang w:val="en-US"/>
        </w:rPr>
        <w:t>th</w:t>
      </w:r>
      <w:r w:rsidR="007419CB" w:rsidRPr="000A4838">
        <w:rPr>
          <w:rFonts w:eastAsiaTheme="minorEastAsia"/>
          <w:lang w:val="en-US"/>
        </w:rPr>
        <w:t xml:space="preserve"> nearest neighbor.</w:t>
      </w:r>
    </w:p>
    <w:p w:rsidR="007419CB" w:rsidRPr="000A4838" w:rsidRDefault="00CC139D" w:rsidP="00F949EF">
      <w:pPr>
        <w:pStyle w:val="Paragraphedeliste"/>
        <w:numPr>
          <w:ilvl w:val="0"/>
          <w:numId w:val="10"/>
        </w:numPr>
        <w:spacing w:after="160" w:line="480" w:lineRule="auto"/>
        <w:contextualSpacing w:val="0"/>
        <w:rPr>
          <w:rFonts w:eastAsiaTheme="minorEastAsia"/>
          <w:lang w:val="en-US"/>
        </w:rPr>
      </w:pPr>
      <m:oMath>
        <m:sSub>
          <m:sSubPr>
            <m:ctrlPr>
              <w:rPr>
                <w:rFonts w:ascii="Cambria Math" w:hAnsi="Cambria Math"/>
                <w:i/>
                <w:lang w:val="en-US"/>
              </w:rPr>
            </m:ctrlPr>
          </m:sSubPr>
          <m:e>
            <m:r>
              <m:rPr>
                <m:sty m:val="p"/>
              </m:rPr>
              <w:rPr>
                <w:rFonts w:ascii="Cambria Math" w:hAnsi="Cambria Math"/>
                <w:lang w:val="en-US"/>
              </w:rPr>
              <m:t>reach_dist</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j,l</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max</m:t>
            </m:r>
          </m:fName>
          <m:e>
            <m:d>
              <m:dPr>
                <m:begChr m:val="{"/>
                <m:endChr m:val="}"/>
                <m:ctrlPr>
                  <w:rPr>
                    <w:rFonts w:ascii="Cambria Math" w:hAnsi="Cambria Math"/>
                    <w:i/>
                    <w:lang w:val="en-US"/>
                  </w:rPr>
                </m:ctrlPr>
              </m:dPr>
              <m:e>
                <m:r>
                  <w:rPr>
                    <w:rFonts w:ascii="Cambria Math" w:hAnsi="Cambria Math"/>
                    <w:lang w:val="en-US"/>
                  </w:rPr>
                  <m:t>d</m:t>
                </m:r>
                <m:d>
                  <m:dPr>
                    <m:ctrlPr>
                      <w:rPr>
                        <w:rFonts w:ascii="Cambria Math" w:eastAsia="Cambria Math" w:hAnsi="Cambria Math"/>
                        <w:i/>
                        <w:lang w:val="en-US"/>
                      </w:rPr>
                    </m:ctrlPr>
                  </m:dPr>
                  <m:e>
                    <m:r>
                      <w:rPr>
                        <w:rFonts w:ascii="Cambria Math" w:hAnsi="Cambria Math"/>
                        <w:lang w:val="en-US"/>
                      </w:rPr>
                      <m:t>j,l</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m:t>
                    </m:r>
                  </m:sub>
                </m:sSub>
                <m:r>
                  <w:rPr>
                    <w:rFonts w:ascii="Cambria Math" w:hAnsi="Cambria Math"/>
                    <w:lang w:val="en-US"/>
                  </w:rPr>
                  <m:t>(l)</m:t>
                </m:r>
              </m:e>
            </m:d>
          </m:e>
        </m:func>
      </m:oMath>
      <w:r w:rsidR="007419CB" w:rsidRPr="000A4838">
        <w:rPr>
          <w:rFonts w:eastAsiaTheme="minorEastAsia"/>
          <w:lang w:val="en-US"/>
        </w:rPr>
        <w:t xml:space="preserve"> is the </w:t>
      </w:r>
      <w:r w:rsidR="007419CB" w:rsidRPr="000A4838">
        <w:rPr>
          <w:rFonts w:eastAsiaTheme="minorEastAsia"/>
          <w:i/>
          <w:lang w:val="en-US"/>
        </w:rPr>
        <w:t>reachability distance</w:t>
      </w:r>
      <w:r w:rsidR="007419CB" w:rsidRPr="000A4838">
        <w:rPr>
          <w:rFonts w:eastAsiaTheme="minorEastAsia"/>
          <w:lang w:val="en-US"/>
        </w:rPr>
        <w:t xml:space="preserve"> between </w:t>
      </w:r>
      <m:oMath>
        <m:r>
          <w:rPr>
            <w:rFonts w:ascii="Cambria Math" w:eastAsiaTheme="minorEastAsia" w:hAnsi="Cambria Math"/>
            <w:lang w:val="en-US"/>
          </w:rPr>
          <m:t>j</m:t>
        </m:r>
      </m:oMath>
      <w:r w:rsidR="007419CB" w:rsidRPr="000A4838">
        <w:rPr>
          <w:rFonts w:eastAsiaTheme="minorEastAsia"/>
          <w:lang w:val="en-US"/>
        </w:rPr>
        <w:t xml:space="preserve"> and </w:t>
      </w:r>
      <m:oMath>
        <m:r>
          <w:rPr>
            <w:rFonts w:ascii="Cambria Math" w:eastAsiaTheme="minorEastAsia" w:hAnsi="Cambria Math"/>
            <w:lang w:val="en-US"/>
          </w:rPr>
          <m:t>i</m:t>
        </m:r>
      </m:oMath>
      <w:r w:rsidR="007419CB">
        <w:rPr>
          <w:rFonts w:eastAsiaTheme="minorEastAsia"/>
          <w:lang w:val="en-US"/>
        </w:rPr>
        <w:t xml:space="preserve">, which means the true distance </w:t>
      </w:r>
      <w:proofErr w:type="spellStart"/>
      <w:r w:rsidR="007419CB" w:rsidRPr="000A4838">
        <w:rPr>
          <w:rFonts w:eastAsiaTheme="minorEastAsia"/>
          <w:lang w:val="en-US"/>
        </w:rPr>
        <w:t>between</w:t>
      </w:r>
      <w:proofErr w:type="spellEnd"/>
      <w:r w:rsidR="007419CB" w:rsidRPr="000A4838">
        <w:rPr>
          <w:rFonts w:eastAsiaTheme="minorEastAsia"/>
          <w:lang w:val="en-US"/>
        </w:rPr>
        <w:t xml:space="preserve"> </w:t>
      </w:r>
      <m:oMath>
        <m:r>
          <w:rPr>
            <w:rFonts w:ascii="Cambria Math" w:eastAsiaTheme="minorEastAsia" w:hAnsi="Cambria Math"/>
            <w:lang w:val="en-US"/>
          </w:rPr>
          <m:t>j</m:t>
        </m:r>
      </m:oMath>
      <w:r w:rsidR="007419CB" w:rsidRPr="000A4838">
        <w:rPr>
          <w:rFonts w:eastAsiaTheme="minorEastAsia"/>
          <w:lang w:val="en-US"/>
        </w:rPr>
        <w:t xml:space="preserve"> and </w:t>
      </w:r>
      <m:oMath>
        <m:r>
          <w:rPr>
            <w:rFonts w:ascii="Cambria Math" w:eastAsiaTheme="minorEastAsia" w:hAnsi="Cambria Math"/>
            <w:lang w:val="en-US"/>
          </w:rPr>
          <m:t>i</m:t>
        </m:r>
      </m:oMath>
      <w:r w:rsidR="007419CB" w:rsidRPr="000A4838">
        <w:rPr>
          <w:rFonts w:eastAsiaTheme="minorEastAsia"/>
          <w:lang w:val="en-US"/>
        </w:rPr>
        <w:t xml:space="preserve"> </w:t>
      </w:r>
      <w:r w:rsidR="007419CB">
        <w:rPr>
          <w:rFonts w:eastAsiaTheme="minorEastAsia"/>
          <w:lang w:val="en-US"/>
        </w:rPr>
        <w:t xml:space="preserve">and at least </w:t>
      </w:r>
      <w:r w:rsidR="007419CB" w:rsidRPr="000A4838">
        <w:rPr>
          <w:rFonts w:eastAsiaTheme="minorEastAsia"/>
          <w:lang w:val="en-US"/>
        </w:rPr>
        <w:t xml:space="preserve">the </w:t>
      </w:r>
      <m:oMath>
        <m:r>
          <w:rPr>
            <w:rFonts w:ascii="Cambria Math" w:hAnsi="Cambria Math"/>
            <w:lang w:val="en-US"/>
          </w:rPr>
          <m:t>k</m:t>
        </m:r>
      </m:oMath>
      <w:r w:rsidR="007419CB" w:rsidRPr="000A4838">
        <w:rPr>
          <w:rFonts w:eastAsiaTheme="minorEastAsia"/>
          <w:i/>
          <w:iCs/>
          <w:lang w:val="en-US"/>
        </w:rPr>
        <w:t>-distance</w:t>
      </w:r>
      <w:r w:rsidR="007419CB" w:rsidRPr="000A4838">
        <w:rPr>
          <w:rFonts w:eastAsiaTheme="minorEastAsia"/>
          <w:lang w:val="en-US"/>
        </w:rPr>
        <w:t xml:space="preserve"> of </w:t>
      </w:r>
      <m:oMath>
        <m:r>
          <w:rPr>
            <w:rFonts w:eastAsiaTheme="minorEastAsia"/>
            <w:lang w:val="en-US"/>
          </w:rPr>
          <m:t>l</m:t>
        </m:r>
      </m:oMath>
      <w:r w:rsidR="007419CB">
        <w:rPr>
          <w:rFonts w:eastAsiaTheme="minorEastAsia"/>
          <w:i/>
          <w:lang w:val="en-US"/>
        </w:rPr>
        <w:t xml:space="preserve">. </w:t>
      </w:r>
      <w:r w:rsidR="007419CB" w:rsidRPr="00477FD7">
        <w:rPr>
          <w:rFonts w:eastAsiaTheme="minorEastAsia"/>
          <w:lang w:val="en-US"/>
        </w:rPr>
        <w:t>With this definition,</w:t>
      </w:r>
      <w:r w:rsidR="007419CB" w:rsidRPr="000A4838">
        <w:rPr>
          <w:rFonts w:eastAsiaTheme="minorEastAsia"/>
          <w:lang w:val="en-US"/>
        </w:rPr>
        <w:t xml:space="preserve"> each neighbor </w:t>
      </w:r>
      <m:oMath>
        <m:r>
          <w:rPr>
            <w:rFonts w:ascii="Cambria Math" w:eastAsiaTheme="minorEastAsia" w:hAnsi="Cambria Math"/>
            <w:lang w:val="en-US"/>
          </w:rPr>
          <m:t>l</m:t>
        </m:r>
        <m:r>
          <w:rPr>
            <w:rFonts w:eastAsiaTheme="minorEastAsia"/>
            <w:lang w:val="en-US"/>
          </w:rPr>
          <m:t>∈</m:t>
        </m:r>
        <m:sSub>
          <m:sSubPr>
            <m:ctrlPr>
              <w:rPr>
                <w:rFonts w:ascii="Cambria Math" w:eastAsia="Cambria Math" w:hAnsi="Cambria Math"/>
                <w:i/>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(j</m:t>
        </m:r>
        <m:r>
          <w:rPr>
            <w:rFonts w:eastAsiaTheme="minorEastAsia"/>
            <w:lang w:val="en-US"/>
          </w:rPr>
          <m:t>)</m:t>
        </m:r>
      </m:oMath>
      <w:r w:rsidR="007419CB">
        <w:rPr>
          <w:rFonts w:eastAsiaTheme="minorEastAsia"/>
          <w:lang w:val="en-US"/>
        </w:rPr>
        <w:t xml:space="preserve"> stands at a distance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m:t>
            </m:r>
          </m:sub>
        </m:sSub>
        <m:r>
          <w:rPr>
            <w:rFonts w:ascii="Cambria Math" w:hAnsi="Cambria Math"/>
            <w:lang w:val="en-US"/>
          </w:rPr>
          <m:t>(l)</m:t>
        </m:r>
      </m:oMath>
      <w:r w:rsidR="007419CB">
        <w:rPr>
          <w:rFonts w:eastAsiaTheme="minorEastAsia"/>
          <w:lang w:val="en-US"/>
        </w:rPr>
        <w:t xml:space="preserve"> of </w:t>
      </w:r>
      <m:oMath>
        <m:r>
          <w:rPr>
            <w:rFonts w:ascii="Cambria Math" w:eastAsiaTheme="minorEastAsia" w:hAnsi="Cambria Math"/>
            <w:lang w:val="en-US"/>
          </w:rPr>
          <m:t>j</m:t>
        </m:r>
      </m:oMath>
      <w:r w:rsidR="007419CB" w:rsidRPr="000A4838">
        <w:rPr>
          <w:rFonts w:eastAsiaTheme="minorEastAsia"/>
          <w:lang w:val="en-US"/>
        </w:rPr>
        <w:t xml:space="preserve">. </w:t>
      </w:r>
    </w:p>
    <w:p w:rsidR="007419CB" w:rsidRPr="000A4838" w:rsidRDefault="007419CB" w:rsidP="00F949EF">
      <w:pPr>
        <w:pStyle w:val="Paragraphedeliste"/>
        <w:numPr>
          <w:ilvl w:val="0"/>
          <w:numId w:val="10"/>
        </w:numPr>
        <w:spacing w:after="160" w:line="480" w:lineRule="auto"/>
        <w:contextualSpacing w:val="0"/>
        <w:rPr>
          <w:rFonts w:eastAsiaTheme="minorEastAsia"/>
          <w:lang w:val="en-US"/>
        </w:rPr>
      </w:pPr>
      <w:r w:rsidRPr="000A4838">
        <w:rPr>
          <w:rFonts w:eastAsiaTheme="minorEastAsia"/>
          <w:lang w:val="en-US"/>
        </w:rPr>
        <w:t>All this allows to define:</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CC139D" w:rsidP="0021751D">
            <w:pPr>
              <w:spacing w:after="160" w:line="480" w:lineRule="auto"/>
              <w:rPr>
                <w:lang w:val="en-US"/>
              </w:rPr>
            </w:pPr>
            <m:oMathPara>
              <m:oMath>
                <m:sSub>
                  <m:sSubPr>
                    <m:ctrlPr>
                      <w:rPr>
                        <w:rFonts w:ascii="Cambria Math" w:hAnsi="Cambria Math"/>
                        <w:i/>
                        <w:lang w:val="en-US"/>
                      </w:rPr>
                    </m:ctrlPr>
                  </m:sSubPr>
                  <m:e>
                    <m:r>
                      <w:rPr>
                        <w:rFonts w:ascii="Cambria Math" w:hAnsi="Cambria Math"/>
                        <w:lang w:val="en-US"/>
                      </w:rPr>
                      <m:t>LRD</m:t>
                    </m:r>
                  </m:e>
                  <m:sub>
                    <m:r>
                      <w:rPr>
                        <w:rFonts w:ascii="Cambria Math" w:hAnsi="Cambria Math"/>
                        <w:lang w:val="en-US"/>
                      </w:rPr>
                      <m:t>k</m:t>
                    </m:r>
                  </m:sub>
                </m:sSub>
                <m:r>
                  <w:rPr>
                    <w:rFonts w:ascii="Cambria Math" w:hAnsi="Cambria Math"/>
                    <w:lang w:val="en-US"/>
                  </w:rPr>
                  <m:t>(j)=</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d>
                              <m:dPr>
                                <m:begChr m:val="|"/>
                                <m:endChr m:val="|"/>
                                <m:ctrlPr>
                                  <w:rPr>
                                    <w:rFonts w:ascii="Cambria Math" w:hAnsi="Cambria Math"/>
                                    <w:i/>
                                    <w:lang w:val="en-US"/>
                                  </w:rPr>
                                </m:ctrlPr>
                              </m:dPr>
                              <m:e>
                                <m:sSub>
                                  <m:sSubPr>
                                    <m:ctrlPr>
                                      <w:rPr>
                                        <w:rFonts w:ascii="Cambria Math" w:hAnsi="Cambria Math"/>
                                        <w:i/>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(j)</m:t>
                                </m:r>
                              </m:e>
                            </m:d>
                          </m:den>
                        </m:f>
                        <m:nary>
                          <m:naryPr>
                            <m:chr m:val="∑"/>
                            <m:limLoc m:val="undOvr"/>
                            <m:supHide m:val="1"/>
                            <m:ctrlPr>
                              <w:rPr>
                                <w:rFonts w:ascii="Cambria Math" w:hAnsi="Cambria Math"/>
                                <w:i/>
                                <w:lang w:val="en-US"/>
                              </w:rPr>
                            </m:ctrlPr>
                          </m:naryPr>
                          <m:sub>
                            <m:r>
                              <w:rPr>
                                <w:rFonts w:ascii="Cambria Math" w:hAnsi="Cambria Math"/>
                                <w:lang w:val="en-US"/>
                              </w:rPr>
                              <m:t>l∈</m:t>
                            </m:r>
                            <m:sSub>
                              <m:sSubPr>
                                <m:ctrlPr>
                                  <w:rPr>
                                    <w:rFonts w:ascii="Cambria Math" w:hAnsi="Cambria Math"/>
                                    <w:i/>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(j)</m:t>
                            </m:r>
                          </m:sub>
                          <m:sup/>
                          <m:e>
                            <m:sSub>
                              <m:sSubPr>
                                <m:ctrlPr>
                                  <w:rPr>
                                    <w:rFonts w:ascii="Cambria Math" w:hAnsi="Cambria Math"/>
                                    <w:i/>
                                    <w:lang w:val="en-US"/>
                                  </w:rPr>
                                </m:ctrlPr>
                              </m:sSubPr>
                              <m:e>
                                <m:r>
                                  <m:rPr>
                                    <m:sty m:val="p"/>
                                  </m:rPr>
                                  <w:rPr>
                                    <w:rFonts w:ascii="Cambria Math" w:hAnsi="Cambria Math"/>
                                    <w:lang w:val="en-US"/>
                                  </w:rPr>
                                  <m:t>reach_dist</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j,l</m:t>
                                </m:r>
                              </m:e>
                            </m:d>
                          </m:e>
                        </m:nary>
                      </m:e>
                    </m:d>
                  </m:e>
                  <m:sup>
                    <m:r>
                      <w:rPr>
                        <w:rFonts w:ascii="Cambria Math" w:hAnsi="Cambria Math"/>
                        <w:lang w:val="en-US"/>
                      </w:rPr>
                      <m:t>-1</m:t>
                    </m:r>
                  </m:sup>
                </m:sSup>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Default="007419CB" w:rsidP="0021751D">
      <w:pPr>
        <w:spacing w:after="160" w:line="480" w:lineRule="auto"/>
        <w:rPr>
          <w:rFonts w:eastAsiaTheme="minorEastAsia"/>
          <w:lang w:val="en-US"/>
        </w:rPr>
      </w:pPr>
      <w:r w:rsidRPr="000A4838">
        <w:rPr>
          <w:rFonts w:eastAsiaTheme="minorEastAsia"/>
          <w:lang w:val="en-US"/>
        </w:rPr>
        <w:t xml:space="preserve">If </w:t>
      </w:r>
      <m:oMath>
        <m:r>
          <w:rPr>
            <w:rFonts w:eastAsiaTheme="minorEastAsia"/>
            <w:lang w:val="en-US"/>
          </w:rPr>
          <m:t>j∈</m:t>
        </m:r>
        <m:sSub>
          <m:sSubPr>
            <m:ctrlPr>
              <w:rPr>
                <w:rFonts w:ascii="Cambria Math" w:hAnsi="Cambria Math" w:cstheme="minorBidi"/>
                <w:i/>
                <w:sz w:val="22"/>
                <w:szCs w:val="22"/>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(l</m:t>
        </m:r>
        <m:r>
          <w:rPr>
            <w:rFonts w:eastAsiaTheme="minorEastAsia"/>
            <w:lang w:val="en-US"/>
          </w:rPr>
          <m:t>)</m:t>
        </m:r>
      </m:oMath>
      <w:r w:rsidRPr="000A4838">
        <w:rPr>
          <w:rFonts w:eastAsiaTheme="minorEastAsia"/>
          <w:lang w:val="en-US"/>
        </w:rPr>
        <w:t>,</w:t>
      </w:r>
      <w:r>
        <w:rPr>
          <w:rFonts w:eastAsiaTheme="minorEastAsia"/>
          <w:lang w:val="en-US"/>
        </w:rPr>
        <w:t xml:space="preserve"> </w:t>
      </w:r>
      <m:oMath>
        <m:sSub>
          <m:sSubPr>
            <m:ctrlPr>
              <w:rPr>
                <w:rFonts w:ascii="Cambria Math" w:hAnsi="Cambria Math"/>
                <w:i/>
                <w:lang w:val="en-US"/>
              </w:rPr>
            </m:ctrlPr>
          </m:sSubPr>
          <m:e>
            <m:r>
              <m:rPr>
                <m:sty m:val="p"/>
              </m:rPr>
              <w:rPr>
                <w:rFonts w:ascii="Cambria Math" w:hAnsi="Cambria Math"/>
                <w:lang w:val="en-US"/>
              </w:rPr>
              <m:t>reach_dist</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j,l</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m:t>
            </m:r>
          </m:sub>
        </m:sSub>
        <m:r>
          <w:rPr>
            <w:rFonts w:ascii="Cambria Math" w:hAnsi="Cambria Math"/>
            <w:lang w:val="en-US"/>
          </w:rPr>
          <m:t>(l)</m:t>
        </m:r>
      </m:oMath>
      <w:r w:rsidRPr="000A4838">
        <w:rPr>
          <w:rFonts w:eastAsiaTheme="minorEastAsia"/>
          <w:lang w:val="en-US"/>
        </w:rPr>
        <w:t xml:space="preserve">, if </w:t>
      </w:r>
      <m:oMath>
        <m:r>
          <w:rPr>
            <w:rFonts w:eastAsiaTheme="minorEastAsia"/>
            <w:lang w:val="en-US"/>
          </w:rPr>
          <m:t>j∉</m:t>
        </m:r>
        <m:sSub>
          <m:sSubPr>
            <m:ctrlPr>
              <w:rPr>
                <w:rFonts w:ascii="Cambria Math" w:hAnsi="Cambria Math" w:cstheme="minorBidi"/>
                <w:i/>
                <w:sz w:val="22"/>
                <w:szCs w:val="22"/>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(l</m:t>
        </m:r>
        <m:r>
          <w:rPr>
            <w:rFonts w:eastAsiaTheme="minorEastAsia"/>
            <w:lang w:val="en-US"/>
          </w:rPr>
          <m:t>)</m:t>
        </m:r>
      </m:oMath>
      <w:r w:rsidRPr="000A4838">
        <w:rPr>
          <w:rFonts w:eastAsiaTheme="minorEastAsia"/>
          <w:lang w:val="en-US"/>
        </w:rPr>
        <w:t>,</w:t>
      </w:r>
      <w:r>
        <w:rPr>
          <w:rFonts w:eastAsiaTheme="minorEastAsia"/>
          <w:lang w:val="en-US"/>
        </w:rPr>
        <w:t xml:space="preserve"> </w:t>
      </w:r>
      <m:oMath>
        <m:sSub>
          <m:sSubPr>
            <m:ctrlPr>
              <w:rPr>
                <w:rFonts w:ascii="Cambria Math" w:hAnsi="Cambria Math"/>
                <w:i/>
                <w:lang w:val="en-US"/>
              </w:rPr>
            </m:ctrlPr>
          </m:sSubPr>
          <m:e>
            <m:r>
              <m:rPr>
                <m:sty m:val="p"/>
              </m:rPr>
              <w:rPr>
                <w:rFonts w:ascii="Cambria Math" w:hAnsi="Cambria Math"/>
                <w:lang w:val="en-US"/>
              </w:rPr>
              <m:t>reach_dist</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j,l</m:t>
            </m:r>
          </m:e>
        </m:d>
        <m:r>
          <w:rPr>
            <w:rFonts w:ascii="Cambria Math" w:hAnsi="Cambria Math"/>
            <w:lang w:val="en-US"/>
          </w:rPr>
          <m:t>= d</m:t>
        </m:r>
        <m:d>
          <m:dPr>
            <m:ctrlPr>
              <w:rPr>
                <w:rFonts w:ascii="Cambria Math" w:eastAsia="Cambria Math" w:hAnsi="Cambria Math"/>
                <w:i/>
                <w:lang w:val="en-US"/>
              </w:rPr>
            </m:ctrlPr>
          </m:dPr>
          <m:e>
            <m:r>
              <w:rPr>
                <w:rFonts w:ascii="Cambria Math" w:hAnsi="Cambria Math"/>
                <w:lang w:val="en-US"/>
              </w:rPr>
              <m:t>j,l</m:t>
            </m:r>
          </m:e>
        </m:d>
      </m:oMath>
      <w:r w:rsidRPr="000A4838">
        <w:rPr>
          <w:rFonts w:eastAsiaTheme="minorEastAsia"/>
          <w:lang w:val="en-US"/>
        </w:rPr>
        <w:t>. I</w:t>
      </w:r>
      <w:proofErr w:type="spellStart"/>
      <w:r w:rsidRPr="000A4838">
        <w:rPr>
          <w:lang w:val="en-US"/>
        </w:rPr>
        <w:t>n</w:t>
      </w:r>
      <w:proofErr w:type="spellEnd"/>
      <w:r w:rsidRPr="000A4838">
        <w:rPr>
          <w:lang w:val="en-US"/>
        </w:rPr>
        <w:t xml:space="preserve"> other words, points </w:t>
      </w:r>
      <m:oMath>
        <m:r>
          <w:rPr>
            <w:rFonts w:ascii="Cambria Math" w:hAnsi="Cambria Math"/>
            <w:lang w:val="en-US"/>
          </w:rPr>
          <m:t>j</m:t>
        </m:r>
      </m:oMath>
      <w:r w:rsidRPr="000A4838">
        <w:rPr>
          <w:lang w:val="en-US"/>
        </w:rPr>
        <w:t xml:space="preserve"> surrounded by </w:t>
      </w:r>
      <w:r w:rsidRPr="000A4838">
        <w:rPr>
          <w:i/>
          <w:iCs/>
          <w:lang w:val="en-US"/>
        </w:rPr>
        <w:t>closely packed</w:t>
      </w:r>
      <w:r w:rsidRPr="000A4838">
        <w:rPr>
          <w:lang w:val="en-US"/>
        </w:rPr>
        <w:t xml:space="preserve"> neighbors </w:t>
      </w:r>
      <m:oMath>
        <m:r>
          <w:rPr>
            <w:rFonts w:ascii="Cambria Math" w:hAnsi="Cambria Math"/>
            <w:lang w:val="en-US"/>
          </w:rPr>
          <m:t>l</m:t>
        </m:r>
      </m:oMath>
      <w:r w:rsidRPr="000A4838">
        <w:rPr>
          <w:lang w:val="en-US"/>
        </w:rPr>
        <w:t xml:space="preserve"> often have a </w:t>
      </w:r>
      <m:oMath>
        <m:sSub>
          <m:sSubPr>
            <m:ctrlPr>
              <w:rPr>
                <w:rFonts w:ascii="Cambria Math" w:hAnsi="Cambria Math"/>
                <w:i/>
                <w:lang w:val="en-US"/>
              </w:rPr>
            </m:ctrlPr>
          </m:sSubPr>
          <m:e>
            <m:r>
              <m:rPr>
                <m:sty m:val="p"/>
              </m:rPr>
              <w:rPr>
                <w:rFonts w:ascii="Cambria Math" w:hAnsi="Cambria Math"/>
                <w:lang w:val="en-US"/>
              </w:rPr>
              <m:t>reach_dist</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j,l</m:t>
            </m:r>
          </m:e>
        </m:d>
        <m:r>
          <w:rPr>
            <w:rFonts w:ascii="Cambria Math" w:hAnsi="Cambria Math"/>
            <w:lang w:val="en-US"/>
          </w:rPr>
          <m:t>= d</m:t>
        </m:r>
        <m:d>
          <m:dPr>
            <m:ctrlPr>
              <w:rPr>
                <w:rFonts w:ascii="Cambria Math" w:eastAsia="Cambria Math" w:hAnsi="Cambria Math"/>
                <w:i/>
                <w:lang w:val="en-US"/>
              </w:rPr>
            </m:ctrlPr>
          </m:dPr>
          <m:e>
            <m:r>
              <w:rPr>
                <w:rFonts w:ascii="Cambria Math" w:hAnsi="Cambria Math"/>
                <w:lang w:val="en-US"/>
              </w:rPr>
              <m:t>j,l</m:t>
            </m:r>
          </m:e>
        </m:d>
      </m:oMath>
      <w:r w:rsidRPr="000A4838">
        <w:rPr>
          <w:rFonts w:eastAsiaTheme="minorEastAsia"/>
          <w:lang w:val="en-US"/>
        </w:rPr>
        <w:t xml:space="preserve">, and therefore </w:t>
      </w:r>
      <m:oMath>
        <m:sSub>
          <m:sSubPr>
            <m:ctrlPr>
              <w:rPr>
                <w:rFonts w:ascii="Cambria Math" w:eastAsia="Cambria Math" w:hAnsi="Cambria Math"/>
                <w:i/>
                <w:lang w:val="en-US"/>
              </w:rPr>
            </m:ctrlPr>
          </m:sSubPr>
          <m:e>
            <m:r>
              <w:rPr>
                <w:rFonts w:ascii="Cambria Math" w:eastAsia="Cambria Math" w:hAnsi="Cambria Math"/>
                <w:lang w:val="en-US"/>
              </w:rPr>
              <m:t>LRD</m:t>
            </m:r>
          </m:e>
          <m:sub>
            <m:r>
              <w:rPr>
                <w:rFonts w:ascii="Cambria Math" w:eastAsia="Cambria Math" w:hAnsi="Cambria Math"/>
                <w:lang w:val="en-US"/>
              </w:rPr>
              <m:t>k</m:t>
            </m:r>
          </m:sub>
        </m:sSub>
        <m:r>
          <w:rPr>
            <w:rFonts w:ascii="Cambria Math" w:eastAsia="Cambria Math" w:hAnsi="Cambria Math"/>
            <w:lang w:val="en-US"/>
          </w:rPr>
          <m:t>(j)≈</m:t>
        </m:r>
        <m:f>
          <m:fPr>
            <m:type m:val="lin"/>
            <m:ctrlPr>
              <w:rPr>
                <w:rFonts w:ascii="Cambria Math" w:eastAsia="Cambria Math" w:hAnsi="Cambria Math"/>
                <w:i/>
                <w:lang w:val="en-US"/>
              </w:rPr>
            </m:ctrlPr>
          </m:fPr>
          <m:num>
            <m:r>
              <w:rPr>
                <w:rFonts w:ascii="Cambria Math" w:eastAsia="Cambria Math" w:hAnsi="Cambria Math"/>
                <w:lang w:val="en-US"/>
              </w:rPr>
              <m:t>1</m:t>
            </m:r>
          </m:num>
          <m:den>
            <m:sSub>
              <m:sSubPr>
                <m:ctrlPr>
                  <w:rPr>
                    <w:rFonts w:ascii="Cambria Math" w:eastAsia="Cambria Math" w:hAnsi="Cambria Math"/>
                    <w:i/>
                    <w:lang w:val="en-US"/>
                  </w:rPr>
                </m:ctrlPr>
              </m:sSubPr>
              <m:e>
                <m:acc>
                  <m:accPr>
                    <m:chr m:val="̅"/>
                    <m:ctrlPr>
                      <w:rPr>
                        <w:rFonts w:ascii="Cambria Math" w:eastAsia="Cambria Math" w:hAnsi="Cambria Math"/>
                        <w:i/>
                        <w:lang w:val="en-US"/>
                      </w:rPr>
                    </m:ctrlPr>
                  </m:accPr>
                  <m:e>
                    <m:r>
                      <w:rPr>
                        <w:rFonts w:ascii="Cambria Math" w:eastAsia="Cambria Math" w:hAnsi="Cambria Math"/>
                        <w:lang w:val="en-US"/>
                      </w:rPr>
                      <m:t>d</m:t>
                    </m:r>
                    <m:d>
                      <m:dPr>
                        <m:ctrlPr>
                          <w:rPr>
                            <w:rFonts w:ascii="Cambria Math" w:eastAsia="Cambria Math" w:hAnsi="Cambria Math"/>
                            <w:i/>
                            <w:lang w:val="en-US"/>
                          </w:rPr>
                        </m:ctrlPr>
                      </m:dPr>
                      <m:e>
                        <m:r>
                          <w:rPr>
                            <w:rFonts w:ascii="Cambria Math" w:eastAsia="Cambria Math" w:hAnsi="Cambria Math"/>
                            <w:lang w:val="en-US"/>
                          </w:rPr>
                          <m:t>j,l</m:t>
                        </m:r>
                      </m:e>
                    </m:d>
                  </m:e>
                </m:acc>
              </m:e>
              <m:sub>
                <m:r>
                  <w:rPr>
                    <w:rFonts w:ascii="Cambria Math" w:eastAsia="Cambria Math" w:hAnsi="Cambria Math"/>
                    <w:lang w:val="en-US"/>
                  </w:rPr>
                  <m:t>l∈</m:t>
                </m:r>
                <m:sSub>
                  <m:sSubPr>
                    <m:ctrlPr>
                      <w:rPr>
                        <w:rFonts w:ascii="Cambria Math" w:eastAsia="Cambria Math" w:hAnsi="Cambria Math"/>
                        <w:i/>
                        <w:lang w:val="en-US"/>
                      </w:rPr>
                    </m:ctrlPr>
                  </m:sSubPr>
                  <m:e>
                    <m:r>
                      <m:rPr>
                        <m:scr m:val="script"/>
                      </m:rPr>
                      <w:rPr>
                        <w:rFonts w:ascii="Cambria Math" w:eastAsia="Cambria Math" w:hAnsi="Cambria Math"/>
                        <w:lang w:val="en-US"/>
                      </w:rPr>
                      <m:t>N</m:t>
                    </m:r>
                  </m:e>
                  <m:sub>
                    <m:r>
                      <w:rPr>
                        <w:rFonts w:ascii="Cambria Math" w:eastAsia="Cambria Math" w:hAnsi="Cambria Math"/>
                        <w:lang w:val="en-US"/>
                      </w:rPr>
                      <m:t>k</m:t>
                    </m:r>
                  </m:sub>
                </m:sSub>
                <m:r>
                  <w:rPr>
                    <w:rFonts w:ascii="Cambria Math" w:eastAsia="Cambria Math" w:hAnsi="Cambria Math"/>
                    <w:lang w:val="en-US"/>
                  </w:rPr>
                  <m:t>(j)</m:t>
                </m:r>
              </m:sub>
            </m:sSub>
          </m:den>
        </m:f>
      </m:oMath>
      <w:r w:rsidRPr="000A4838">
        <w:rPr>
          <w:rFonts w:eastAsiaTheme="minorEastAsia"/>
          <w:lang w:val="en-US"/>
        </w:rPr>
        <w:t xml:space="preserve">, a high value, potentially infinite in case of duplicate points. On the contrary, </w:t>
      </w:r>
      <w:r w:rsidRPr="000A4838">
        <w:rPr>
          <w:lang w:val="en-US"/>
        </w:rPr>
        <w:t xml:space="preserve">points </w:t>
      </w:r>
      <m:oMath>
        <m:r>
          <w:rPr>
            <w:rFonts w:ascii="Cambria Math" w:hAnsi="Cambria Math"/>
            <w:lang w:val="en-US"/>
          </w:rPr>
          <m:t>j</m:t>
        </m:r>
      </m:oMath>
      <w:r w:rsidRPr="000A4838">
        <w:rPr>
          <w:lang w:val="en-US"/>
        </w:rPr>
        <w:t xml:space="preserve"> in sparse regions have </w:t>
      </w:r>
      <m:oMath>
        <m:sSub>
          <m:sSubPr>
            <m:ctrlPr>
              <w:rPr>
                <w:rFonts w:ascii="Cambria Math" w:eastAsia="Cambria Math" w:hAnsi="Cambria Math"/>
                <w:i/>
                <w:lang w:val="en-US"/>
              </w:rPr>
            </m:ctrlPr>
          </m:sSubPr>
          <m:e>
            <m:r>
              <w:rPr>
                <w:rFonts w:ascii="Cambria Math" w:eastAsia="Cambria Math" w:hAnsi="Cambria Math"/>
                <w:lang w:val="en-US"/>
              </w:rPr>
              <m:t>LRD</m:t>
            </m:r>
          </m:e>
          <m:sub>
            <m:r>
              <w:rPr>
                <w:rFonts w:ascii="Cambria Math" w:eastAsia="Cambria Math" w:hAnsi="Cambria Math"/>
                <w:lang w:val="en-US"/>
              </w:rPr>
              <m:t>k</m:t>
            </m:r>
          </m:sub>
        </m:sSub>
        <m:r>
          <w:rPr>
            <w:rFonts w:ascii="Cambria Math" w:eastAsia="Cambria Math" w:hAnsi="Cambria Math"/>
            <w:lang w:val="en-US"/>
          </w:rPr>
          <m:t>(j)≈</m:t>
        </m:r>
        <m:f>
          <m:fPr>
            <m:type m:val="lin"/>
            <m:ctrlPr>
              <w:rPr>
                <w:rFonts w:ascii="Cambria Math" w:eastAsia="Cambria Math" w:hAnsi="Cambria Math"/>
                <w:i/>
                <w:lang w:val="en-US"/>
              </w:rPr>
            </m:ctrlPr>
          </m:fPr>
          <m:num>
            <m:r>
              <w:rPr>
                <w:rFonts w:ascii="Cambria Math" w:eastAsia="Cambria Math" w:hAnsi="Cambria Math"/>
                <w:lang w:val="en-US"/>
              </w:rPr>
              <m:t>1</m:t>
            </m:r>
          </m:num>
          <m:den>
            <m:sSub>
              <m:sSubPr>
                <m:ctrlPr>
                  <w:rPr>
                    <w:rFonts w:ascii="Cambria Math" w:eastAsia="Cambria Math" w:hAnsi="Cambria Math"/>
                    <w:i/>
                    <w:lang w:val="en-US"/>
                  </w:rPr>
                </m:ctrlPr>
              </m:sSubPr>
              <m:e>
                <m:acc>
                  <m:accPr>
                    <m:chr m:val="̅"/>
                    <m:ctrlPr>
                      <w:rPr>
                        <w:rFonts w:ascii="Cambria Math" w:eastAsia="Cambria Math" w:hAnsi="Cambria Math"/>
                        <w:i/>
                        <w:lang w:val="en-US"/>
                      </w:rPr>
                    </m:ctrlPr>
                  </m:accPr>
                  <m:e>
                    <m:sSub>
                      <m:sSubPr>
                        <m:ctrlPr>
                          <w:rPr>
                            <w:rFonts w:ascii="Cambria Math" w:eastAsia="Cambria Math" w:hAnsi="Cambria Math"/>
                            <w:i/>
                            <w:lang w:val="en-US"/>
                          </w:rPr>
                        </m:ctrlPr>
                      </m:sSubPr>
                      <m:e>
                        <m:r>
                          <w:rPr>
                            <w:rFonts w:ascii="Cambria Math" w:eastAsia="Cambria Math" w:hAnsi="Cambria Math"/>
                            <w:lang w:val="en-US"/>
                          </w:rPr>
                          <m:t>d</m:t>
                        </m:r>
                      </m:e>
                      <m:sub>
                        <m:r>
                          <w:rPr>
                            <w:rFonts w:ascii="Cambria Math" w:eastAsia="Cambria Math" w:hAnsi="Cambria Math"/>
                            <w:lang w:val="en-US"/>
                          </w:rPr>
                          <m:t>k</m:t>
                        </m:r>
                      </m:sub>
                    </m:sSub>
                    <m:r>
                      <w:rPr>
                        <w:rFonts w:ascii="Cambria Math" w:eastAsia="Cambria Math" w:hAnsi="Cambria Math"/>
                        <w:lang w:val="en-US"/>
                      </w:rPr>
                      <m:t>(l)</m:t>
                    </m:r>
                  </m:e>
                </m:acc>
              </m:e>
              <m:sub>
                <m:r>
                  <w:rPr>
                    <w:rFonts w:ascii="Cambria Math" w:eastAsia="Cambria Math" w:hAnsi="Cambria Math"/>
                    <w:lang w:val="en-US"/>
                  </w:rPr>
                  <m:t>l∈</m:t>
                </m:r>
                <m:sSub>
                  <m:sSubPr>
                    <m:ctrlPr>
                      <w:rPr>
                        <w:rFonts w:ascii="Cambria Math" w:eastAsia="Cambria Math" w:hAnsi="Cambria Math"/>
                        <w:i/>
                        <w:lang w:val="en-US"/>
                      </w:rPr>
                    </m:ctrlPr>
                  </m:sSubPr>
                  <m:e>
                    <m:r>
                      <m:rPr>
                        <m:scr m:val="script"/>
                      </m:rPr>
                      <w:rPr>
                        <w:rFonts w:ascii="Cambria Math" w:eastAsia="Cambria Math" w:hAnsi="Cambria Math"/>
                        <w:lang w:val="en-US"/>
                      </w:rPr>
                      <m:t>N</m:t>
                    </m:r>
                  </m:e>
                  <m:sub>
                    <m:r>
                      <w:rPr>
                        <w:rFonts w:ascii="Cambria Math" w:eastAsia="Cambria Math" w:hAnsi="Cambria Math"/>
                        <w:lang w:val="en-US"/>
                      </w:rPr>
                      <m:t>k</m:t>
                    </m:r>
                  </m:sub>
                </m:sSub>
                <m:r>
                  <w:rPr>
                    <w:rFonts w:ascii="Cambria Math" w:eastAsia="Cambria Math" w:hAnsi="Cambria Math"/>
                    <w:lang w:val="en-US"/>
                  </w:rPr>
                  <m:t>(j)</m:t>
                </m:r>
              </m:sub>
            </m:sSub>
          </m:den>
        </m:f>
      </m:oMath>
      <w:r w:rsidRPr="000A4838">
        <w:rPr>
          <w:rFonts w:eastAsiaTheme="minorEastAsia"/>
          <w:lang w:val="en-US"/>
        </w:rPr>
        <w:t>, a (much) smaller value</w:t>
      </w:r>
      <w:r w:rsidRPr="000A4838">
        <w:rPr>
          <w:lang w:val="en-US"/>
        </w:rPr>
        <w:t xml:space="preserve">. The value of </w:t>
      </w:r>
      <m:oMath>
        <m:sSub>
          <m:sSubPr>
            <m:ctrlPr>
              <w:rPr>
                <w:rFonts w:ascii="Cambria Math" w:eastAsia="Cambria Math" w:hAnsi="Cambria Math"/>
                <w:i/>
                <w:lang w:val="en-US"/>
              </w:rPr>
            </m:ctrlPr>
          </m:sSubPr>
          <m:e>
            <m:r>
              <w:rPr>
                <w:rFonts w:ascii="Cambria Math" w:eastAsia="Cambria Math" w:hAnsi="Cambria Math"/>
                <w:lang w:val="en-US"/>
              </w:rPr>
              <m:t>LRD</m:t>
            </m:r>
          </m:e>
          <m:sub>
            <m:r>
              <w:rPr>
                <w:rFonts w:ascii="Cambria Math" w:eastAsia="Cambria Math" w:hAnsi="Cambria Math"/>
                <w:lang w:val="en-US"/>
              </w:rPr>
              <m:t>k</m:t>
            </m:r>
          </m:sub>
        </m:sSub>
        <m:r>
          <w:rPr>
            <w:rFonts w:ascii="Cambria Math" w:eastAsia="Cambria Math" w:hAnsi="Cambria Math"/>
            <w:lang w:val="en-US"/>
          </w:rPr>
          <m:t>(j)</m:t>
        </m:r>
      </m:oMath>
      <w:r w:rsidRPr="000A4838">
        <w:rPr>
          <w:rFonts w:eastAsiaTheme="minorEastAsia"/>
          <w:lang w:val="en-US"/>
        </w:rPr>
        <w:t xml:space="preserve"> reflects the lo</w:t>
      </w:r>
      <w:proofErr w:type="spellStart"/>
      <w:r w:rsidRPr="000A4838">
        <w:rPr>
          <w:rFonts w:eastAsiaTheme="minorEastAsia"/>
          <w:lang w:val="en-US"/>
        </w:rPr>
        <w:t>cal</w:t>
      </w:r>
      <w:proofErr w:type="spellEnd"/>
      <w:r w:rsidRPr="000A4838">
        <w:rPr>
          <w:rFonts w:eastAsiaTheme="minorEastAsia"/>
          <w:lang w:val="en-US"/>
        </w:rPr>
        <w:t xml:space="preserve"> density.</w:t>
      </w:r>
      <w:r>
        <w:rPr>
          <w:rFonts w:eastAsiaTheme="minorEastAsia"/>
          <w:lang w:val="en-US"/>
        </w:rPr>
        <w:t xml:space="preserve"> This is illustrated on </w:t>
      </w:r>
      <w:r w:rsidRPr="00611719">
        <w:rPr>
          <w:rFonts w:eastAsiaTheme="minorEastAsia"/>
          <w:lang w:val="en-US"/>
        </w:rPr>
        <w:fldChar w:fldCharType="begin"/>
      </w:r>
      <w:r w:rsidRPr="00611719">
        <w:rPr>
          <w:rFonts w:eastAsiaTheme="minorEastAsia"/>
          <w:lang w:val="en-US"/>
        </w:rPr>
        <w:instrText xml:space="preserve"> REF _Ref214209700 \h  \* MERGEFORMAT </w:instrText>
      </w:r>
      <w:r w:rsidRPr="00611719">
        <w:rPr>
          <w:rFonts w:eastAsiaTheme="minorEastAsia"/>
          <w:lang w:val="en-US"/>
        </w:rPr>
      </w:r>
      <w:r w:rsidRPr="00611719">
        <w:rPr>
          <w:rFonts w:eastAsiaTheme="minorEastAsia"/>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w:t>
      </w:r>
      <w:r w:rsidRPr="00611719">
        <w:rPr>
          <w:rFonts w:eastAsiaTheme="minorEastAsia"/>
          <w:lang w:val="en-US"/>
        </w:rPr>
        <w:fldChar w:fldCharType="end"/>
      </w:r>
      <w:r>
        <w:rPr>
          <w:rFonts w:eastAsiaTheme="minorEastAsia"/>
          <w:lang w:val="en-US"/>
        </w:rPr>
        <w:t>.</w:t>
      </w:r>
    </w:p>
    <w:p w:rsidR="007419CB" w:rsidRDefault="007419CB" w:rsidP="00A33BE8">
      <w:pPr>
        <w:keepNext/>
        <w:spacing w:after="160" w:line="480" w:lineRule="auto"/>
        <w:jc w:val="center"/>
      </w:pPr>
      <w:r>
        <w:rPr>
          <w:noProof/>
          <w:lang w:val="en-US"/>
        </w:rPr>
        <w:drawing>
          <wp:inline distT="0" distB="0" distL="0" distR="0" wp14:anchorId="53F2AF07" wp14:editId="203193FC">
            <wp:extent cx="3474720" cy="21336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2133600"/>
                    </a:xfrm>
                    <a:prstGeom prst="rect">
                      <a:avLst/>
                    </a:prstGeom>
                    <a:noFill/>
                  </pic:spPr>
                </pic:pic>
              </a:graphicData>
            </a:graphic>
          </wp:inline>
        </w:drawing>
      </w:r>
    </w:p>
    <w:p w:rsidR="007419CB" w:rsidRPr="006E131C" w:rsidRDefault="007419CB" w:rsidP="0021751D">
      <w:pPr>
        <w:pStyle w:val="Lgende"/>
        <w:spacing w:after="160" w:line="480" w:lineRule="auto"/>
        <w:rPr>
          <w:rFonts w:ascii="Arial" w:hAnsi="Arial" w:cs="Arial"/>
          <w:b/>
          <w:i w:val="0"/>
          <w:color w:val="auto"/>
          <w:sz w:val="20"/>
          <w:szCs w:val="20"/>
          <w:lang w:val="en-US"/>
        </w:rPr>
      </w:pPr>
      <w:bookmarkStart w:id="17" w:name="_Ref214209700"/>
      <w:r w:rsidRPr="006E131C">
        <w:rPr>
          <w:rFonts w:ascii="Arial" w:hAnsi="Arial" w:cs="Arial"/>
          <w:b/>
          <w:i w:val="0"/>
          <w:color w:val="auto"/>
          <w:sz w:val="20"/>
          <w:szCs w:val="20"/>
          <w:lang w:val="en-US"/>
        </w:rPr>
        <w:t xml:space="preserve">Figure </w:t>
      </w:r>
      <w:r w:rsidRPr="006E131C">
        <w:rPr>
          <w:rFonts w:ascii="Arial" w:hAnsi="Arial" w:cs="Arial"/>
          <w:b/>
          <w:i w:val="0"/>
          <w:color w:val="auto"/>
          <w:sz w:val="20"/>
          <w:szCs w:val="20"/>
        </w:rPr>
        <w:fldChar w:fldCharType="begin"/>
      </w:r>
      <w:r w:rsidRPr="006E131C">
        <w:rPr>
          <w:rFonts w:ascii="Arial" w:hAnsi="Arial" w:cs="Arial"/>
          <w:b/>
          <w:i w:val="0"/>
          <w:color w:val="auto"/>
          <w:sz w:val="20"/>
          <w:szCs w:val="20"/>
          <w:lang w:val="en-US"/>
        </w:rPr>
        <w:instrText xml:space="preserve"> SEQ Figure \* ARABIC </w:instrText>
      </w:r>
      <w:r w:rsidRPr="006E131C">
        <w:rPr>
          <w:rFonts w:ascii="Arial" w:hAnsi="Arial" w:cs="Arial"/>
          <w:b/>
          <w:i w:val="0"/>
          <w:color w:val="auto"/>
          <w:sz w:val="20"/>
          <w:szCs w:val="20"/>
        </w:rPr>
        <w:fldChar w:fldCharType="separate"/>
      </w:r>
      <w:r w:rsidR="00380C88">
        <w:rPr>
          <w:rFonts w:ascii="Arial" w:hAnsi="Arial" w:cs="Arial"/>
          <w:b/>
          <w:i w:val="0"/>
          <w:noProof/>
          <w:color w:val="auto"/>
          <w:sz w:val="20"/>
          <w:szCs w:val="20"/>
          <w:lang w:val="en-US"/>
        </w:rPr>
        <w:t>1</w:t>
      </w:r>
      <w:r w:rsidRPr="006E131C">
        <w:rPr>
          <w:rFonts w:ascii="Arial" w:hAnsi="Arial" w:cs="Arial"/>
          <w:b/>
          <w:i w:val="0"/>
          <w:color w:val="auto"/>
          <w:sz w:val="20"/>
          <w:szCs w:val="20"/>
        </w:rPr>
        <w:fldChar w:fldCharType="end"/>
      </w:r>
      <w:bookmarkEnd w:id="17"/>
      <w:r w:rsidRPr="006E131C">
        <w:rPr>
          <w:rFonts w:ascii="Arial" w:hAnsi="Arial" w:cs="Arial"/>
          <w:b/>
          <w:i w:val="0"/>
          <w:color w:val="auto"/>
          <w:sz w:val="20"/>
          <w:szCs w:val="20"/>
          <w:lang w:val="en-US"/>
        </w:rPr>
        <w:t>: Detecting an Outlier with Local Density Analysis</w:t>
      </w:r>
    </w:p>
    <w:p w:rsidR="007419CB" w:rsidRPr="000D4271" w:rsidRDefault="007419CB" w:rsidP="0021751D">
      <w:pPr>
        <w:spacing w:after="160" w:line="480" w:lineRule="auto"/>
        <w:rPr>
          <w:rFonts w:ascii="Arial" w:hAnsi="Arial" w:cs="Arial"/>
          <w:sz w:val="20"/>
          <w:szCs w:val="20"/>
          <w:lang w:val="en-US"/>
        </w:rPr>
      </w:pPr>
      <w:r w:rsidRPr="006E131C">
        <w:rPr>
          <w:rFonts w:ascii="Arial" w:hAnsi="Arial" w:cs="Arial"/>
          <w:sz w:val="20"/>
          <w:szCs w:val="20"/>
          <w:lang w:val="en-US"/>
        </w:rPr>
        <w:t>This fig</w:t>
      </w:r>
      <w:r>
        <w:rPr>
          <w:rFonts w:ascii="Arial" w:hAnsi="Arial" w:cs="Arial"/>
          <w:sz w:val="20"/>
          <w:szCs w:val="20"/>
          <w:lang w:val="en-US"/>
        </w:rPr>
        <w:t xml:space="preserve">ure features a point </w:t>
      </w:r>
      <m:oMath>
        <m:r>
          <w:rPr>
            <w:rFonts w:ascii="Cambria Math" w:hAnsi="Cambria Math" w:cs="Arial"/>
            <w:sz w:val="20"/>
            <w:szCs w:val="20"/>
            <w:lang w:val="en-US"/>
          </w:rPr>
          <m:t>j</m:t>
        </m:r>
      </m:oMath>
      <w:r>
        <w:rPr>
          <w:rFonts w:ascii="Arial" w:hAnsi="Arial" w:cs="Arial"/>
          <w:sz w:val="20"/>
          <w:szCs w:val="20"/>
          <w:lang w:val="en-US"/>
        </w:rPr>
        <w:t xml:space="preserve"> associated to a low local </w:t>
      </w:r>
      <w:r w:rsidRPr="00724E48">
        <w:rPr>
          <w:rFonts w:ascii="Arial" w:hAnsi="Arial" w:cs="Arial"/>
          <w:sz w:val="20"/>
          <w:szCs w:val="20"/>
          <w:lang w:val="en-US"/>
        </w:rPr>
        <w:t xml:space="preserve">density, with neighbors experiencing a higher density (or even clusters, marked by a different color for each). As a consequence, most </w:t>
      </w:r>
      <m:oMath>
        <m:r>
          <w:rPr>
            <w:rFonts w:ascii="Cambria Math" w:hAnsi="Cambria Math" w:cs="Arial"/>
            <w:sz w:val="20"/>
            <w:szCs w:val="20"/>
            <w:lang w:val="en-US"/>
          </w:rPr>
          <m:t>k</m:t>
        </m:r>
      </m:oMath>
      <w:r w:rsidRPr="00724E48">
        <w:rPr>
          <w:rFonts w:ascii="Arial" w:hAnsi="Arial" w:cs="Arial"/>
          <w:sz w:val="20"/>
          <w:szCs w:val="20"/>
          <w:lang w:val="en-US"/>
        </w:rPr>
        <w:t xml:space="preserve">-neighbors </w:t>
      </w:r>
      <m:oMath>
        <m:r>
          <w:rPr>
            <w:rFonts w:ascii="Cambria Math" w:hAnsi="Cambria Math" w:cs="Arial"/>
            <w:sz w:val="20"/>
            <w:szCs w:val="20"/>
            <w:lang w:val="en-US"/>
          </w:rPr>
          <m:t>l</m:t>
        </m:r>
      </m:oMath>
      <w:r w:rsidRPr="00724E48">
        <w:rPr>
          <w:rFonts w:ascii="Arial" w:hAnsi="Arial" w:cs="Arial"/>
          <w:sz w:val="20"/>
          <w:szCs w:val="20"/>
          <w:lang w:val="en-US"/>
        </w:rPr>
        <w:t xml:space="preserve"> of </w:t>
      </w:r>
      <m:oMath>
        <m:r>
          <w:rPr>
            <w:rFonts w:ascii="Cambria Math" w:hAnsi="Cambria Math" w:cs="Arial"/>
            <w:sz w:val="20"/>
            <w:szCs w:val="20"/>
            <w:lang w:val="en-US"/>
          </w:rPr>
          <m:t>j</m:t>
        </m:r>
      </m:oMath>
      <w:r w:rsidRPr="00724E48">
        <w:rPr>
          <w:rFonts w:ascii="Arial" w:eastAsiaTheme="minorEastAsia" w:hAnsi="Arial" w:cs="Arial"/>
          <w:sz w:val="20"/>
          <w:szCs w:val="20"/>
          <w:lang w:val="en-US"/>
        </w:rPr>
        <w:t xml:space="preserve"> do not have </w:t>
      </w:r>
      <m:oMath>
        <m:r>
          <w:rPr>
            <w:rFonts w:ascii="Cambria Math" w:hAnsi="Cambria Math" w:cs="Arial"/>
            <w:sz w:val="20"/>
            <w:szCs w:val="20"/>
            <w:lang w:val="en-US"/>
          </w:rPr>
          <m:t>j</m:t>
        </m:r>
      </m:oMath>
      <w:r w:rsidRPr="00724E48">
        <w:rPr>
          <w:rFonts w:ascii="Arial" w:eastAsiaTheme="minorEastAsia" w:hAnsi="Arial" w:cs="Arial"/>
          <w:sz w:val="20"/>
          <w:szCs w:val="20"/>
          <w:lang w:val="en-US"/>
        </w:rPr>
        <w:t xml:space="preserve"> among their </w:t>
      </w:r>
      <m:oMath>
        <m:r>
          <w:rPr>
            <w:rFonts w:ascii="Cambria Math" w:hAnsi="Cambria Math" w:cs="Arial"/>
            <w:sz w:val="20"/>
            <w:szCs w:val="20"/>
            <w:lang w:val="en-US"/>
          </w:rPr>
          <m:t>k</m:t>
        </m:r>
      </m:oMath>
      <w:r w:rsidRPr="00724E48">
        <w:rPr>
          <w:rFonts w:ascii="Arial" w:hAnsi="Arial" w:cs="Arial"/>
          <w:sz w:val="20"/>
          <w:szCs w:val="20"/>
          <w:lang w:val="en-US"/>
        </w:rPr>
        <w:t xml:space="preserve">-neighbors, i.e. most of the time </w:t>
      </w:r>
      <m:oMath>
        <m:sSub>
          <m:sSubPr>
            <m:ctrlPr>
              <w:rPr>
                <w:rFonts w:ascii="Cambria Math" w:hAnsi="Cambria Math"/>
                <w:i/>
                <w:sz w:val="20"/>
                <w:szCs w:val="20"/>
                <w:lang w:val="en-US"/>
              </w:rPr>
            </m:ctrlPr>
          </m:sSubPr>
          <m:e>
            <m:r>
              <m:rPr>
                <m:sty m:val="p"/>
              </m:rPr>
              <w:rPr>
                <w:rFonts w:ascii="Cambria Math" w:hAnsi="Cambria Math"/>
                <w:sz w:val="20"/>
                <w:szCs w:val="20"/>
                <w:lang w:val="en-US"/>
              </w:rPr>
              <m:t>reach_dist</m:t>
            </m:r>
          </m:e>
          <m:sub>
            <m:r>
              <w:rPr>
                <w:rFonts w:ascii="Cambria Math" w:hAnsi="Cambria Math"/>
                <w:sz w:val="20"/>
                <w:szCs w:val="20"/>
                <w:lang w:val="en-US"/>
              </w:rPr>
              <m:t>k</m:t>
            </m:r>
          </m:sub>
        </m:sSub>
        <m:d>
          <m:dPr>
            <m:ctrlPr>
              <w:rPr>
                <w:rFonts w:ascii="Cambria Math" w:hAnsi="Cambria Math"/>
                <w:i/>
                <w:sz w:val="20"/>
                <w:szCs w:val="20"/>
                <w:lang w:val="en-US"/>
              </w:rPr>
            </m:ctrlPr>
          </m:dPr>
          <m:e>
            <m:r>
              <w:rPr>
                <w:rFonts w:ascii="Cambria Math" w:hAnsi="Cambria Math"/>
                <w:sz w:val="20"/>
                <w:szCs w:val="20"/>
                <w:lang w:val="en-US"/>
              </w:rPr>
              <m:t>j,l</m:t>
            </m:r>
          </m:e>
        </m:d>
        <m:r>
          <w:rPr>
            <w:rFonts w:ascii="Cambria Math" w:hAnsi="Cambria Math"/>
            <w:sz w:val="20"/>
            <w:szCs w:val="20"/>
            <w:lang w:val="en-US"/>
          </w:rPr>
          <m:t>= d</m:t>
        </m:r>
        <m:d>
          <m:dPr>
            <m:ctrlPr>
              <w:rPr>
                <w:rFonts w:ascii="Cambria Math" w:eastAsia="Cambria Math" w:hAnsi="Cambria Math"/>
                <w:i/>
                <w:sz w:val="20"/>
                <w:szCs w:val="20"/>
                <w:lang w:val="en-US"/>
              </w:rPr>
            </m:ctrlPr>
          </m:dPr>
          <m:e>
            <m:r>
              <w:rPr>
                <w:rFonts w:ascii="Cambria Math" w:hAnsi="Cambria Math"/>
                <w:sz w:val="20"/>
                <w:szCs w:val="20"/>
                <w:lang w:val="en-US"/>
              </w:rPr>
              <m:t>j,l</m:t>
            </m:r>
          </m:e>
        </m:d>
      </m:oMath>
      <w:r w:rsidRPr="00724E48">
        <w:rPr>
          <w:rFonts w:ascii="Arial" w:eastAsiaTheme="minorEastAsia" w:hAnsi="Arial" w:cs="Arial"/>
          <w:sz w:val="20"/>
          <w:szCs w:val="20"/>
          <w:lang w:val="en-US"/>
        </w:rPr>
        <w:t xml:space="preserve"> with </w:t>
      </w:r>
      <m:oMath>
        <m:r>
          <w:rPr>
            <w:rFonts w:ascii="Cambria Math" w:hAnsi="Cambria Math"/>
            <w:sz w:val="20"/>
            <w:szCs w:val="20"/>
            <w:lang w:val="en-US"/>
          </w:rPr>
          <m:t>d</m:t>
        </m:r>
        <m:d>
          <m:dPr>
            <m:ctrlPr>
              <w:rPr>
                <w:rFonts w:ascii="Cambria Math" w:eastAsia="Cambria Math" w:hAnsi="Cambria Math"/>
                <w:i/>
                <w:sz w:val="20"/>
                <w:szCs w:val="20"/>
                <w:lang w:val="en-US"/>
              </w:rPr>
            </m:ctrlPr>
          </m:dPr>
          <m:e>
            <m:r>
              <w:rPr>
                <w:rFonts w:ascii="Cambria Math" w:hAnsi="Cambria Math"/>
                <w:sz w:val="20"/>
                <w:szCs w:val="20"/>
                <w:lang w:val="en-US"/>
              </w:rPr>
              <m:t>j,l</m:t>
            </m:r>
          </m:e>
        </m:d>
      </m:oMath>
      <w:r w:rsidRPr="00724E48">
        <w:rPr>
          <w:rFonts w:ascii="Arial" w:eastAsiaTheme="minorEastAsia" w:hAnsi="Arial" w:cs="Arial"/>
          <w:sz w:val="20"/>
          <w:szCs w:val="20"/>
          <w:lang w:val="en-US"/>
        </w:rPr>
        <w:t xml:space="preserve"> significant</w:t>
      </w:r>
      <w:proofErr w:type="spellStart"/>
      <w:r w:rsidRPr="00724E48">
        <w:rPr>
          <w:rFonts w:ascii="Arial" w:eastAsiaTheme="minorEastAsia" w:hAnsi="Arial" w:cs="Arial"/>
          <w:sz w:val="20"/>
          <w:szCs w:val="20"/>
          <w:lang w:val="en-US"/>
        </w:rPr>
        <w:t>ly</w:t>
      </w:r>
      <w:proofErr w:type="spellEnd"/>
      <w:r w:rsidRPr="00724E48">
        <w:rPr>
          <w:rFonts w:ascii="Arial" w:eastAsiaTheme="minorEastAsia" w:hAnsi="Arial" w:cs="Arial"/>
          <w:sz w:val="20"/>
          <w:szCs w:val="20"/>
          <w:lang w:val="en-US"/>
        </w:rPr>
        <w:t xml:space="preserve"> bigger than </w:t>
      </w:r>
      <m:oMath>
        <m:sSub>
          <m:sSubPr>
            <m:ctrlPr>
              <w:rPr>
                <w:rFonts w:ascii="Cambria Math" w:eastAsiaTheme="minorEastAsia" w:hAnsi="Cambria Math"/>
                <w:sz w:val="20"/>
                <w:szCs w:val="20"/>
                <w:lang w:val="en-US"/>
              </w:rPr>
            </m:ctrlPr>
          </m:sSubPr>
          <m:e>
            <m:r>
              <w:rPr>
                <w:rFonts w:ascii="Cambria Math" w:eastAsiaTheme="minorEastAsia" w:hAnsi="Cambria Math"/>
                <w:sz w:val="20"/>
                <w:szCs w:val="20"/>
                <w:lang w:val="en-US"/>
              </w:rPr>
              <m:t>d</m:t>
            </m:r>
          </m:e>
          <m:sub>
            <m:r>
              <w:rPr>
                <w:rFonts w:ascii="Cambria Math" w:eastAsiaTheme="minorEastAsia" w:hAnsi="Cambria Math"/>
                <w:sz w:val="20"/>
                <w:szCs w:val="20"/>
                <w:lang w:val="en-US"/>
              </w:rPr>
              <m:t>k</m:t>
            </m:r>
          </m:sub>
        </m:sSub>
        <m:r>
          <m:rPr>
            <m:sty m:val="p"/>
          </m:rPr>
          <w:rPr>
            <w:rFonts w:ascii="Cambria Math" w:eastAsiaTheme="minorEastAsia" w:hAnsi="Cambria Math"/>
            <w:sz w:val="20"/>
            <w:szCs w:val="20"/>
            <w:lang w:val="en-US"/>
          </w:rPr>
          <m:t>(</m:t>
        </m:r>
        <m:r>
          <w:rPr>
            <w:rFonts w:ascii="Cambria Math" w:eastAsiaTheme="minorEastAsia" w:hAnsi="Cambria Math"/>
            <w:sz w:val="20"/>
            <w:szCs w:val="20"/>
            <w:lang w:val="en-US"/>
          </w:rPr>
          <m:t>l</m:t>
        </m:r>
        <m:r>
          <m:rPr>
            <m:sty m:val="p"/>
          </m:rPr>
          <w:rPr>
            <w:rFonts w:ascii="Cambria Math" w:eastAsiaTheme="minorEastAsia" w:hAnsi="Cambria Math"/>
            <w:sz w:val="20"/>
            <w:szCs w:val="20"/>
            <w:lang w:val="en-US"/>
          </w:rPr>
          <m:t>)</m:t>
        </m:r>
      </m:oMath>
      <w:r w:rsidRPr="00724E48">
        <w:rPr>
          <w:rFonts w:ascii="Arial" w:eastAsiaTheme="minorEastAsia" w:hAnsi="Arial" w:cs="Arial"/>
          <w:sz w:val="20"/>
          <w:szCs w:val="20"/>
          <w:lang w:val="en-US"/>
        </w:rPr>
        <w:t xml:space="preserve">, and therefore </w:t>
      </w:r>
      <m:oMath>
        <m:sSub>
          <m:sSubPr>
            <m:ctrlPr>
              <w:rPr>
                <w:rFonts w:ascii="Cambria Math" w:eastAsia="Cambria Math" w:hAnsi="Cambria Math"/>
                <w:sz w:val="20"/>
                <w:szCs w:val="20"/>
                <w:lang w:val="en-US"/>
              </w:rPr>
            </m:ctrlPr>
          </m:sSubPr>
          <m:e>
            <m:r>
              <w:rPr>
                <w:rFonts w:ascii="Cambria Math" w:eastAsia="Cambria Math" w:hAnsi="Cambria Math"/>
                <w:sz w:val="20"/>
                <w:szCs w:val="20"/>
                <w:lang w:val="en-US"/>
              </w:rPr>
              <m:t>LRD</m:t>
            </m:r>
          </m:e>
          <m:sub>
            <m:r>
              <w:rPr>
                <w:rFonts w:ascii="Cambria Math" w:eastAsia="Cambria Math" w:hAnsi="Cambria Math"/>
                <w:sz w:val="20"/>
                <w:szCs w:val="20"/>
                <w:lang w:val="en-US"/>
              </w:rPr>
              <m:t>k</m:t>
            </m:r>
          </m:sub>
        </m:sSub>
        <m:r>
          <m:rPr>
            <m:sty m:val="p"/>
          </m:rPr>
          <w:rPr>
            <w:rFonts w:ascii="Cambria Math" w:eastAsia="Cambria Math" w:hAnsi="Cambria Math"/>
            <w:sz w:val="20"/>
            <w:szCs w:val="20"/>
            <w:lang w:val="en-US"/>
          </w:rPr>
          <m:t>(</m:t>
        </m:r>
        <m:r>
          <w:rPr>
            <w:rFonts w:ascii="Cambria Math" w:eastAsia="Cambria Math" w:hAnsi="Cambria Math"/>
            <w:sz w:val="20"/>
            <w:szCs w:val="20"/>
            <w:lang w:val="en-US"/>
          </w:rPr>
          <m:t>j</m:t>
        </m:r>
        <m:r>
          <m:rPr>
            <m:sty m:val="p"/>
          </m:rPr>
          <w:rPr>
            <w:rFonts w:ascii="Cambria Math" w:eastAsia="Cambria Math" w:hAnsi="Cambria Math"/>
            <w:sz w:val="20"/>
            <w:szCs w:val="20"/>
            <w:lang w:val="en-US"/>
          </w:rPr>
          <m:t>)≈</m:t>
        </m:r>
        <m:f>
          <m:fPr>
            <m:type m:val="lin"/>
            <m:ctrlPr>
              <w:rPr>
                <w:rFonts w:ascii="Cambria Math" w:eastAsia="Cambria Math" w:hAnsi="Cambria Math"/>
                <w:sz w:val="20"/>
                <w:szCs w:val="20"/>
                <w:lang w:val="en-US"/>
              </w:rPr>
            </m:ctrlPr>
          </m:fPr>
          <m:num>
            <m:r>
              <m:rPr>
                <m:sty m:val="p"/>
              </m:rPr>
              <w:rPr>
                <w:rFonts w:ascii="Cambria Math" w:eastAsia="Cambria Math" w:hAnsi="Cambria Math"/>
                <w:sz w:val="20"/>
                <w:szCs w:val="20"/>
                <w:lang w:val="en-US"/>
              </w:rPr>
              <m:t>1</m:t>
            </m:r>
          </m:num>
          <m:den>
            <m:sSub>
              <m:sSubPr>
                <m:ctrlPr>
                  <w:rPr>
                    <w:rFonts w:ascii="Cambria Math" w:eastAsia="Cambria Math" w:hAnsi="Cambria Math"/>
                    <w:sz w:val="20"/>
                    <w:szCs w:val="20"/>
                    <w:lang w:val="en-US"/>
                  </w:rPr>
                </m:ctrlPr>
              </m:sSubPr>
              <m:e>
                <m:acc>
                  <m:accPr>
                    <m:chr m:val="̅"/>
                    <m:ctrlPr>
                      <w:rPr>
                        <w:rFonts w:ascii="Cambria Math" w:eastAsia="Cambria Math" w:hAnsi="Cambria Math"/>
                        <w:sz w:val="20"/>
                        <w:szCs w:val="20"/>
                        <w:lang w:val="en-US"/>
                      </w:rPr>
                    </m:ctrlPr>
                  </m:accPr>
                  <m:e>
                    <m:r>
                      <w:rPr>
                        <w:rFonts w:ascii="Cambria Math" w:eastAsia="Cambria Math" w:hAnsi="Cambria Math"/>
                        <w:sz w:val="20"/>
                        <w:szCs w:val="20"/>
                        <w:lang w:val="en-US"/>
                      </w:rPr>
                      <m:t>d</m:t>
                    </m:r>
                    <m:d>
                      <m:dPr>
                        <m:ctrlPr>
                          <w:rPr>
                            <w:rFonts w:ascii="Cambria Math" w:eastAsia="Cambria Math" w:hAnsi="Cambria Math"/>
                            <w:sz w:val="20"/>
                            <w:szCs w:val="20"/>
                            <w:lang w:val="en-US"/>
                          </w:rPr>
                        </m:ctrlPr>
                      </m:dPr>
                      <m:e>
                        <m:r>
                          <w:rPr>
                            <w:rFonts w:ascii="Cambria Math" w:eastAsia="Cambria Math" w:hAnsi="Cambria Math"/>
                            <w:sz w:val="20"/>
                            <w:szCs w:val="20"/>
                            <w:lang w:val="en-US"/>
                          </w:rPr>
                          <m:t>j</m:t>
                        </m:r>
                        <m:r>
                          <m:rPr>
                            <m:sty m:val="p"/>
                          </m:rPr>
                          <w:rPr>
                            <w:rFonts w:ascii="Cambria Math" w:eastAsia="Cambria Math" w:hAnsi="Cambria Math"/>
                            <w:sz w:val="20"/>
                            <w:szCs w:val="20"/>
                            <w:lang w:val="en-US"/>
                          </w:rPr>
                          <m:t>,</m:t>
                        </m:r>
                        <m:r>
                          <w:rPr>
                            <w:rFonts w:ascii="Cambria Math" w:eastAsia="Cambria Math" w:hAnsi="Cambria Math"/>
                            <w:sz w:val="20"/>
                            <w:szCs w:val="20"/>
                            <w:lang w:val="en-US"/>
                          </w:rPr>
                          <m:t>l</m:t>
                        </m:r>
                      </m:e>
                    </m:d>
                  </m:e>
                </m:acc>
              </m:e>
              <m:sub>
                <m:r>
                  <w:rPr>
                    <w:rFonts w:ascii="Cambria Math" w:eastAsia="Cambria Math" w:hAnsi="Cambria Math"/>
                    <w:sz w:val="20"/>
                    <w:szCs w:val="20"/>
                    <w:lang w:val="en-US"/>
                  </w:rPr>
                  <m:t>l</m:t>
                </m:r>
                <m:r>
                  <m:rPr>
                    <m:sty m:val="p"/>
                  </m:rPr>
                  <w:rPr>
                    <w:rFonts w:ascii="Cambria Math" w:eastAsia="Cambria Math" w:hAnsi="Cambria Math"/>
                    <w:sz w:val="20"/>
                    <w:szCs w:val="20"/>
                    <w:lang w:val="en-US"/>
                  </w:rPr>
                  <m:t>∈</m:t>
                </m:r>
                <m:sSub>
                  <m:sSubPr>
                    <m:ctrlPr>
                      <w:rPr>
                        <w:rFonts w:ascii="Cambria Math" w:eastAsia="Cambria Math" w:hAnsi="Cambria Math"/>
                        <w:sz w:val="20"/>
                        <w:szCs w:val="20"/>
                        <w:lang w:val="en-US"/>
                      </w:rPr>
                    </m:ctrlPr>
                  </m:sSubPr>
                  <m:e>
                    <m:r>
                      <m:rPr>
                        <m:scr m:val="script"/>
                        <m:sty m:val="p"/>
                      </m:rPr>
                      <w:rPr>
                        <w:rFonts w:ascii="Cambria Math" w:eastAsia="Cambria Math" w:hAnsi="Cambria Math"/>
                        <w:sz w:val="20"/>
                        <w:szCs w:val="20"/>
                        <w:lang w:val="en-US"/>
                      </w:rPr>
                      <m:t>N</m:t>
                    </m:r>
                  </m:e>
                  <m:sub>
                    <m:r>
                      <w:rPr>
                        <w:rFonts w:ascii="Cambria Math" w:eastAsia="Cambria Math" w:hAnsi="Cambria Math"/>
                        <w:sz w:val="20"/>
                        <w:szCs w:val="20"/>
                        <w:lang w:val="en-US"/>
                      </w:rPr>
                      <m:t>k</m:t>
                    </m:r>
                  </m:sub>
                </m:sSub>
                <m:r>
                  <m:rPr>
                    <m:sty m:val="p"/>
                  </m:rPr>
                  <w:rPr>
                    <w:rFonts w:ascii="Cambria Math" w:eastAsia="Cambria Math" w:hAnsi="Cambria Math"/>
                    <w:sz w:val="20"/>
                    <w:szCs w:val="20"/>
                    <w:lang w:val="en-US"/>
                  </w:rPr>
                  <m:t>(</m:t>
                </m:r>
                <m:r>
                  <w:rPr>
                    <w:rFonts w:ascii="Cambria Math" w:eastAsia="Cambria Math" w:hAnsi="Cambria Math"/>
                    <w:sz w:val="20"/>
                    <w:szCs w:val="20"/>
                    <w:lang w:val="en-US"/>
                  </w:rPr>
                  <m:t>j</m:t>
                </m:r>
                <m:r>
                  <m:rPr>
                    <m:sty m:val="p"/>
                  </m:rPr>
                  <w:rPr>
                    <w:rFonts w:ascii="Cambria Math" w:eastAsia="Cambria Math" w:hAnsi="Cambria Math"/>
                    <w:sz w:val="20"/>
                    <w:szCs w:val="20"/>
                    <w:lang w:val="en-US"/>
                  </w:rPr>
                  <m:t>)</m:t>
                </m:r>
              </m:sub>
            </m:sSub>
          </m:den>
        </m:f>
      </m:oMath>
      <w:r>
        <w:rPr>
          <w:rFonts w:ascii="Arial" w:eastAsiaTheme="minorEastAsia" w:hAnsi="Arial" w:cs="Arial"/>
          <w:sz w:val="20"/>
          <w:szCs w:val="20"/>
          <w:lang w:val="en-US"/>
        </w:rPr>
        <w:t xml:space="preserve">, a value indicating a locally relatively low density compared to </w:t>
      </w:r>
      <m:oMath>
        <m:sSub>
          <m:sSubPr>
            <m:ctrlPr>
              <w:rPr>
                <w:rFonts w:ascii="Cambria Math" w:eastAsia="Cambria Math" w:hAnsi="Cambria Math"/>
                <w:sz w:val="20"/>
                <w:szCs w:val="20"/>
                <w:lang w:val="en-US"/>
              </w:rPr>
            </m:ctrlPr>
          </m:sSubPr>
          <m:e>
            <m:r>
              <w:rPr>
                <w:rFonts w:ascii="Cambria Math" w:eastAsia="Cambria Math" w:hAnsi="Cambria Math"/>
                <w:sz w:val="20"/>
                <w:szCs w:val="20"/>
                <w:lang w:val="en-US"/>
              </w:rPr>
              <m:t>LRD</m:t>
            </m:r>
          </m:e>
          <m:sub>
            <m:r>
              <w:rPr>
                <w:rFonts w:ascii="Cambria Math" w:eastAsia="Cambria Math" w:hAnsi="Cambria Math"/>
                <w:sz w:val="20"/>
                <w:szCs w:val="20"/>
                <w:lang w:val="en-US"/>
              </w:rPr>
              <m:t>k</m:t>
            </m:r>
          </m:sub>
        </m:sSub>
        <m:r>
          <m:rPr>
            <m:sty m:val="p"/>
          </m:rPr>
          <w:rPr>
            <w:rFonts w:ascii="Cambria Math" w:eastAsia="Cambria Math" w:hAnsi="Cambria Math"/>
            <w:sz w:val="20"/>
            <w:szCs w:val="20"/>
            <w:lang w:val="en-US"/>
          </w:rPr>
          <m:t>(</m:t>
        </m:r>
        <m:r>
          <w:rPr>
            <w:rFonts w:ascii="Cambria Math" w:eastAsia="Cambria Math" w:hAnsi="Cambria Math"/>
            <w:sz w:val="20"/>
            <w:szCs w:val="20"/>
            <w:lang w:val="en-US"/>
          </w:rPr>
          <m:t>l</m:t>
        </m:r>
        <m:r>
          <m:rPr>
            <m:sty m:val="p"/>
          </m:rPr>
          <w:rPr>
            <w:rFonts w:ascii="Cambria Math" w:eastAsia="Cambria Math" w:hAnsi="Cambria Math"/>
            <w:sz w:val="20"/>
            <w:szCs w:val="20"/>
            <w:lang w:val="en-US"/>
          </w:rPr>
          <m:t>)≈</m:t>
        </m:r>
        <m:f>
          <m:fPr>
            <m:type m:val="lin"/>
            <m:ctrlPr>
              <w:rPr>
                <w:rFonts w:ascii="Cambria Math" w:eastAsia="Cambria Math" w:hAnsi="Cambria Math"/>
                <w:sz w:val="20"/>
                <w:szCs w:val="20"/>
                <w:lang w:val="en-US"/>
              </w:rPr>
            </m:ctrlPr>
          </m:fPr>
          <m:num>
            <m:r>
              <m:rPr>
                <m:sty m:val="p"/>
              </m:rPr>
              <w:rPr>
                <w:rFonts w:ascii="Cambria Math" w:eastAsia="Cambria Math" w:hAnsi="Cambria Math"/>
                <w:sz w:val="20"/>
                <w:szCs w:val="20"/>
                <w:lang w:val="en-US"/>
              </w:rPr>
              <m:t>1</m:t>
            </m:r>
          </m:num>
          <m:den>
            <m:sSub>
              <m:sSubPr>
                <m:ctrlPr>
                  <w:rPr>
                    <w:rFonts w:ascii="Cambria Math" w:eastAsia="Cambria Math" w:hAnsi="Cambria Math"/>
                    <w:sz w:val="20"/>
                    <w:szCs w:val="20"/>
                    <w:lang w:val="en-US"/>
                  </w:rPr>
                </m:ctrlPr>
              </m:sSubPr>
              <m:e>
                <m:acc>
                  <m:accPr>
                    <m:chr m:val="̅"/>
                    <m:ctrlPr>
                      <w:rPr>
                        <w:rFonts w:ascii="Cambria Math" w:eastAsia="Cambria Math" w:hAnsi="Cambria Math"/>
                        <w:sz w:val="20"/>
                        <w:szCs w:val="20"/>
                        <w:lang w:val="en-US"/>
                      </w:rPr>
                    </m:ctrlPr>
                  </m:accPr>
                  <m:e>
                    <m:sSub>
                      <m:sSubPr>
                        <m:ctrlPr>
                          <w:rPr>
                            <w:rFonts w:ascii="Cambria Math" w:eastAsia="Cambria Math" w:hAnsi="Cambria Math"/>
                            <w:sz w:val="20"/>
                            <w:szCs w:val="20"/>
                            <w:lang w:val="en-US"/>
                          </w:rPr>
                        </m:ctrlPr>
                      </m:sSubPr>
                      <m:e>
                        <m:r>
                          <w:rPr>
                            <w:rFonts w:ascii="Cambria Math" w:eastAsia="Cambria Math" w:hAnsi="Cambria Math"/>
                            <w:sz w:val="20"/>
                            <w:szCs w:val="20"/>
                            <w:lang w:val="en-US"/>
                          </w:rPr>
                          <m:t>d</m:t>
                        </m:r>
                      </m:e>
                      <m:sub>
                        <m:r>
                          <w:rPr>
                            <w:rFonts w:ascii="Cambria Math" w:eastAsia="Cambria Math" w:hAnsi="Cambria Math"/>
                            <w:sz w:val="20"/>
                            <w:szCs w:val="20"/>
                            <w:lang w:val="en-US"/>
                          </w:rPr>
                          <m:t>k</m:t>
                        </m:r>
                      </m:sub>
                    </m:sSub>
                    <m:r>
                      <m:rPr>
                        <m:sty m:val="p"/>
                      </m:rPr>
                      <w:rPr>
                        <w:rFonts w:ascii="Cambria Math" w:eastAsia="Cambria Math" w:hAnsi="Cambria Math"/>
                        <w:sz w:val="20"/>
                        <w:szCs w:val="20"/>
                        <w:lang w:val="en-US"/>
                      </w:rPr>
                      <m:t>(</m:t>
                    </m:r>
                    <m:r>
                      <w:rPr>
                        <w:rFonts w:ascii="Cambria Math" w:eastAsia="Cambria Math" w:hAnsi="Cambria Math"/>
                        <w:sz w:val="20"/>
                        <w:szCs w:val="20"/>
                        <w:lang w:val="en-US"/>
                      </w:rPr>
                      <m:t>m</m:t>
                    </m:r>
                    <m:r>
                      <m:rPr>
                        <m:sty m:val="p"/>
                      </m:rPr>
                      <w:rPr>
                        <w:rFonts w:ascii="Cambria Math" w:eastAsia="Cambria Math" w:hAnsi="Cambria Math"/>
                        <w:sz w:val="20"/>
                        <w:szCs w:val="20"/>
                        <w:lang w:val="en-US"/>
                      </w:rPr>
                      <m:t>)</m:t>
                    </m:r>
                  </m:e>
                </m:acc>
              </m:e>
              <m:sub>
                <m:r>
                  <w:rPr>
                    <w:rFonts w:ascii="Cambria Math" w:eastAsia="Cambria Math" w:hAnsi="Cambria Math"/>
                    <w:sz w:val="20"/>
                    <w:szCs w:val="20"/>
                    <w:lang w:val="en-US"/>
                  </w:rPr>
                  <m:t>m</m:t>
                </m:r>
                <m:r>
                  <m:rPr>
                    <m:sty m:val="p"/>
                  </m:rPr>
                  <w:rPr>
                    <w:rFonts w:ascii="Cambria Math" w:eastAsia="Cambria Math" w:hAnsi="Cambria Math"/>
                    <w:sz w:val="20"/>
                    <w:szCs w:val="20"/>
                    <w:lang w:val="en-US"/>
                  </w:rPr>
                  <m:t>∈</m:t>
                </m:r>
                <m:sSub>
                  <m:sSubPr>
                    <m:ctrlPr>
                      <w:rPr>
                        <w:rFonts w:ascii="Cambria Math" w:eastAsia="Cambria Math" w:hAnsi="Cambria Math"/>
                        <w:sz w:val="20"/>
                        <w:szCs w:val="20"/>
                        <w:lang w:val="en-US"/>
                      </w:rPr>
                    </m:ctrlPr>
                  </m:sSubPr>
                  <m:e>
                    <m:r>
                      <m:rPr>
                        <m:scr m:val="script"/>
                        <m:sty m:val="p"/>
                      </m:rPr>
                      <w:rPr>
                        <w:rFonts w:ascii="Cambria Math" w:eastAsia="Cambria Math" w:hAnsi="Cambria Math"/>
                        <w:sz w:val="20"/>
                        <w:szCs w:val="20"/>
                        <w:lang w:val="en-US"/>
                      </w:rPr>
                      <m:t>N</m:t>
                    </m:r>
                  </m:e>
                  <m:sub>
                    <m:r>
                      <w:rPr>
                        <w:rFonts w:ascii="Cambria Math" w:eastAsia="Cambria Math" w:hAnsi="Cambria Math"/>
                        <w:sz w:val="20"/>
                        <w:szCs w:val="20"/>
                        <w:lang w:val="en-US"/>
                      </w:rPr>
                      <m:t>k</m:t>
                    </m:r>
                  </m:sub>
                </m:sSub>
                <m:r>
                  <m:rPr>
                    <m:sty m:val="p"/>
                  </m:rPr>
                  <w:rPr>
                    <w:rFonts w:ascii="Cambria Math" w:eastAsia="Cambria Math" w:hAnsi="Cambria Math"/>
                    <w:sz w:val="20"/>
                    <w:szCs w:val="20"/>
                    <w:lang w:val="en-US"/>
                  </w:rPr>
                  <m:t>(</m:t>
                </m:r>
                <m:r>
                  <w:rPr>
                    <w:rFonts w:ascii="Cambria Math" w:eastAsia="Cambria Math" w:hAnsi="Cambria Math"/>
                    <w:sz w:val="20"/>
                    <w:szCs w:val="20"/>
                    <w:lang w:val="en-US"/>
                  </w:rPr>
                  <m:t>l</m:t>
                </m:r>
                <m:r>
                  <m:rPr>
                    <m:sty m:val="p"/>
                  </m:rPr>
                  <w:rPr>
                    <w:rFonts w:ascii="Cambria Math" w:eastAsia="Cambria Math" w:hAnsi="Cambria Math"/>
                    <w:sz w:val="20"/>
                    <w:szCs w:val="20"/>
                    <w:lang w:val="en-US"/>
                  </w:rPr>
                  <m:t>)</m:t>
                </m:r>
              </m:sub>
            </m:sSub>
          </m:den>
        </m:f>
      </m:oMath>
      <w:r>
        <w:rPr>
          <w:rFonts w:ascii="Arial" w:eastAsiaTheme="minorEastAsia" w:hAnsi="Arial" w:cs="Arial"/>
          <w:sz w:val="20"/>
          <w:szCs w:val="20"/>
          <w:lang w:val="en-US"/>
        </w:rPr>
        <w:t xml:space="preserve"> for instance</w:t>
      </w:r>
      <w:r w:rsidRPr="002B2CDB">
        <w:rPr>
          <w:rFonts w:ascii="Arial" w:eastAsiaTheme="minorEastAsia" w:hAnsi="Arial" w:cs="Arial"/>
          <w:sz w:val="20"/>
          <w:szCs w:val="20"/>
          <w:lang w:val="en-US"/>
        </w:rPr>
        <w:t>.</w:t>
      </w:r>
    </w:p>
    <w:p w:rsidR="007419CB" w:rsidRPr="006E131C" w:rsidRDefault="007419CB" w:rsidP="0021751D">
      <w:pPr>
        <w:spacing w:after="160" w:line="480" w:lineRule="auto"/>
        <w:rPr>
          <w:lang w:val="en-US"/>
        </w:rPr>
      </w:pPr>
    </w:p>
    <w:p w:rsidR="007419CB" w:rsidRPr="00724E48" w:rsidRDefault="007419CB" w:rsidP="0021751D">
      <w:pPr>
        <w:spacing w:after="160" w:line="480" w:lineRule="auto"/>
        <w:rPr>
          <w:lang w:val="en-US"/>
        </w:rPr>
      </w:pPr>
      <w:r w:rsidRPr="00724E48">
        <w:rPr>
          <w:lang w:val="en-US"/>
        </w:rPr>
        <w:t xml:space="preserve">The density of </w:t>
      </w:r>
      <m:oMath>
        <m:r>
          <w:rPr>
            <w:rFonts w:ascii="Cambria Math" w:hAnsi="Cambria Math"/>
            <w:lang w:val="en-US"/>
          </w:rPr>
          <m:t>i</m:t>
        </m:r>
      </m:oMath>
      <w:r w:rsidRPr="00724E48">
        <w:rPr>
          <w:lang w:val="en-US"/>
        </w:rPr>
        <w:t xml:space="preserve"> to that of its n</w:t>
      </w:r>
      <w:proofErr w:type="spellStart"/>
      <w:r w:rsidRPr="00724E48">
        <w:rPr>
          <w:lang w:val="en-US"/>
        </w:rPr>
        <w:t>eighbors</w:t>
      </w:r>
      <w:proofErr w:type="spellEnd"/>
      <w:r w:rsidRPr="00724E48">
        <w:rPr>
          <w:lang w:val="en-US"/>
        </w:rPr>
        <w:t xml:space="preserve"> </w:t>
      </w:r>
      <m:oMath>
        <m:r>
          <w:rPr>
            <w:rFonts w:ascii="Cambria Math" w:hAnsi="Cambria Math"/>
            <w:lang w:val="en-US"/>
          </w:rPr>
          <m:t>j</m:t>
        </m:r>
      </m:oMath>
      <w:r w:rsidRPr="00724E48">
        <w:rPr>
          <w:rFonts w:eastAsiaTheme="minorEastAsia"/>
          <w:lang w:val="en-US"/>
        </w:rPr>
        <w:t xml:space="preserve"> can then be compared</w:t>
      </w:r>
      <w:r w:rsidRPr="00724E48">
        <w:rPr>
          <w:lang w:val="en-US"/>
        </w:rPr>
        <w:t>:</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CC139D" w:rsidP="0021751D">
            <w:pPr>
              <w:spacing w:after="160" w:line="480" w:lineRule="auto"/>
              <w:rPr>
                <w:lang w:val="en-US"/>
              </w:rPr>
            </w:pPr>
            <m:oMathPara>
              <m:oMath>
                <m:sSub>
                  <m:sSubPr>
                    <m:ctrlPr>
                      <w:rPr>
                        <w:rFonts w:ascii="Cambria Math" w:hAnsi="Cambria Math"/>
                        <w:lang w:val="en-US"/>
                      </w:rPr>
                    </m:ctrlPr>
                  </m:sSubPr>
                  <m:e>
                    <m:r>
                      <w:rPr>
                        <w:rFonts w:ascii="Cambria Math" w:hAnsi="Cambria Math"/>
                        <w:lang w:val="en-US"/>
                      </w:rPr>
                      <m:t>LOF</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f>
                  <m:fPr>
                    <m:ctrlPr>
                      <w:rPr>
                        <w:rFonts w:ascii="Cambria Math" w:hAnsi="Cambria Math"/>
                        <w:lang w:val="en-US"/>
                      </w:rPr>
                    </m:ctrlPr>
                  </m:fPr>
                  <m:num>
                    <m:nary>
                      <m:naryPr>
                        <m:chr m:val="∑"/>
                        <m:limLoc m:val="subSup"/>
                        <m:supHide m:val="1"/>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m:t>
                        </m:r>
                        <m:sSub>
                          <m:sSubPr>
                            <m:ctrlPr>
                              <w:rPr>
                                <w:rFonts w:ascii="Cambria Math" w:hAnsi="Cambria Math"/>
                                <w:lang w:val="en-US"/>
                              </w:rPr>
                            </m:ctrlPr>
                          </m:sSubPr>
                          <m:e>
                            <m:r>
                              <m:rPr>
                                <m:scr m:val="script"/>
                                <m:sty m:val="p"/>
                              </m:rPr>
                              <w:rPr>
                                <w:rFonts w:ascii="Cambria Math" w:hAnsi="Cambria Math"/>
                                <w:lang w:val="en-US"/>
                              </w:rPr>
                              <m:t>N</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b>
                      <m:sup/>
                      <m:e>
                        <m:sSub>
                          <m:sSubPr>
                            <m:ctrlPr>
                              <w:rPr>
                                <w:rFonts w:ascii="Cambria Math" w:hAnsi="Cambria Math"/>
                                <w:lang w:val="en-US"/>
                              </w:rPr>
                            </m:ctrlPr>
                          </m:sSubPr>
                          <m:e>
                            <m:r>
                              <w:rPr>
                                <w:rFonts w:ascii="Cambria Math" w:hAnsi="Cambria Math"/>
                                <w:lang w:val="en-US"/>
                              </w:rPr>
                              <m:t>LRD</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j</m:t>
                        </m:r>
                        <m:r>
                          <m:rPr>
                            <m:sty m:val="p"/>
                          </m:rPr>
                          <w:rPr>
                            <w:rFonts w:ascii="Cambria Math" w:hAnsi="Cambria Math"/>
                            <w:lang w:val="en-US"/>
                          </w:rPr>
                          <m:t>)</m:t>
                        </m:r>
                      </m:e>
                    </m:nary>
                  </m:num>
                  <m:den>
                    <m:r>
                      <w:rPr>
                        <w:rFonts w:ascii="Cambria Math" w:hAnsi="Cambria Math"/>
                        <w:lang w:val="en-US"/>
                      </w:rPr>
                      <m:t>k</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LRD</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den>
                </m:f>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5</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724E48" w:rsidRDefault="007419CB" w:rsidP="0021751D">
      <w:pPr>
        <w:spacing w:after="160" w:line="480" w:lineRule="auto"/>
        <w:rPr>
          <w:lang w:val="en-US"/>
        </w:rPr>
      </w:pPr>
      <w:r w:rsidRPr="000A4838">
        <w:rPr>
          <w:lang w:val="en-US"/>
        </w:rPr>
        <w:t xml:space="preserve">A LOF score significantly greater than 1 indicates that </w:t>
      </w:r>
      <m:oMath>
        <m:r>
          <w:rPr>
            <w:rFonts w:ascii="Cambria Math" w:hAnsi="Cambria Math"/>
            <w:lang w:val="en-US"/>
          </w:rPr>
          <m:t>i</m:t>
        </m:r>
      </m:oMath>
      <w:r w:rsidRPr="000A4838">
        <w:rPr>
          <w:lang w:val="en-US"/>
        </w:rPr>
        <w:t xml:space="preserve"> lies in a region of lower density t</w:t>
      </w:r>
      <w:proofErr w:type="spellStart"/>
      <w:r w:rsidRPr="000A4838">
        <w:rPr>
          <w:lang w:val="en-US"/>
        </w:rPr>
        <w:t>han</w:t>
      </w:r>
      <w:proofErr w:type="spellEnd"/>
      <w:r w:rsidRPr="000A4838">
        <w:rPr>
          <w:lang w:val="en-US"/>
        </w:rPr>
        <w:t xml:space="preserve"> its neighbors and is thus probably an </w:t>
      </w:r>
      <w:r w:rsidRPr="00724E48">
        <w:rPr>
          <w:lang w:val="en-US"/>
        </w:rPr>
        <w:t>outlier.</w:t>
      </w:r>
    </w:p>
    <w:p w:rsidR="007419CB" w:rsidRPr="000A4838" w:rsidRDefault="007419CB" w:rsidP="0021751D">
      <w:pPr>
        <w:spacing w:after="160" w:line="480" w:lineRule="auto"/>
        <w:rPr>
          <w:lang w:val="en-US"/>
        </w:rPr>
      </w:pPr>
      <w:r w:rsidRPr="00724E48">
        <w:rPr>
          <w:bCs/>
          <w:lang w:val="en-US"/>
        </w:rPr>
        <w:t>Implementation:</w:t>
      </w:r>
      <w:r w:rsidRPr="00724E48">
        <w:rPr>
          <w:lang w:val="en-US"/>
        </w:rPr>
        <w:t xml:space="preserve"> </w:t>
      </w:r>
      <w:proofErr w:type="spellStart"/>
      <w:r w:rsidRPr="00724E48">
        <w:rPr>
          <w:rFonts w:ascii="Courier New" w:hAnsi="Courier New" w:cs="Courier New"/>
          <w:sz w:val="20"/>
          <w:szCs w:val="20"/>
          <w:lang w:val="en-US"/>
        </w:rPr>
        <w:t>scikit</w:t>
      </w:r>
      <w:r w:rsidRPr="00724E48">
        <w:rPr>
          <w:sz w:val="20"/>
          <w:szCs w:val="20"/>
          <w:lang w:val="en-US"/>
        </w:rPr>
        <w:t>‐</w:t>
      </w:r>
      <w:r w:rsidRPr="00724E48">
        <w:rPr>
          <w:rFonts w:ascii="Courier New" w:hAnsi="Courier New" w:cs="Courier New"/>
          <w:sz w:val="20"/>
          <w:szCs w:val="20"/>
          <w:lang w:val="en-US"/>
        </w:rPr>
        <w:t>learn</w:t>
      </w:r>
      <w:r w:rsidRPr="00724E48">
        <w:rPr>
          <w:lang w:val="en-US"/>
        </w:rPr>
        <w:t>’s</w:t>
      </w:r>
      <w:proofErr w:type="spellEnd"/>
      <w:r w:rsidRPr="00724E48">
        <w:rPr>
          <w:lang w:val="en-US"/>
        </w:rPr>
        <w:t xml:space="preserve"> </w:t>
      </w:r>
      <w:proofErr w:type="spellStart"/>
      <w:r w:rsidRPr="00724E48">
        <w:rPr>
          <w:rFonts w:ascii="Courier New" w:hAnsi="Courier New" w:cs="Courier New"/>
          <w:sz w:val="20"/>
          <w:szCs w:val="20"/>
          <w:lang w:val="en-US"/>
        </w:rPr>
        <w:t>LocalOutlierFactor</w:t>
      </w:r>
      <w:proofErr w:type="spellEnd"/>
      <w:r w:rsidRPr="00724E48">
        <w:rPr>
          <w:lang w:val="en-US"/>
        </w:rPr>
        <w:t xml:space="preserve"> was used with </w:t>
      </w:r>
      <m:oMath>
        <m:r>
          <w:rPr>
            <w:rFonts w:ascii="Cambria Math" w:hAnsi="Cambria Math"/>
            <w:lang w:val="en-US"/>
          </w:rPr>
          <m:t>k=20</m:t>
        </m:r>
      </m:oMath>
      <w:r w:rsidRPr="00724E48">
        <w:rPr>
          <w:lang w:val="en-US"/>
        </w:rPr>
        <w:t xml:space="preserve"> neighbors and a contamination fraction (</w:t>
      </w:r>
      <w:r w:rsidRPr="00724E48">
        <w:rPr>
          <w:rFonts w:ascii="Courier New" w:hAnsi="Courier New" w:cs="Courier New"/>
          <w:sz w:val="20"/>
          <w:szCs w:val="20"/>
          <w:lang w:val="en-US"/>
        </w:rPr>
        <w:t>contamination=</w:t>
      </w:r>
      <w:proofErr w:type="spellStart"/>
      <w:r w:rsidRPr="00724E48">
        <w:rPr>
          <w:rFonts w:ascii="Courier New" w:hAnsi="Courier New" w:cs="Courier New"/>
          <w:sz w:val="20"/>
          <w:szCs w:val="20"/>
          <w:lang w:val="en-US"/>
        </w:rPr>
        <w:t>lof_frac</w:t>
      </w:r>
      <w:proofErr w:type="spellEnd"/>
      <w:r w:rsidRPr="00724E48">
        <w:rPr>
          <w:lang w:val="en-US"/>
        </w:rPr>
        <w:t>, default 0.05). The algorithm</w:t>
      </w:r>
      <w:r w:rsidRPr="000A4838">
        <w:rPr>
          <w:lang w:val="en-US"/>
        </w:rPr>
        <w:t xml:space="preserve"> labels points with negative </w:t>
      </w:r>
      <w:proofErr w:type="spellStart"/>
      <w:r w:rsidRPr="000A4838">
        <w:rPr>
          <w:rFonts w:ascii="Courier New" w:hAnsi="Courier New" w:cs="Courier New"/>
          <w:sz w:val="20"/>
          <w:szCs w:val="20"/>
          <w:lang w:val="en-US"/>
        </w:rPr>
        <w:t>fit_predict</w:t>
      </w:r>
      <w:proofErr w:type="spellEnd"/>
      <w:r w:rsidRPr="000A4838">
        <w:rPr>
          <w:lang w:val="en-US"/>
        </w:rPr>
        <w:t xml:space="preserve"> output (-1) as outliers. LOF is particularly adept at discovering local clusters of anomalies that global methods might miss.</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8" w:name="_Toc214314325"/>
      <w:bookmarkStart w:id="19" w:name="_Toc216021087"/>
      <w:r w:rsidRPr="000A4838">
        <w:rPr>
          <w:rFonts w:ascii="Times New Roman" w:hAnsi="Times New Roman" w:cs="Times New Roman"/>
          <w:color w:val="auto"/>
          <w:lang w:val="en-US"/>
        </w:rPr>
        <w:t>Isolation Forest</w:t>
      </w:r>
      <w:bookmarkEnd w:id="18"/>
      <w:bookmarkEnd w:id="19"/>
    </w:p>
    <w:p w:rsidR="007419CB" w:rsidRPr="00724E48" w:rsidRDefault="007419CB" w:rsidP="0021751D">
      <w:pPr>
        <w:spacing w:after="160" w:line="480" w:lineRule="auto"/>
        <w:rPr>
          <w:lang w:val="en-US"/>
        </w:rPr>
      </w:pPr>
      <w:r w:rsidRPr="000A4838">
        <w:rPr>
          <w:lang w:val="en-US"/>
        </w:rPr>
        <w:t xml:space="preserve">Isolation Forest isolates anomalies rather than profiling normal points. Random splits on </w:t>
      </w:r>
      <w:r w:rsidRPr="00724E48">
        <w:rPr>
          <w:lang w:val="en-US"/>
        </w:rPr>
        <w:t>random features recursively partition the data; anomalies, being few and different, tend to require fewer splits to isolate. The average path length from root to leaf across an ensemble of isolation trees yields an anomaly score: shorter paths imply a higher likelihood of being an outlier.</w:t>
      </w:r>
    </w:p>
    <w:p w:rsidR="007419CB" w:rsidRPr="000A4838" w:rsidRDefault="007419CB" w:rsidP="0021751D">
      <w:pPr>
        <w:spacing w:after="160" w:line="480" w:lineRule="auto"/>
        <w:rPr>
          <w:lang w:val="en-US"/>
        </w:rPr>
      </w:pPr>
      <w:r w:rsidRPr="00724E48">
        <w:rPr>
          <w:lang w:val="en-US"/>
        </w:rPr>
        <w:t xml:space="preserve">Implementation: </w:t>
      </w:r>
      <w:proofErr w:type="spellStart"/>
      <w:r w:rsidRPr="00724E48">
        <w:rPr>
          <w:rFonts w:ascii="Courier New" w:hAnsi="Courier New" w:cs="Courier New"/>
          <w:sz w:val="20"/>
          <w:szCs w:val="20"/>
          <w:lang w:val="en-US"/>
        </w:rPr>
        <w:t>IsolationForest</w:t>
      </w:r>
      <w:proofErr w:type="spellEnd"/>
      <w:r w:rsidRPr="00724E48">
        <w:rPr>
          <w:rFonts w:ascii="Courier New" w:hAnsi="Courier New" w:cs="Courier New"/>
          <w:sz w:val="20"/>
          <w:szCs w:val="20"/>
          <w:lang w:val="en-US"/>
        </w:rPr>
        <w:t>(contamination=</w:t>
      </w:r>
      <w:proofErr w:type="spellStart"/>
      <w:r w:rsidRPr="00724E48">
        <w:rPr>
          <w:rFonts w:ascii="Courier New" w:hAnsi="Courier New" w:cs="Courier New"/>
          <w:sz w:val="20"/>
          <w:szCs w:val="20"/>
          <w:lang w:val="en-US"/>
        </w:rPr>
        <w:t>iso_frac</w:t>
      </w:r>
      <w:proofErr w:type="spellEnd"/>
      <w:r w:rsidRPr="00724E48">
        <w:rPr>
          <w:rFonts w:ascii="Courier New" w:hAnsi="Courier New" w:cs="Courier New"/>
          <w:sz w:val="20"/>
          <w:szCs w:val="20"/>
          <w:lang w:val="en-US"/>
        </w:rPr>
        <w:t xml:space="preserve">, </w:t>
      </w:r>
      <w:proofErr w:type="spellStart"/>
      <w:r w:rsidRPr="00724E48">
        <w:rPr>
          <w:rFonts w:ascii="Courier New" w:hAnsi="Courier New" w:cs="Courier New"/>
          <w:sz w:val="20"/>
          <w:szCs w:val="20"/>
          <w:lang w:val="en-US"/>
        </w:rPr>
        <w:t>random_state</w:t>
      </w:r>
      <w:proofErr w:type="spellEnd"/>
      <w:r w:rsidRPr="00724E48">
        <w:rPr>
          <w:rFonts w:ascii="Courier New" w:hAnsi="Courier New" w:cs="Courier New"/>
          <w:sz w:val="20"/>
          <w:szCs w:val="20"/>
          <w:lang w:val="en-US"/>
        </w:rPr>
        <w:t xml:space="preserve"> = 0)</w:t>
      </w:r>
      <w:r w:rsidRPr="00724E48">
        <w:rPr>
          <w:lang w:val="en-US"/>
        </w:rPr>
        <w:t xml:space="preserve"> is fitted on the standardized features. Samples predicted as -1 by the forest are flagged as outliers. Because it relies on random feature subsampling and random split values, Isolation Forest captures global and axis‐aligned anomalies that might escape density</w:t>
      </w:r>
      <w:r w:rsidRPr="000A4838">
        <w:rPr>
          <w:lang w:val="en-US"/>
        </w:rPr>
        <w:t>‐based detectors.</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20" w:name="_Toc214314326"/>
      <w:bookmarkStart w:id="21" w:name="_Toc216021088"/>
      <w:r w:rsidRPr="000A4838">
        <w:rPr>
          <w:rFonts w:ascii="Times New Roman" w:hAnsi="Times New Roman" w:cs="Times New Roman"/>
          <w:color w:val="auto"/>
          <w:lang w:val="en-US"/>
        </w:rPr>
        <w:lastRenderedPageBreak/>
        <w:t>k-Nearest-Neighbors Residuals</w:t>
      </w:r>
      <w:bookmarkEnd w:id="20"/>
      <w:bookmarkEnd w:id="21"/>
    </w:p>
    <w:p w:rsidR="007419CB" w:rsidRPr="000A4838" w:rsidRDefault="007419CB" w:rsidP="0021751D">
      <w:pPr>
        <w:spacing w:after="160" w:line="480" w:lineRule="auto"/>
        <w:rPr>
          <w:lang w:val="en-US"/>
        </w:rPr>
      </w:pPr>
      <w:r w:rsidRPr="000A4838">
        <w:rPr>
          <w:lang w:val="en-US"/>
        </w:rPr>
        <w:t xml:space="preserve">This residual‐based method exploits the </w:t>
      </w:r>
      <w:r w:rsidRPr="00724E48">
        <w:rPr>
          <w:lang w:val="en-US"/>
        </w:rPr>
        <w:t xml:space="preserve">known relationship between inputs </w:t>
      </w:r>
      <m:oMath>
        <m:r>
          <m:rPr>
            <m:sty m:val="bi"/>
          </m:rPr>
          <w:rPr>
            <w:rFonts w:ascii="Cambria Math" w:hAnsi="Cambria Math"/>
            <w:lang w:val="en-US"/>
          </w:rPr>
          <m:t>X</m:t>
        </m:r>
      </m:oMath>
      <w:r w:rsidRPr="00724E48">
        <w:rPr>
          <w:lang w:val="en-US"/>
        </w:rPr>
        <w:t xml:space="preserve"> and the target </w:t>
      </w:r>
      <m:oMath>
        <m:r>
          <w:rPr>
            <w:rFonts w:ascii="Cambria Math" w:hAnsi="Cambria Math"/>
            <w:lang w:val="en-US"/>
          </w:rPr>
          <m:t>y</m:t>
        </m:r>
      </m:oMath>
      <w:r w:rsidRPr="00724E48">
        <w:rPr>
          <w:lang w:val="en-US"/>
        </w:rPr>
        <w:t>. Presumably, each samp</w:t>
      </w:r>
      <w:proofErr w:type="spellStart"/>
      <w:r w:rsidRPr="00724E48">
        <w:rPr>
          <w:lang w:val="en-US"/>
        </w:rPr>
        <w:t>le’s</w:t>
      </w:r>
      <w:proofErr w:type="spellEnd"/>
      <w:r w:rsidRPr="00724E48">
        <w:rPr>
          <w:lang w:val="en-US"/>
        </w:rPr>
        <w:t xml:space="preserve"> response can be approximately predicted by averaging the responses of its </w:t>
      </w:r>
      <m:oMath>
        <m:r>
          <w:rPr>
            <w:rFonts w:ascii="Cambria Math" w:hAnsi="Cambria Math"/>
            <w:lang w:val="en-US"/>
          </w:rPr>
          <m:t>k</m:t>
        </m:r>
      </m:oMath>
      <w:r w:rsidRPr="00724E48">
        <w:rPr>
          <w:lang w:val="en-US"/>
        </w:rPr>
        <w:t xml:space="preserve"> nearest neighbors in feature space. The residual</w:t>
      </w:r>
      <w:r w:rsidRPr="000A4838">
        <w:rPr>
          <w:lang w:val="en-US"/>
        </w:rPr>
        <w:t xml:space="preserve"> for sample </w:t>
      </w:r>
      <m:oMath>
        <m:r>
          <w:rPr>
            <w:rFonts w:ascii="Cambria Math" w:hAnsi="Cambria Math"/>
            <w:lang w:val="en-US"/>
          </w:rPr>
          <m:t>i</m:t>
        </m:r>
      </m:oMath>
      <w:r w:rsidRPr="000A4838">
        <w:rPr>
          <w:lang w:val="en-US"/>
        </w:rPr>
        <w:t xml:space="preserve"> is</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CC139D" w:rsidP="0021751D">
            <w:pPr>
              <w:spacing w:after="160" w:line="480" w:lineRule="auto"/>
              <w:rPr>
                <w:lang w:val="en-US"/>
              </w:rPr>
            </w:pPr>
            <m:oMathPara>
              <m:oMath>
                <m:sSub>
                  <m:sSubPr>
                    <m:ctrlPr>
                      <w:rPr>
                        <w:rFonts w:ascii="Cambria Math" w:eastAsia="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m:t>
                </m:r>
                <m:d>
                  <m:dPr>
                    <m:begChr m:val="|"/>
                    <m:endChr m:val="|"/>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sSub>
                      <m:sSubPr>
                        <m:ctrlPr>
                          <w:rPr>
                            <w:rFonts w:ascii="Cambria Math" w:eastAsia="Cambria Math" w:hAnsi="Cambria Math"/>
                            <w:i/>
                            <w:lang w:val="en-US"/>
                          </w:rPr>
                        </m:ctrlPr>
                      </m:sSubPr>
                      <m:e>
                        <m:r>
                          <w:rPr>
                            <w:rFonts w:ascii="Cambria Math" w:hAnsi="Cambria Math"/>
                            <w:lang w:val="en-US"/>
                          </w:rPr>
                          <m:t>y</m:t>
                        </m:r>
                      </m:e>
                      <m:sub>
                        <m:sSub>
                          <m:sSubPr>
                            <m:ctrlPr>
                              <w:rPr>
                                <w:rFonts w:ascii="Cambria Math" w:hAnsi="Cambria Math" w:cstheme="minorBidi"/>
                                <w:i/>
                                <w:sz w:val="22"/>
                                <w:szCs w:val="22"/>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(i)</m:t>
                        </m:r>
                      </m:sub>
                    </m:sSub>
                  </m:e>
                </m:d>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6</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F4471A" w:rsidRDefault="007419CB" w:rsidP="0021751D">
      <w:pPr>
        <w:spacing w:after="160" w:line="480" w:lineRule="auto"/>
        <w:rPr>
          <w:lang w:val="en-US"/>
        </w:rPr>
      </w:pPr>
      <w:r w:rsidRPr="00F4471A">
        <w:rPr>
          <w:lang w:val="en-US"/>
        </w:rPr>
        <w:t xml:space="preserve">where </w:t>
      </w:r>
      <m:oMath>
        <m:sSub>
          <m:sSubPr>
            <m:ctrlPr>
              <w:rPr>
                <w:rFonts w:ascii="Cambria Math" w:eastAsia="Cambria Math" w:hAnsi="Cambria Math"/>
                <w:i/>
                <w:lang w:val="en-US"/>
              </w:rPr>
            </m:ctrlPr>
          </m:sSubPr>
          <m:e>
            <m:r>
              <w:rPr>
                <w:rFonts w:ascii="Cambria Math" w:hAnsi="Cambria Math"/>
                <w:lang w:val="en-US"/>
              </w:rPr>
              <m:t>y</m:t>
            </m:r>
          </m:e>
          <m:sub>
            <m:sSub>
              <m:sSubPr>
                <m:ctrlPr>
                  <w:rPr>
                    <w:rFonts w:ascii="Cambria Math" w:hAnsi="Cambria Math" w:cstheme="minorBidi"/>
                    <w:i/>
                    <w:sz w:val="22"/>
                    <w:szCs w:val="22"/>
                    <w:lang w:val="en-US"/>
                  </w:rPr>
                </m:ctrlPr>
              </m:sSubPr>
              <m:e>
                <m:r>
                  <m:rPr>
                    <m:scr m:val="script"/>
                  </m:rPr>
                  <w:rPr>
                    <w:rFonts w:ascii="Cambria Math" w:hAnsi="Cambria Math"/>
                    <w:lang w:val="en-US"/>
                  </w:rPr>
                  <m:t>N</m:t>
                </m:r>
              </m:e>
              <m:sub>
                <m:r>
                  <w:rPr>
                    <w:rFonts w:ascii="Cambria Math" w:hAnsi="Cambria Math"/>
                    <w:lang w:val="en-US"/>
                  </w:rPr>
                  <m:t>k</m:t>
                </m:r>
              </m:sub>
            </m:sSub>
            <m:r>
              <w:rPr>
                <w:rFonts w:ascii="Cambria Math" w:hAnsi="Cambria Math"/>
                <w:lang w:val="en-US"/>
              </w:rPr>
              <m:t>(i)</m:t>
            </m:r>
          </m:sub>
        </m:sSub>
      </m:oMath>
      <w:r w:rsidRPr="00F4471A">
        <w:rPr>
          <w:lang w:val="en-US"/>
        </w:rPr>
        <w:t xml:space="preserve">​ is the mean target of the </w:t>
      </w:r>
      <m:oMath>
        <m:r>
          <w:rPr>
            <w:rFonts w:ascii="Cambria Math" w:hAnsi="Cambria Math"/>
            <w:lang w:val="en-US"/>
          </w:rPr>
          <m:t>k</m:t>
        </m:r>
      </m:oMath>
      <w:r w:rsidRPr="00F4471A">
        <w:rPr>
          <w:lang w:val="en-US"/>
        </w:rPr>
        <w:t xml:space="preserve"> nearest neighbors of </w:t>
      </w:r>
      <m:oMath>
        <m:r>
          <w:rPr>
            <w:rFonts w:ascii="Cambria Math" w:hAnsi="Cambria Math"/>
            <w:lang w:val="en-US"/>
          </w:rPr>
          <m:t>i</m:t>
        </m:r>
      </m:oMath>
      <w:r w:rsidRPr="00F4471A">
        <w:rPr>
          <w:lang w:val="en-US"/>
        </w:rPr>
        <w:t>. Large residuals indicate that the point’s behavior deviates strongly from its peers.</w:t>
      </w:r>
    </w:p>
    <w:p w:rsidR="007419CB" w:rsidRPr="000A4838" w:rsidRDefault="007419CB" w:rsidP="0021751D">
      <w:pPr>
        <w:spacing w:after="160" w:line="480" w:lineRule="auto"/>
        <w:rPr>
          <w:lang w:val="en-US"/>
        </w:rPr>
      </w:pPr>
      <w:r w:rsidRPr="00F4471A">
        <w:rPr>
          <w:bCs/>
          <w:lang w:val="en-US"/>
        </w:rPr>
        <w:t>Implementation:</w:t>
      </w:r>
      <w:r w:rsidRPr="00F4471A">
        <w:rPr>
          <w:lang w:val="en-US"/>
        </w:rPr>
        <w:t xml:space="preserve"> With </w:t>
      </w:r>
      <w:proofErr w:type="spellStart"/>
      <w:r w:rsidRPr="00F4471A">
        <w:rPr>
          <w:rFonts w:ascii="Courier New" w:hAnsi="Courier New" w:cs="Courier New"/>
          <w:sz w:val="20"/>
          <w:szCs w:val="20"/>
          <w:lang w:val="en-US"/>
        </w:rPr>
        <w:t>NearestNeighbors</w:t>
      </w:r>
      <w:proofErr w:type="spellEnd"/>
      <w:r w:rsidRPr="00F4471A">
        <w:rPr>
          <w:rFonts w:ascii="Courier New" w:hAnsi="Courier New" w:cs="Courier New"/>
          <w:sz w:val="20"/>
          <w:szCs w:val="20"/>
          <w:lang w:val="en-US"/>
        </w:rPr>
        <w:t>(</w:t>
      </w:r>
      <w:proofErr w:type="spellStart"/>
      <w:r w:rsidRPr="00F4471A">
        <w:rPr>
          <w:rFonts w:ascii="Courier New" w:hAnsi="Courier New" w:cs="Courier New"/>
          <w:sz w:val="20"/>
          <w:szCs w:val="20"/>
          <w:lang w:val="en-US"/>
        </w:rPr>
        <w:t>n_neighbors</w:t>
      </w:r>
      <w:proofErr w:type="spellEnd"/>
      <w:r w:rsidRPr="00F4471A">
        <w:rPr>
          <w:rFonts w:ascii="Courier New" w:hAnsi="Courier New" w:cs="Courier New"/>
          <w:sz w:val="20"/>
          <w:szCs w:val="20"/>
          <w:lang w:val="en-US"/>
        </w:rPr>
        <w:t>=</w:t>
      </w:r>
      <w:proofErr w:type="spellStart"/>
      <w:r w:rsidRPr="00F4471A">
        <w:rPr>
          <w:rFonts w:ascii="Courier New" w:hAnsi="Courier New" w:cs="Courier New"/>
          <w:sz w:val="20"/>
          <w:szCs w:val="20"/>
          <w:lang w:val="en-US"/>
        </w:rPr>
        <w:t>knn_k</w:t>
      </w:r>
      <w:proofErr w:type="spellEnd"/>
      <w:r w:rsidRPr="00F4471A">
        <w:rPr>
          <w:rFonts w:ascii="Courier New" w:hAnsi="Courier New" w:cs="Courier New"/>
          <w:sz w:val="20"/>
          <w:szCs w:val="20"/>
          <w:lang w:val="en-US"/>
        </w:rPr>
        <w:t>)</w:t>
      </w:r>
      <w:r w:rsidRPr="00F4471A">
        <w:rPr>
          <w:lang w:val="en-US"/>
        </w:rPr>
        <w:t xml:space="preserve">, the </w:t>
      </w:r>
      <m:oMath>
        <m:r>
          <w:rPr>
            <w:rFonts w:ascii="Cambria Math" w:hAnsi="Cambria Math"/>
            <w:lang w:val="en-US"/>
          </w:rPr>
          <m:t>k=10</m:t>
        </m:r>
      </m:oMath>
      <w:r w:rsidRPr="00F4471A">
        <w:rPr>
          <w:lang w:val="en-US"/>
        </w:rPr>
        <w:t xml:space="preserve"> closest samples for each </w:t>
      </w:r>
      <m:oMath>
        <m:r>
          <w:rPr>
            <w:rFonts w:ascii="Cambria Math" w:hAnsi="Cambria Math"/>
            <w:lang w:val="en-US"/>
          </w:rPr>
          <m:t>i</m:t>
        </m:r>
      </m:oMath>
      <w:r w:rsidRPr="00F4471A">
        <w:rPr>
          <w:rFonts w:eastAsiaTheme="minorEastAsia"/>
          <w:lang w:val="en-US"/>
        </w:rPr>
        <w:t xml:space="preserve"> are identified</w:t>
      </w:r>
      <w:r w:rsidRPr="00F4471A">
        <w:rPr>
          <w:lang w:val="en-US"/>
        </w:rPr>
        <w:t xml:space="preserve">. Residuals </w:t>
      </w:r>
      <m:oMath>
        <m:sSub>
          <m:sSubPr>
            <m:ctrlPr>
              <w:rPr>
                <w:rFonts w:ascii="Cambria Math" w:eastAsia="Cambria Math" w:hAnsi="Cambria Math"/>
                <w:i/>
                <w:lang w:val="en-US"/>
              </w:rPr>
            </m:ctrlPr>
          </m:sSubPr>
          <m:e>
            <m:r>
              <w:rPr>
                <w:rFonts w:ascii="Cambria Math" w:hAnsi="Cambria Math"/>
                <w:lang w:val="en-US"/>
              </w:rPr>
              <m:t>r</m:t>
            </m:r>
          </m:e>
          <m:sub>
            <m:r>
              <w:rPr>
                <w:rFonts w:ascii="Cambria Math" w:hAnsi="Cambria Math"/>
                <w:lang w:val="en-US"/>
              </w:rPr>
              <m:t>i</m:t>
            </m:r>
          </m:sub>
        </m:sSub>
        <m:r>
          <m:rPr>
            <m:sty m:val="p"/>
          </m:rPr>
          <w:rPr>
            <w:rFonts w:ascii="Cambria Math" w:hAnsi="Cambria Math"/>
            <w:lang w:val="en-US"/>
          </w:rPr>
          <m:t xml:space="preserve"> </m:t>
        </m:r>
      </m:oMath>
      <w:r w:rsidRPr="00F4471A">
        <w:rPr>
          <w:rFonts w:eastAsiaTheme="minorEastAsia"/>
          <w:lang w:val="en-US"/>
        </w:rPr>
        <w:t>are computed</w:t>
      </w:r>
      <w:r w:rsidRPr="00F4471A">
        <w:rPr>
          <w:lang w:val="en-US"/>
        </w:rPr>
        <w:t xml:space="preserve">​, then set a threshold at </w:t>
      </w:r>
      <m:oMath>
        <m:sSub>
          <m:sSubPr>
            <m:ctrlPr>
              <w:rPr>
                <w:rFonts w:ascii="Cambria Math" w:eastAsia="Cambria Math" w:hAnsi="Cambria Math"/>
                <w:i/>
                <w:lang w:val="en-US"/>
              </w:rPr>
            </m:ctrlPr>
          </m:sSubPr>
          <m:e>
            <m:r>
              <w:rPr>
                <w:rFonts w:ascii="Cambria Math" w:hAnsi="Cambria Math"/>
                <w:lang w:val="en-US"/>
              </w:rPr>
              <m:t>μ</m:t>
            </m:r>
          </m:e>
          <m:sub>
            <m:r>
              <w:rPr>
                <w:rFonts w:ascii="Cambria Math" w:hAnsi="Cambria Math"/>
                <w:lang w:val="en-US"/>
              </w:rPr>
              <m:t>r</m:t>
            </m:r>
          </m:sub>
        </m:sSub>
        <m:r>
          <w:rPr>
            <w:rFonts w:ascii="Cambria Math" w:hAnsi="Cambria Math"/>
            <w:lang w:val="en-US"/>
          </w:rPr>
          <m:t>+2 </m:t>
        </m:r>
        <m:sSub>
          <m:sSubPr>
            <m:ctrlPr>
              <w:rPr>
                <w:rFonts w:ascii="Cambria Math" w:eastAsia="Cambria Math" w:hAnsi="Cambria Math"/>
                <w:i/>
                <w:lang w:val="en-US"/>
              </w:rPr>
            </m:ctrlPr>
          </m:sSubPr>
          <m:e>
            <m:r>
              <w:rPr>
                <w:rFonts w:ascii="Cambria Math" w:hAnsi="Cambria Math"/>
                <w:lang w:val="en-US"/>
              </w:rPr>
              <m:t>σ</m:t>
            </m:r>
          </m:e>
          <m:sub>
            <m:r>
              <w:rPr>
                <w:rFonts w:ascii="Cambria Math" w:hAnsi="Cambria Math"/>
                <w:lang w:val="en-US"/>
              </w:rPr>
              <m:t>r</m:t>
            </m:r>
          </m:sub>
        </m:sSub>
      </m:oMath>
      <w:r w:rsidRPr="00F4471A">
        <w:rPr>
          <w:lang w:val="en-US"/>
        </w:rPr>
        <w:t xml:space="preserve"> (mean plus two standard deviations). Any point with </w:t>
      </w:r>
      <m:oMath>
        <m:sSub>
          <m:sSubPr>
            <m:ctrlPr>
              <w:rPr>
                <w:rFonts w:ascii="Cambria Math" w:eastAsia="Cambria Math" w:hAnsi="Cambria Math"/>
                <w:i/>
                <w:lang w:val="en-US"/>
              </w:rPr>
            </m:ctrlPr>
          </m:sSubPr>
          <m:e>
            <m:r>
              <w:rPr>
                <w:rFonts w:ascii="Cambria Math" w:hAnsi="Cambria Math"/>
                <w:lang w:val="en-US"/>
              </w:rPr>
              <m:t>r</m:t>
            </m:r>
          </m:e>
          <m:sub>
            <m:r>
              <w:rPr>
                <w:rFonts w:ascii="Cambria Math" w:hAnsi="Cambria Math"/>
                <w:lang w:val="en-US"/>
              </w:rPr>
              <m:t>i</m:t>
            </m:r>
          </m:sub>
        </m:sSub>
      </m:oMath>
      <w:r w:rsidRPr="00F4471A">
        <w:rPr>
          <w:lang w:val="en-US"/>
        </w:rPr>
        <w:t>​ above this threshold is marked as anomalous. This approach specifically catches</w:t>
      </w:r>
      <w:r w:rsidRPr="000A4838">
        <w:rPr>
          <w:lang w:val="en-US"/>
        </w:rPr>
        <w:t xml:space="preserve"> outliers in the </w:t>
      </w:r>
      <w:r w:rsidRPr="000A4838">
        <w:rPr>
          <w:i/>
          <w:iCs/>
          <w:lang w:val="en-US"/>
        </w:rPr>
        <w:t>response</w:t>
      </w:r>
      <w:r w:rsidRPr="000A4838">
        <w:rPr>
          <w:lang w:val="en-US"/>
        </w:rPr>
        <w:t xml:space="preserve"> dimension, even if their features lie in dense regions.</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22" w:name="_Toc214314327"/>
      <w:bookmarkStart w:id="23" w:name="_Toc216021089"/>
      <w:proofErr w:type="spellStart"/>
      <w:r w:rsidRPr="000A4838">
        <w:rPr>
          <w:rFonts w:ascii="Times New Roman" w:hAnsi="Times New Roman" w:cs="Times New Roman"/>
          <w:color w:val="auto"/>
          <w:lang w:val="en-US"/>
        </w:rPr>
        <w:t>HuberRegressor</w:t>
      </w:r>
      <w:proofErr w:type="spellEnd"/>
      <w:r w:rsidRPr="000A4838">
        <w:rPr>
          <w:rFonts w:ascii="Times New Roman" w:hAnsi="Times New Roman" w:cs="Times New Roman"/>
          <w:color w:val="auto"/>
          <w:lang w:val="en-US"/>
        </w:rPr>
        <w:t xml:space="preserve"> Residuals</w:t>
      </w:r>
      <w:bookmarkEnd w:id="22"/>
      <w:bookmarkEnd w:id="23"/>
    </w:p>
    <w:p w:rsidR="007419CB" w:rsidRPr="000A4838" w:rsidRDefault="007419CB" w:rsidP="0021751D">
      <w:pPr>
        <w:spacing w:after="160" w:line="480" w:lineRule="auto"/>
        <w:rPr>
          <w:lang w:val="en-US"/>
        </w:rPr>
      </w:pPr>
      <w:r w:rsidRPr="000A4838">
        <w:rPr>
          <w:lang w:val="en-US"/>
        </w:rPr>
        <w:t xml:space="preserve">Huber regression is a “robust” linear model that combines least‐squares for inliers with Huber’s loss for outliers – this specific loss justifies the “robust” qualification: the classic squared loss is abandoned in favor of a loss less sensitive to outliers. After fitting the model </w:t>
      </w:r>
      <m:oMath>
        <m:acc>
          <m:accPr>
            <m:ctrlPr>
              <w:rPr>
                <w:rFonts w:ascii="Cambria Math" w:eastAsia="Cambria Math" w:hAnsi="Cambria Math"/>
                <w:i/>
                <w:lang w:val="en-US"/>
              </w:rPr>
            </m:ctrlPr>
          </m:accPr>
          <m:e>
            <m:r>
              <w:rPr>
                <w:rFonts w:ascii="Cambria Math" w:hAnsi="Cambria Math"/>
                <w:lang w:val="en-US"/>
              </w:rPr>
              <m:t>y</m:t>
            </m:r>
          </m:e>
        </m:acc>
        <m:r>
          <w:rPr>
            <w:rFonts w:ascii="Cambria Math" w:hAnsi="Cambria Math"/>
            <w:lang w:val="en-US"/>
          </w:rPr>
          <m:t>=</m:t>
        </m:r>
        <m:sSub>
          <m:sSubPr>
            <m:ctrlPr>
              <w:rPr>
                <w:rFonts w:ascii="Cambria Math" w:eastAsia="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p>
          <m:sSupPr>
            <m:ctrlPr>
              <w:rPr>
                <w:rFonts w:ascii="Cambria Math" w:eastAsia="Cambria Math" w:hAnsi="Cambria Math"/>
                <w:i/>
                <w:lang w:val="en-US"/>
              </w:rPr>
            </m:ctrlPr>
          </m:sSupPr>
          <m:e>
            <m:r>
              <m:rPr>
                <m:sty m:val="bi"/>
              </m:rPr>
              <w:rPr>
                <w:rFonts w:ascii="Cambria Math" w:hAnsi="Cambria Math"/>
                <w:lang w:val="en-US"/>
              </w:rPr>
              <m:t>β</m:t>
            </m:r>
          </m:e>
          <m:sup>
            <m:r>
              <w:rPr>
                <w:rFonts w:ascii="Cambria Math" w:hAnsi="Cambria Math"/>
                <w:lang w:val="en-US"/>
              </w:rPr>
              <m:t>⊤</m:t>
            </m:r>
          </m:sup>
        </m:sSup>
        <m:r>
          <m:rPr>
            <m:sty m:val="bi"/>
          </m:rPr>
          <w:rPr>
            <w:rFonts w:ascii="Cambria Math" w:hAnsi="Cambria Math"/>
            <w:lang w:val="en-US"/>
          </w:rPr>
          <m:t>X</m:t>
        </m:r>
      </m:oMath>
      <w:r w:rsidRPr="000A4838">
        <w:rPr>
          <w:lang w:val="en-US"/>
        </w:rPr>
        <w:t>, the standardized residuals</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rPr>
          <w:trHeight w:val="755"/>
        </w:trPr>
        <w:tc>
          <w:tcPr>
            <w:tcW w:w="8075" w:type="dxa"/>
          </w:tcPr>
          <w:p w:rsidR="007419CB" w:rsidRPr="000A4838" w:rsidRDefault="00CC139D" w:rsidP="0021751D">
            <w:pPr>
              <w:spacing w:after="160" w:line="480" w:lineRule="auto"/>
              <w:rPr>
                <w:lang w:val="en-US"/>
              </w:rPr>
            </w:pPr>
            <m:oMathPara>
              <m:oMath>
                <m:sSub>
                  <m:sSubPr>
                    <m:ctrlPr>
                      <w:rPr>
                        <w:rFonts w:ascii="Cambria Math" w:eastAsia="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f>
                  <m:fPr>
                    <m:ctrlPr>
                      <w:rPr>
                        <w:rFonts w:ascii="Cambria Math" w:eastAsia="Cambria Math" w:hAnsi="Cambria Math"/>
                        <w:i/>
                        <w:lang w:val="en-US"/>
                      </w:rPr>
                    </m:ctrlPr>
                  </m:fPr>
                  <m:num>
                    <m:d>
                      <m:dPr>
                        <m:begChr m:val="|"/>
                        <m:endChr m:val="|"/>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acc>
                          <m:accPr>
                            <m:ctrlPr>
                              <w:rPr>
                                <w:rFonts w:ascii="Cambria Math" w:eastAsia="Cambria Math" w:hAnsi="Cambria Math"/>
                                <w:i/>
                                <w:lang w:val="en-US"/>
                              </w:rPr>
                            </m:ctrlPr>
                          </m:accPr>
                          <m:e>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e>
                        </m:acc>
                      </m:e>
                    </m:d>
                  </m:num>
                  <m:den>
                    <m:sSub>
                      <m:sSubPr>
                        <m:ctrlPr>
                          <w:rPr>
                            <w:rFonts w:ascii="Cambria Math" w:eastAsia="Cambria Math" w:hAnsi="Cambria Math"/>
                            <w:i/>
                            <w:lang w:val="en-US"/>
                          </w:rPr>
                        </m:ctrlPr>
                      </m:sSubPr>
                      <m:e>
                        <m:r>
                          <w:rPr>
                            <w:rFonts w:ascii="Cambria Math" w:hAnsi="Cambria Math"/>
                            <w:lang w:val="en-US"/>
                          </w:rPr>
                          <m:t>σ</m:t>
                        </m:r>
                      </m:e>
                      <m:sub>
                        <m:r>
                          <m:rPr>
                            <m:sty m:val="p"/>
                          </m:rPr>
                          <w:rPr>
                            <w:rFonts w:ascii="Cambria Math" w:hAnsi="Cambria Math"/>
                            <w:lang w:val="en-US"/>
                          </w:rPr>
                          <m:t>resid</m:t>
                        </m:r>
                      </m:sub>
                    </m:sSub>
                  </m:den>
                </m:f>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7</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F4471A" w:rsidRDefault="007419CB" w:rsidP="0021751D">
      <w:pPr>
        <w:spacing w:after="160" w:line="480" w:lineRule="auto"/>
        <w:rPr>
          <w:lang w:val="en-US"/>
        </w:rPr>
      </w:pPr>
      <w:r w:rsidRPr="000A4838">
        <w:rPr>
          <w:lang w:val="en-US"/>
        </w:rPr>
        <w:t xml:space="preserve">are computed, where </w:t>
      </w:r>
      <m:oMath>
        <m:sSub>
          <m:sSubPr>
            <m:ctrlPr>
              <w:rPr>
                <w:rFonts w:ascii="Cambria Math" w:eastAsia="Cambria Math" w:hAnsi="Cambria Math"/>
                <w:i/>
                <w:lang w:val="en-US"/>
              </w:rPr>
            </m:ctrlPr>
          </m:sSubPr>
          <m:e>
            <m:r>
              <w:rPr>
                <w:rFonts w:ascii="Cambria Math" w:hAnsi="Cambria Math"/>
                <w:lang w:val="en-US"/>
              </w:rPr>
              <m:t>σ</m:t>
            </m:r>
          </m:e>
          <m:sub>
            <m:r>
              <m:rPr>
                <m:sty m:val="p"/>
              </m:rPr>
              <w:rPr>
                <w:rFonts w:ascii="Cambria Math" w:hAnsi="Cambria Math"/>
                <w:lang w:val="en-US"/>
              </w:rPr>
              <m:t>resid</m:t>
            </m:r>
          </m:sub>
        </m:sSub>
      </m:oMath>
      <w:r w:rsidRPr="000A4838">
        <w:rPr>
          <w:lang w:val="en-US"/>
        </w:rPr>
        <w:t xml:space="preserve">​ is the standard deviation of the residuals. Points with </w:t>
      </w:r>
      <m:oMath>
        <m:sSub>
          <m:sSubPr>
            <m:ctrlPr>
              <w:rPr>
                <w:rFonts w:ascii="Cambria Math" w:eastAsia="Cambria Math" w:hAnsi="Cambria Math"/>
                <w:i/>
                <w:lang w:val="en-US"/>
              </w:rPr>
            </m:ctrlPr>
          </m:sSubPr>
          <m:e>
            <m:r>
              <w:rPr>
                <w:rFonts w:ascii="Cambria Math" w:hAnsi="Cambria Math"/>
                <w:lang w:val="en-US"/>
              </w:rPr>
              <m:t>s</m:t>
            </m:r>
          </m:e>
          <m:sub>
            <m:r>
              <w:rPr>
                <w:rFonts w:ascii="Cambria Math" w:hAnsi="Cambria Math"/>
                <w:lang w:val="en-US"/>
              </w:rPr>
              <m:t>i</m:t>
            </m:r>
          </m:sub>
        </m:sSub>
      </m:oMath>
      <w:r w:rsidRPr="000A4838">
        <w:rPr>
          <w:lang w:val="en-US"/>
        </w:rPr>
        <w:t xml:space="preserve">​ above a chosen threshold (here, 2.5) are considered outliers. Indeed, many real‐world phenomena are reasonably smooth and can be locally approximated by linear relationships in transformed or </w:t>
      </w:r>
      <w:r w:rsidRPr="000A4838">
        <w:rPr>
          <w:lang w:val="en-US"/>
        </w:rPr>
        <w:lastRenderedPageBreak/>
        <w:t xml:space="preserve">standardized feature space. A linear fit will capture the “center” of the cloud of points even if the true mapping is curved. A high value of </w:t>
      </w:r>
      <m:oMath>
        <m:sSub>
          <m:sSubPr>
            <m:ctrlPr>
              <w:rPr>
                <w:rFonts w:ascii="Cambria Math" w:eastAsia="Cambria Math" w:hAnsi="Cambria Math"/>
                <w:i/>
                <w:lang w:val="en-US"/>
              </w:rPr>
            </m:ctrlPr>
          </m:sSubPr>
          <m:e>
            <m:r>
              <w:rPr>
                <w:rFonts w:ascii="Cambria Math" w:hAnsi="Cambria Math"/>
                <w:lang w:val="en-US"/>
              </w:rPr>
              <m:t>s</m:t>
            </m:r>
          </m:e>
          <m:sub>
            <m:r>
              <w:rPr>
                <w:rFonts w:ascii="Cambria Math" w:hAnsi="Cambria Math"/>
                <w:lang w:val="en-US"/>
              </w:rPr>
              <m:t>i</m:t>
            </m:r>
          </m:sub>
        </m:sSub>
      </m:oMath>
      <w:r w:rsidRPr="000A4838">
        <w:rPr>
          <w:lang w:val="en-US"/>
        </w:rPr>
        <w:t xml:space="preserve"> means that </w:t>
      </w:r>
      <m:oMath>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oMath>
      <w:r w:rsidRPr="000A4838">
        <w:rPr>
          <w:lang w:val="en-US"/>
        </w:rPr>
        <w:t xml:space="preserve"> lies </w:t>
      </w:r>
      <w:r w:rsidRPr="000A4838">
        <w:rPr>
          <w:rStyle w:val="lev"/>
          <w:b w:val="0"/>
          <w:lang w:val="en-US"/>
        </w:rPr>
        <w:t>far from the fitted hyperplane</w:t>
      </w:r>
      <w:r w:rsidRPr="000A4838">
        <w:rPr>
          <w:lang w:val="en-US"/>
        </w:rPr>
        <w:t xml:space="preserve">, beyond what the model considers normal variation, or that </w:t>
      </w:r>
      <m:oMath>
        <m:sSub>
          <m:sSubPr>
            <m:ctrlPr>
              <w:rPr>
                <w:rFonts w:ascii="Cambria Math" w:eastAsia="Cambria Math" w:hAnsi="Cambria Math"/>
                <w:i/>
                <w:lang w:val="en-US"/>
              </w:rPr>
            </m:ctrlPr>
          </m:sSubPr>
          <m:e>
            <m:r>
              <w:rPr>
                <w:rStyle w:val="mord"/>
                <w:rFonts w:ascii="Cambria Math" w:hAnsi="Cambria Math"/>
                <w:lang w:val="en-US"/>
              </w:rPr>
              <m:t>X</m:t>
            </m:r>
          </m:e>
          <m:sub>
            <m:r>
              <w:rPr>
                <w:rStyle w:val="mord"/>
                <w:rFonts w:ascii="Cambria Math" w:hAnsi="Cambria Math"/>
                <w:lang w:val="en-US"/>
              </w:rPr>
              <m:t>i</m:t>
            </m:r>
          </m:sub>
        </m:sSub>
      </m:oMath>
      <w:r w:rsidRPr="000A4838">
        <w:rPr>
          <w:lang w:val="en-US"/>
        </w:rPr>
        <w:t xml:space="preserve"> may be in a region where the model had little data </w:t>
      </w:r>
      <w:r w:rsidRPr="00F4471A">
        <w:rPr>
          <w:lang w:val="en-US"/>
        </w:rPr>
        <w:t xml:space="preserve">to learn from, so they exert undue pull on a plain least‐squares fit. In both cases, it justifies to assume </w:t>
      </w:r>
      <m:oMath>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e>
        </m:d>
      </m:oMath>
      <w:r w:rsidRPr="00F4471A">
        <w:rPr>
          <w:lang w:val="en-US"/>
        </w:rPr>
        <w:t xml:space="preserve"> to be an outlier.</w:t>
      </w:r>
    </w:p>
    <w:p w:rsidR="007419CB" w:rsidRPr="000A4838" w:rsidRDefault="007419CB" w:rsidP="0021751D">
      <w:pPr>
        <w:spacing w:after="160" w:line="480" w:lineRule="auto"/>
        <w:rPr>
          <w:lang w:val="en-US"/>
        </w:rPr>
      </w:pPr>
      <w:r w:rsidRPr="00F4471A">
        <w:rPr>
          <w:lang w:val="en-US"/>
        </w:rPr>
        <w:t xml:space="preserve">Implementation: </w:t>
      </w:r>
      <w:proofErr w:type="spellStart"/>
      <w:r w:rsidRPr="00F4471A">
        <w:rPr>
          <w:rFonts w:ascii="Courier New" w:hAnsi="Courier New" w:cs="Courier New"/>
          <w:sz w:val="20"/>
          <w:szCs w:val="20"/>
          <w:lang w:val="en-US"/>
        </w:rPr>
        <w:t>HuberRegressor</w:t>
      </w:r>
      <w:proofErr w:type="spellEnd"/>
      <w:r w:rsidRPr="00F4471A">
        <w:rPr>
          <w:rFonts w:ascii="Courier New" w:hAnsi="Courier New" w:cs="Courier New"/>
          <w:sz w:val="20"/>
          <w:szCs w:val="20"/>
          <w:lang w:val="en-US"/>
        </w:rPr>
        <w:t>(</w:t>
      </w:r>
      <w:proofErr w:type="spellStart"/>
      <w:r w:rsidRPr="00F4471A">
        <w:rPr>
          <w:rFonts w:ascii="Courier New" w:hAnsi="Courier New" w:cs="Courier New"/>
          <w:sz w:val="20"/>
          <w:szCs w:val="20"/>
          <w:lang w:val="en-US"/>
        </w:rPr>
        <w:t>max_iter</w:t>
      </w:r>
      <w:proofErr w:type="spellEnd"/>
      <w:r w:rsidRPr="00F4471A">
        <w:rPr>
          <w:rFonts w:ascii="Courier New" w:hAnsi="Courier New" w:cs="Courier New"/>
          <w:sz w:val="20"/>
          <w:szCs w:val="20"/>
          <w:lang w:val="en-US"/>
        </w:rPr>
        <w:t>=</w:t>
      </w:r>
      <w:proofErr w:type="spellStart"/>
      <w:r w:rsidRPr="00F4471A">
        <w:rPr>
          <w:rFonts w:ascii="Courier New" w:hAnsi="Courier New" w:cs="Courier New"/>
          <w:sz w:val="20"/>
          <w:szCs w:val="20"/>
          <w:lang w:val="en-US"/>
        </w:rPr>
        <w:t>huber_max_iter</w:t>
      </w:r>
      <w:proofErr w:type="spellEnd"/>
      <w:r w:rsidRPr="00F4471A">
        <w:rPr>
          <w:rFonts w:ascii="Courier New" w:hAnsi="Courier New" w:cs="Courier New"/>
          <w:sz w:val="20"/>
          <w:szCs w:val="20"/>
          <w:lang w:val="en-US"/>
        </w:rPr>
        <w:t>)</w:t>
      </w:r>
      <w:r w:rsidRPr="00F4471A">
        <w:rPr>
          <w:lang w:val="en-US"/>
        </w:rPr>
        <w:t xml:space="preserve"> is fitted – with an increased iteration limit to ensure convergence – and compute absolute residuals. Dividing by the residual standard deviation allows a unit‐less comparison. Samples exceeding the Huber threshold (2.5) are flagged. This method excels at identifying influential points that would otherwise bias an ordinary least squares model.</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24" w:name="_Toc214314328"/>
      <w:bookmarkStart w:id="25" w:name="_Toc216021090"/>
      <w:r w:rsidRPr="000A4838">
        <w:rPr>
          <w:rFonts w:ascii="Times New Roman" w:hAnsi="Times New Roman" w:cs="Times New Roman"/>
          <w:color w:val="auto"/>
          <w:lang w:val="en-US"/>
        </w:rPr>
        <w:t>Combined Outlier Mask and Rationale</w:t>
      </w:r>
      <w:bookmarkEnd w:id="24"/>
      <w:bookmarkEnd w:id="25"/>
    </w:p>
    <w:p w:rsidR="007419CB" w:rsidRPr="00E67B14" w:rsidRDefault="007419CB" w:rsidP="0021751D">
      <w:pPr>
        <w:spacing w:after="160" w:line="480" w:lineRule="auto"/>
        <w:rPr>
          <w:lang w:val="en-US"/>
        </w:rPr>
      </w:pPr>
      <w:r w:rsidRPr="00E67B14">
        <w:rPr>
          <w:lang w:val="en-US"/>
        </w:rPr>
        <w:t xml:space="preserve">Once four Boolean masks are obtained, the final outlier indicator is defined by their sum. The rates of outliers hold remarkably steady across properties (see </w:t>
      </w:r>
      <w:r w:rsidRPr="00E67B14">
        <w:rPr>
          <w:lang w:val="en-US"/>
        </w:rPr>
        <w:fldChar w:fldCharType="begin"/>
      </w:r>
      <w:r w:rsidRPr="00E67B14">
        <w:rPr>
          <w:lang w:val="en-US"/>
        </w:rPr>
        <w:instrText xml:space="preserve"> REF _Ref197795883 \h  \* MERGEFORMAT </w:instrText>
      </w:r>
      <w:r w:rsidRPr="00E67B14">
        <w:rPr>
          <w:lang w:val="en-US"/>
        </w:rPr>
      </w:r>
      <w:r w:rsidRPr="00E67B14">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w:t>
      </w:r>
      <w:r w:rsidRPr="00E67B14">
        <w:rPr>
          <w:lang w:val="en-US"/>
        </w:rPr>
        <w:fldChar w:fldCharType="end"/>
      </w:r>
      <w:r w:rsidRPr="00E67B14">
        <w:rPr>
          <w:lang w:val="en-US"/>
        </w:rPr>
        <w:t>), despite wildly different data origins (DFT vs. experiments vs. AI‐derived). This was expected:</w:t>
      </w:r>
    </w:p>
    <w:p w:rsidR="007419CB" w:rsidRPr="00E67B14" w:rsidRDefault="007419CB" w:rsidP="00F949EF">
      <w:pPr>
        <w:pStyle w:val="Paragraphedeliste"/>
        <w:numPr>
          <w:ilvl w:val="0"/>
          <w:numId w:val="23"/>
        </w:numPr>
        <w:spacing w:after="160" w:line="480" w:lineRule="auto"/>
        <w:contextualSpacing w:val="0"/>
        <w:rPr>
          <w:lang w:val="en-US"/>
        </w:rPr>
      </w:pPr>
      <w:r w:rsidRPr="00E67B14">
        <w:rPr>
          <w:lang w:val="en-US"/>
        </w:rPr>
        <w:t xml:space="preserve">LOF and </w:t>
      </w:r>
      <w:proofErr w:type="spellStart"/>
      <w:r w:rsidRPr="00E67B14">
        <w:rPr>
          <w:lang w:val="en-US"/>
        </w:rPr>
        <w:t>IsolationForest</w:t>
      </w:r>
      <w:proofErr w:type="spellEnd"/>
      <w:r w:rsidRPr="00E67B14">
        <w:rPr>
          <w:lang w:val="en-US"/>
        </w:rPr>
        <w:t xml:space="preserve"> were both set to 5% contamination by default, so each alone will call about 5% of points “outliers.”</w:t>
      </w:r>
    </w:p>
    <w:p w:rsidR="007419CB" w:rsidRPr="00E67B14" w:rsidRDefault="007419CB" w:rsidP="00F949EF">
      <w:pPr>
        <w:pStyle w:val="Paragraphedeliste"/>
        <w:numPr>
          <w:ilvl w:val="0"/>
          <w:numId w:val="23"/>
        </w:numPr>
        <w:spacing w:after="160" w:line="480" w:lineRule="auto"/>
        <w:contextualSpacing w:val="0"/>
        <w:rPr>
          <w:lang w:val="en-US"/>
        </w:rPr>
      </w:pPr>
      <w:proofErr w:type="spellStart"/>
      <w:r w:rsidRPr="00E67B14">
        <w:rPr>
          <w:lang w:val="en-US"/>
        </w:rPr>
        <w:t>kNN</w:t>
      </w:r>
      <w:proofErr w:type="spellEnd"/>
      <w:r w:rsidRPr="00E67B14">
        <w:rPr>
          <w:lang w:val="en-US"/>
        </w:rPr>
        <w:t xml:space="preserve"> and Huber residual thresholds (</w:t>
      </w:r>
      <m:oMath>
        <m:r>
          <w:rPr>
            <w:rFonts w:ascii="Cambria Math" w:hAnsi="Cambria Math"/>
            <w:lang w:val="en-US"/>
          </w:rPr>
          <m:t>≈2σ</m:t>
        </m:r>
      </m:oMath>
      <w:r w:rsidRPr="00E67B14">
        <w:rPr>
          <w:lang w:val="en-US"/>
        </w:rPr>
        <w:t>) each capture another ∼2–3% tail.</w:t>
      </w:r>
    </w:p>
    <w:p w:rsidR="007419CB" w:rsidRPr="00E67B14" w:rsidRDefault="007419CB" w:rsidP="00F949EF">
      <w:pPr>
        <w:pStyle w:val="Paragraphedeliste"/>
        <w:numPr>
          <w:ilvl w:val="0"/>
          <w:numId w:val="23"/>
        </w:numPr>
        <w:spacing w:after="160" w:line="480" w:lineRule="auto"/>
        <w:contextualSpacing w:val="0"/>
        <w:rPr>
          <w:lang w:val="en-US"/>
        </w:rPr>
      </w:pPr>
      <w:r w:rsidRPr="00E67B14">
        <w:rPr>
          <w:lang w:val="en-US"/>
        </w:rPr>
        <w:t>When counting exactly one method flagging a given point, the result is about 5% (LOF) + 5% (</w:t>
      </w:r>
      <w:proofErr w:type="spellStart"/>
      <w:r w:rsidRPr="00E67B14">
        <w:rPr>
          <w:lang w:val="en-US"/>
        </w:rPr>
        <w:t>IsoForest</w:t>
      </w:r>
      <w:proofErr w:type="spellEnd"/>
      <w:r w:rsidRPr="00E67B14">
        <w:rPr>
          <w:lang w:val="en-US"/>
        </w:rPr>
        <w:t>) + 2% (</w:t>
      </w:r>
      <w:proofErr w:type="spellStart"/>
      <w:r w:rsidRPr="00E67B14">
        <w:rPr>
          <w:lang w:val="en-US"/>
        </w:rPr>
        <w:t>kNN</w:t>
      </w:r>
      <w:proofErr w:type="spellEnd"/>
      <w:r w:rsidRPr="00E67B14">
        <w:rPr>
          <w:lang w:val="en-US"/>
        </w:rPr>
        <w:t>) + 0.6% (Huber) minus overlap, and in total about 12%.</w:t>
      </w:r>
    </w:p>
    <w:p w:rsidR="007419CB" w:rsidRPr="000A4838" w:rsidRDefault="007419CB" w:rsidP="0021751D">
      <w:pPr>
        <w:spacing w:after="160" w:line="480" w:lineRule="auto"/>
        <w:rPr>
          <w:lang w:val="en-US"/>
        </w:rPr>
      </w:pPr>
      <w:r w:rsidRPr="00E67B14">
        <w:rPr>
          <w:lang w:val="en-US"/>
        </w:rPr>
        <w:t>All the datasets – no matter the property – belong to the same standardized feature space (same descriptors, same scaling). Even</w:t>
      </w:r>
      <w:r w:rsidRPr="000A4838">
        <w:rPr>
          <w:lang w:val="en-US"/>
        </w:rPr>
        <w:t xml:space="preserve"> if the true </w:t>
      </w:r>
      <m:oMath>
        <m:r>
          <w:rPr>
            <w:rFonts w:ascii="Cambria Math" w:hAnsi="Cambria Math"/>
            <w:lang w:val="en-US"/>
          </w:rPr>
          <m:t>y(</m:t>
        </m:r>
        <m:r>
          <m:rPr>
            <m:sty m:val="bi"/>
          </m:rPr>
          <w:rPr>
            <w:rFonts w:ascii="Cambria Math" w:hAnsi="Cambria Math"/>
            <w:lang w:val="en-US"/>
          </w:rPr>
          <m:t>X</m:t>
        </m:r>
        <m:r>
          <w:rPr>
            <w:rFonts w:ascii="Cambria Math" w:hAnsi="Cambria Math"/>
            <w:lang w:val="en-US"/>
          </w:rPr>
          <m:t>)</m:t>
        </m:r>
      </m:oMath>
      <w:r w:rsidRPr="000A4838">
        <w:rPr>
          <w:lang w:val="en-US"/>
        </w:rPr>
        <w:t xml:space="preserve"> relationship differs, the distribution of </w:t>
      </w:r>
      <w:r w:rsidRPr="000A4838">
        <w:rPr>
          <w:lang w:val="en-US"/>
        </w:rPr>
        <w:lastRenderedPageBreak/>
        <w:t xml:space="preserve">points in </w:t>
      </w:r>
      <m:oMath>
        <m:r>
          <m:rPr>
            <m:sty m:val="bi"/>
          </m:rPr>
          <w:rPr>
            <w:rFonts w:ascii="Cambria Math" w:hAnsi="Cambria Math"/>
            <w:lang w:val="en-US"/>
          </w:rPr>
          <m:t>X</m:t>
        </m:r>
      </m:oMath>
      <w:r w:rsidRPr="000A4838">
        <w:rPr>
          <w:lang w:val="en-US"/>
        </w:rPr>
        <w:t>-space looks similar once standardized, so density‐based and split-based detectors behave similarly. Every measurement or calculation method has some intrinsic noise or occasional artifact. The pipeline is simply catching that baseline noise at about the same rate everywhere.</w:t>
      </w:r>
    </w:p>
    <w:p w:rsidR="007419CB" w:rsidRPr="000A4838" w:rsidRDefault="007419CB" w:rsidP="0021751D">
      <w:pPr>
        <w:spacing w:after="160" w:line="480" w:lineRule="auto"/>
        <w:rPr>
          <w:lang w:val="en-US"/>
        </w:rPr>
      </w:pPr>
      <w:r w:rsidRPr="000A4838">
        <w:rPr>
          <w:lang w:val="en-US"/>
        </w:rPr>
        <w:t xml:space="preserve">The strategy adopted is to be conservative with dataset known for the poor quality of the data (eliminate any suspected outlier) – “creep” and “high-temperature oxidation” datasets –, ignore potential outliers when the machine learning reaches excellent </w:t>
      </w:r>
      <m:oMath>
        <m:r>
          <w:rPr>
            <w:rFonts w:ascii="Cambria Math" w:hAnsi="Cambria Math"/>
            <w:lang w:val="en-US"/>
          </w:rPr>
          <m:t>R²</m:t>
        </m:r>
      </m:oMath>
      <w:r w:rsidRPr="000A4838">
        <w:rPr>
          <w:lang w:val="en-US"/>
        </w:rPr>
        <w:t xml:space="preserve"> on the whole data – “density” dataset –, and adopt a moderate strategy (dismiss data with a score of 3 or 4) with other quantities. It will be validated with different trials and learning comparisons during the machine learning process.</w:t>
      </w: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2906E85D" wp14:editId="090D0C02">
            <wp:extent cx="6023610" cy="535305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6023610" cy="5353050"/>
                    </a:xfrm>
                    <a:prstGeom prst="rect">
                      <a:avLst/>
                    </a:prstGeom>
                    <a:noFill/>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26" w:name="_Ref197795883"/>
      <w:bookmarkStart w:id="27" w:name="_Ref197795855"/>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w:t>
      </w:r>
      <w:r w:rsidRPr="000A4838">
        <w:rPr>
          <w:rFonts w:ascii="Arial" w:hAnsi="Arial" w:cs="Arial"/>
          <w:b/>
          <w:i w:val="0"/>
          <w:color w:val="auto"/>
          <w:sz w:val="20"/>
          <w:szCs w:val="20"/>
          <w:lang w:val="en-US"/>
        </w:rPr>
        <w:fldChar w:fldCharType="end"/>
      </w:r>
      <w:bookmarkEnd w:id="26"/>
      <w:r w:rsidRPr="000A4838">
        <w:rPr>
          <w:rFonts w:ascii="Arial" w:hAnsi="Arial" w:cs="Arial"/>
          <w:b/>
          <w:i w:val="0"/>
          <w:color w:val="auto"/>
          <w:sz w:val="20"/>
          <w:szCs w:val="20"/>
          <w:lang w:val="en-US"/>
        </w:rPr>
        <w:t xml:space="preserve">: </w:t>
      </w:r>
      <w:bookmarkStart w:id="28" w:name="_Ref197795865"/>
      <w:r w:rsidRPr="000A4838">
        <w:rPr>
          <w:rFonts w:ascii="Arial" w:hAnsi="Arial" w:cs="Arial"/>
          <w:b/>
          <w:i w:val="0"/>
          <w:color w:val="auto"/>
          <w:sz w:val="20"/>
          <w:szCs w:val="20"/>
          <w:lang w:val="en-US"/>
        </w:rPr>
        <w:t>Outlier Scores for each Physical Quantity to be Learned</w:t>
      </w:r>
      <w:bookmarkEnd w:id="27"/>
      <w:bookmarkEnd w:id="28"/>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The outlier detection is done using four different methods: Local Outlier Factor, Isolation Forest, k-Nearest-Neighbor, and Huber Regression. In the context of each learning to be done, each data receives a score between 0 (normal) and 4 (tagged as outlier by each method). The results are presented in percentage of the global dataset.</w:t>
      </w: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29" w:name="_Ref205243535"/>
      <w:bookmarkStart w:id="30" w:name="_Toc214314329"/>
      <w:bookmarkStart w:id="31" w:name="_Toc216021091"/>
      <w:r w:rsidRPr="000A4838">
        <w:rPr>
          <w:rFonts w:ascii="Times New Roman" w:hAnsi="Times New Roman" w:cs="Times New Roman"/>
          <w:color w:val="auto"/>
          <w:sz w:val="24"/>
          <w:szCs w:val="24"/>
          <w:lang w:val="en-US"/>
        </w:rPr>
        <w:t>Descriptors Selection</w:t>
      </w:r>
      <w:bookmarkEnd w:id="29"/>
      <w:bookmarkEnd w:id="30"/>
      <w:bookmarkEnd w:id="31"/>
    </w:p>
    <w:p w:rsidR="007419CB" w:rsidRPr="00092C88" w:rsidRDefault="007419CB" w:rsidP="0021751D">
      <w:pPr>
        <w:spacing w:after="160" w:line="480" w:lineRule="auto"/>
        <w:rPr>
          <w:highlight w:val="yellow"/>
          <w:lang w:val="en-US"/>
        </w:rPr>
      </w:pPr>
      <w:r w:rsidRPr="000A4838">
        <w:rPr>
          <w:lang w:val="en-US"/>
        </w:rPr>
        <w:t xml:space="preserve">Effective feature (descriptor) selection is a critical step in the development of predictive models, particularly when the number of candidate descriptors is large relative to the available </w:t>
      </w:r>
      <w:r w:rsidRPr="000A4838">
        <w:rPr>
          <w:lang w:val="en-US"/>
        </w:rPr>
        <w:lastRenderedPageBreak/>
        <w:t>data. In this work, a</w:t>
      </w:r>
      <w:r>
        <w:rPr>
          <w:lang w:val="en-US"/>
        </w:rPr>
        <w:t xml:space="preserve">n </w:t>
      </w:r>
      <w:r w:rsidRPr="000A4838">
        <w:rPr>
          <w:lang w:val="en-US"/>
        </w:rPr>
        <w:t xml:space="preserve">ensemble‐inspired pipeline is employed to identify the most informative descriptors among 42 candidates. The pipeline comprises four complementary selection methods – Spearman rank correlation, Mutual Information (MI), </w:t>
      </w:r>
      <w:proofErr w:type="spellStart"/>
      <w:r w:rsidRPr="000A4838">
        <w:rPr>
          <w:lang w:val="en-US"/>
        </w:rPr>
        <w:t>XGBoost</w:t>
      </w:r>
      <w:proofErr w:type="spellEnd"/>
      <w:r w:rsidRPr="000A4838">
        <w:rPr>
          <w:lang w:val="en-US"/>
        </w:rPr>
        <w:t xml:space="preserve"> embedded importance, and Recursive Feature Elimination with Cross‐Validation (RFECV) – applied repeatedly on bootstrap resamples. By averaging scores or ranks across bootstraps and applying method‐specific thresholds, the approach seeks to improve stability and mitigate overfitting, collinearity, and sampling variability</w:t>
      </w:r>
      <w:r w:rsidRPr="00E67B14">
        <w:rPr>
          <w:lang w:val="en-US"/>
        </w:rPr>
        <w:t>. In the following sections, the principles, strengths, and limitations of each method are detailed, and how their integration yields a reliable final descriptor set for downstream modeling is described.</w:t>
      </w: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32" w:name="_Toc214314330"/>
      <w:bookmarkStart w:id="33" w:name="_Toc216021092"/>
      <w:r w:rsidRPr="000A4838">
        <w:rPr>
          <w:rFonts w:ascii="Times New Roman" w:hAnsi="Times New Roman" w:cs="Times New Roman"/>
          <w:color w:val="auto"/>
          <w:lang w:val="en-US"/>
        </w:rPr>
        <w:t>Spearman Rank Correlation</w:t>
      </w:r>
      <w:bookmarkEnd w:id="32"/>
      <w:bookmarkEnd w:id="33"/>
    </w:p>
    <w:p w:rsidR="007419CB" w:rsidRPr="00E67B14" w:rsidRDefault="007419CB" w:rsidP="0021751D">
      <w:pPr>
        <w:spacing w:after="160" w:line="480" w:lineRule="auto"/>
        <w:rPr>
          <w:lang w:val="en-US"/>
        </w:rPr>
      </w:pPr>
      <w:r w:rsidRPr="000A4838">
        <w:rPr>
          <w:lang w:val="en-US"/>
        </w:rPr>
        <w:t xml:space="preserve">Spearman’s rank correlation coefficient measures the strength and direction of a monotonic relationship between each descriptor </w:t>
      </w:r>
      <m:oMath>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j</m:t>
            </m:r>
          </m:sub>
        </m:sSub>
      </m:oMath>
      <w:r w:rsidRPr="000A4838">
        <w:rPr>
          <w:lang w:val="en-US"/>
        </w:rPr>
        <w:t xml:space="preserve">​ and the continuous target variable </w:t>
      </w:r>
      <m:oMath>
        <m:r>
          <w:rPr>
            <w:rFonts w:ascii="Cambria Math" w:hAnsi="Cambria Math"/>
            <w:lang w:val="en-US"/>
          </w:rPr>
          <m:t>y</m:t>
        </m:r>
      </m:oMath>
      <w:r w:rsidRPr="000A4838">
        <w:rPr>
          <w:lang w:val="en-US"/>
        </w:rPr>
        <w:t xml:space="preserve">. Unlike Pearson’s correlation, which assumes linearity, Spearman’s </w:t>
      </w:r>
      <m:oMath>
        <m:r>
          <w:rPr>
            <w:rFonts w:ascii="Cambria Math" w:hAnsi="Cambria Math"/>
            <w:lang w:val="en-US"/>
          </w:rPr>
          <m:t>ρ</m:t>
        </m:r>
      </m:oMath>
      <w:r w:rsidRPr="000A4838">
        <w:rPr>
          <w:lang w:val="en-US"/>
        </w:rPr>
        <w:t xml:space="preserve"> is computed on the ranks of the data, rendering it sensitive to any strictl</w:t>
      </w:r>
      <w:r w:rsidRPr="00E67B14">
        <w:rPr>
          <w:lang w:val="en-US"/>
        </w:rPr>
        <w:t>y monotonic association, whether linear or nonlinear:</w:t>
      </w:r>
    </w:p>
    <w:p w:rsidR="007419CB" w:rsidRPr="000A4838" w:rsidRDefault="007419CB" w:rsidP="00F949EF">
      <w:pPr>
        <w:pStyle w:val="Paragraphedeliste"/>
        <w:numPr>
          <w:ilvl w:val="0"/>
          <w:numId w:val="10"/>
        </w:numPr>
        <w:spacing w:after="160" w:line="480" w:lineRule="auto"/>
        <w:contextualSpacing w:val="0"/>
        <w:rPr>
          <w:lang w:val="en-US"/>
        </w:rPr>
      </w:pPr>
      <w:r w:rsidRPr="00E67B14">
        <w:rPr>
          <w:lang w:val="en-US"/>
        </w:rPr>
        <w:t xml:space="preserve">Each raw value </w:t>
      </w:r>
      <m:oMath>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oMath>
      <w:r w:rsidRPr="00E67B14">
        <w:rPr>
          <w:lang w:val="en-US"/>
        </w:rPr>
        <w:t xml:space="preserve">​ is replaced by its rank </w:t>
      </w:r>
      <m:oMath>
        <m:r>
          <w:rPr>
            <w:rFonts w:ascii="Cambria Math" w:hAnsi="Cambria Math"/>
            <w:lang w:val="en-US"/>
          </w:rPr>
          <m:t>R(</m:t>
        </m:r>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oMath>
      <w:r w:rsidRPr="00E67B14">
        <w:rPr>
          <w:lang w:val="en-US"/>
        </w:rPr>
        <w:t>, i.e. its</w:t>
      </w:r>
      <w:r w:rsidRPr="000A4838">
        <w:rPr>
          <w:lang w:val="en-US"/>
        </w:rPr>
        <w:t xml:space="preserve"> position when the </w:t>
      </w:r>
      <m:oMath>
        <m:r>
          <m:rPr>
            <m:sty m:val="bi"/>
          </m:rPr>
          <w:rPr>
            <w:rFonts w:ascii="Cambria Math" w:hAnsi="Cambria Math"/>
            <w:lang w:val="en-US"/>
          </w:rPr>
          <m:t>x</m:t>
        </m:r>
      </m:oMath>
      <w:r w:rsidRPr="000A4838">
        <w:rPr>
          <w:lang w:val="en-US"/>
        </w:rPr>
        <w:t>-values are sorted ascending (smallest → rank 1, next → rank 2, …). Tied values receive the average of their occupied ranks.</w:t>
      </w:r>
    </w:p>
    <w:p w:rsidR="007419CB" w:rsidRPr="000A4838" w:rsidRDefault="007419CB" w:rsidP="00F949EF">
      <w:pPr>
        <w:pStyle w:val="Paragraphedeliste"/>
        <w:numPr>
          <w:ilvl w:val="0"/>
          <w:numId w:val="10"/>
        </w:numPr>
        <w:spacing w:after="160" w:line="480" w:lineRule="auto"/>
        <w:contextualSpacing w:val="0"/>
        <w:rPr>
          <w:lang w:val="en-US"/>
        </w:rPr>
      </w:pPr>
      <w:r w:rsidRPr="000A4838">
        <w:rPr>
          <w:lang w:val="en-US"/>
        </w:rPr>
        <w:t xml:space="preserve">The same is done for the </w:t>
      </w:r>
      <m:oMath>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oMath>
      <w:r w:rsidRPr="000A4838">
        <w:rPr>
          <w:lang w:val="en-US"/>
        </w:rPr>
        <w:t xml:space="preserve">​ to get ranks </w:t>
      </w:r>
      <m:oMath>
        <m:r>
          <w:rPr>
            <w:rFonts w:ascii="Cambria Math" w:hAnsi="Cambria Math"/>
            <w:lang w:val="en-US"/>
          </w:rPr>
          <m:t>R(</m:t>
        </m:r>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oMath>
      <w:r w:rsidRPr="000A4838">
        <w:rPr>
          <w:lang w:val="en-US"/>
        </w:rPr>
        <w:t>.</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7419CB" w:rsidP="0021751D">
            <w:pPr>
              <w:spacing w:after="160" w:line="480" w:lineRule="auto"/>
              <w:rPr>
                <w:lang w:val="en-US"/>
              </w:rPr>
            </w:pPr>
            <m:oMathPara>
              <m:oMath>
                <m:r>
                  <w:rPr>
                    <w:rFonts w:ascii="Cambria Math" w:hAnsi="Cambria Math"/>
                    <w:lang w:val="en-US"/>
                  </w:rPr>
                  <m:t>ρ=</m:t>
                </m:r>
                <m:f>
                  <m:fPr>
                    <m:ctrlPr>
                      <w:rPr>
                        <w:rFonts w:ascii="Cambria Math" w:eastAsia="Cambria Math" w:hAnsi="Cambria Math"/>
                        <w:i/>
                        <w:lang w:val="en-US"/>
                      </w:rPr>
                    </m:ctrlPr>
                  </m:fPr>
                  <m:num>
                    <m:nary>
                      <m:naryPr>
                        <m:chr m:val="∑"/>
                        <m:limLoc m:val="undOvr"/>
                        <m:ctrlPr>
                          <w:rPr>
                            <w:rFonts w:ascii="Cambria Math" w:eastAsia="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eastAsia="Cambria Math" w:hAnsi="Cambria Math"/>
                                <w:i/>
                                <w:lang w:val="en-US"/>
                              </w:rPr>
                            </m:ctrlPr>
                          </m:dPr>
                          <m:e>
                            <m:r>
                              <w:rPr>
                                <w:rFonts w:ascii="Cambria Math" w:hAnsi="Cambria Math"/>
                                <w:lang w:val="en-US"/>
                              </w:rPr>
                              <m:t>R</m:t>
                            </m:r>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acc>
                              <m:accPr>
                                <m:chr m:val="̅"/>
                                <m:ctrlPr>
                                  <w:rPr>
                                    <w:rFonts w:ascii="Cambria Math" w:eastAsia="Cambria Math" w:hAnsi="Cambria Math"/>
                                    <w:i/>
                                    <w:lang w:val="en-US"/>
                                  </w:rPr>
                                </m:ctrlPr>
                              </m:accPr>
                              <m:e>
                                <m:sSub>
                                  <m:sSubPr>
                                    <m:ctrlPr>
                                      <w:rPr>
                                        <w:rFonts w:ascii="Cambria Math" w:eastAsia="Cambria Math" w:hAnsi="Cambria Math"/>
                                        <w:i/>
                                        <w:lang w:val="en-US"/>
                                      </w:rPr>
                                    </m:ctrlPr>
                                  </m:sSubPr>
                                  <m:e>
                                    <m:r>
                                      <w:rPr>
                                        <w:rFonts w:ascii="Cambria Math" w:hAnsi="Cambria Math"/>
                                        <w:lang w:val="en-US"/>
                                      </w:rPr>
                                      <m:t>R</m:t>
                                    </m:r>
                                  </m:e>
                                  <m:sub>
                                    <m:r>
                                      <m:rPr>
                                        <m:sty m:val="bi"/>
                                      </m:rPr>
                                      <w:rPr>
                                        <w:rFonts w:ascii="Cambria Math" w:hAnsi="Cambria Math"/>
                                        <w:lang w:val="en-US"/>
                                      </w:rPr>
                                      <m:t>x</m:t>
                                    </m:r>
                                  </m:sub>
                                </m:sSub>
                              </m:e>
                            </m:acc>
                          </m:e>
                        </m:d>
                      </m:e>
                    </m:nary>
                    <m:d>
                      <m:dPr>
                        <m:ctrlPr>
                          <w:rPr>
                            <w:rFonts w:ascii="Cambria Math" w:eastAsia="Cambria Math" w:hAnsi="Cambria Math"/>
                            <w:i/>
                            <w:lang w:val="en-US"/>
                          </w:rPr>
                        </m:ctrlPr>
                      </m:dPr>
                      <m:e>
                        <m:r>
                          <w:rPr>
                            <w:rFonts w:ascii="Cambria Math" w:hAnsi="Cambria Math"/>
                            <w:lang w:val="en-US"/>
                          </w:rPr>
                          <m:t>R</m:t>
                        </m:r>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e>
                        </m:d>
                        <m:r>
                          <w:rPr>
                            <w:rFonts w:ascii="Cambria Math" w:hAnsi="Cambria Math"/>
                            <w:lang w:val="en-US"/>
                          </w:rPr>
                          <m:t>-</m:t>
                        </m:r>
                        <m:acc>
                          <m:accPr>
                            <m:chr m:val="̅"/>
                            <m:ctrlPr>
                              <w:rPr>
                                <w:rFonts w:ascii="Cambria Math" w:eastAsia="Cambria Math" w:hAnsi="Cambria Math"/>
                                <w:i/>
                                <w:lang w:val="en-US"/>
                              </w:rPr>
                            </m:ctrlPr>
                          </m:accPr>
                          <m:e>
                            <m:sSub>
                              <m:sSubPr>
                                <m:ctrlPr>
                                  <w:rPr>
                                    <w:rFonts w:ascii="Cambria Math" w:eastAsia="Cambria Math" w:hAnsi="Cambria Math"/>
                                    <w:i/>
                                    <w:lang w:val="en-US"/>
                                  </w:rPr>
                                </m:ctrlPr>
                              </m:sSubPr>
                              <m:e>
                                <m:r>
                                  <w:rPr>
                                    <w:rFonts w:ascii="Cambria Math" w:hAnsi="Cambria Math"/>
                                    <w:lang w:val="en-US"/>
                                  </w:rPr>
                                  <m:t>R</m:t>
                                </m:r>
                              </m:e>
                              <m:sub>
                                <m:r>
                                  <m:rPr>
                                    <m:sty m:val="bi"/>
                                  </m:rPr>
                                  <w:rPr>
                                    <w:rFonts w:ascii="Cambria Math" w:hAnsi="Cambria Math"/>
                                    <w:lang w:val="en-US"/>
                                  </w:rPr>
                                  <m:t>y</m:t>
                                </m:r>
                              </m:sub>
                            </m:sSub>
                          </m:e>
                        </m:acc>
                      </m:e>
                    </m:d>
                  </m:num>
                  <m:den>
                    <m:rad>
                      <m:radPr>
                        <m:degHide m:val="1"/>
                        <m:ctrlPr>
                          <w:rPr>
                            <w:rFonts w:ascii="Cambria Math" w:eastAsia="Cambria Math" w:hAnsi="Cambria Math"/>
                            <w:i/>
                            <w:lang w:val="en-US"/>
                          </w:rPr>
                        </m:ctrlPr>
                      </m:radPr>
                      <m:deg/>
                      <m:e>
                        <m:nary>
                          <m:naryPr>
                            <m:chr m:val="∑"/>
                            <m:limLoc m:val="undOvr"/>
                            <m:ctrlPr>
                              <w:rPr>
                                <w:rFonts w:ascii="Cambria Math" w:eastAsia="Cambria Math" w:hAnsi="Cambria Math"/>
                                <w:i/>
                                <w:lang w:val="en-US"/>
                              </w:rPr>
                            </m:ctrlPr>
                          </m:naryPr>
                          <m:sub>
                            <m:r>
                              <w:rPr>
                                <w:rFonts w:ascii="Cambria Math" w:hAnsi="Cambria Math"/>
                                <w:lang w:val="en-US"/>
                              </w:rPr>
                              <m:t>i=1</m:t>
                            </m:r>
                          </m:sub>
                          <m:sup>
                            <m:r>
                              <w:rPr>
                                <w:rFonts w:ascii="Cambria Math" w:hAnsi="Cambria Math"/>
                                <w:lang w:val="en-US"/>
                              </w:rPr>
                              <m:t>n</m:t>
                            </m:r>
                          </m:sup>
                          <m:e>
                            <m:sSup>
                              <m:sSupPr>
                                <m:ctrlPr>
                                  <w:rPr>
                                    <w:rFonts w:ascii="Cambria Math" w:eastAsia="Cambria Math" w:hAnsi="Cambria Math"/>
                                    <w:i/>
                                    <w:lang w:val="en-US"/>
                                  </w:rPr>
                                </m:ctrlPr>
                              </m:sSupPr>
                              <m:e>
                                <m:d>
                                  <m:dPr>
                                    <m:ctrlPr>
                                      <w:rPr>
                                        <w:rFonts w:ascii="Cambria Math" w:eastAsia="Cambria Math" w:hAnsi="Cambria Math"/>
                                        <w:i/>
                                        <w:lang w:val="en-US"/>
                                      </w:rPr>
                                    </m:ctrlPr>
                                  </m:dPr>
                                  <m:e>
                                    <m:r>
                                      <w:rPr>
                                        <w:rFonts w:ascii="Cambria Math" w:hAnsi="Cambria Math"/>
                                        <w:lang w:val="en-US"/>
                                      </w:rPr>
                                      <m:t>R</m:t>
                                    </m:r>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acc>
                                      <m:accPr>
                                        <m:chr m:val="̅"/>
                                        <m:ctrlPr>
                                          <w:rPr>
                                            <w:rFonts w:ascii="Cambria Math" w:eastAsia="Cambria Math" w:hAnsi="Cambria Math"/>
                                            <w:i/>
                                            <w:lang w:val="en-US"/>
                                          </w:rPr>
                                        </m:ctrlPr>
                                      </m:accPr>
                                      <m:e>
                                        <m:sSub>
                                          <m:sSubPr>
                                            <m:ctrlPr>
                                              <w:rPr>
                                                <w:rFonts w:ascii="Cambria Math" w:eastAsia="Cambria Math" w:hAnsi="Cambria Math"/>
                                                <w:i/>
                                                <w:lang w:val="en-US"/>
                                              </w:rPr>
                                            </m:ctrlPr>
                                          </m:sSubPr>
                                          <m:e>
                                            <m:r>
                                              <w:rPr>
                                                <w:rFonts w:ascii="Cambria Math" w:hAnsi="Cambria Math"/>
                                                <w:lang w:val="en-US"/>
                                              </w:rPr>
                                              <m:t>R</m:t>
                                            </m:r>
                                          </m:e>
                                          <m:sub>
                                            <m:r>
                                              <m:rPr>
                                                <m:sty m:val="bi"/>
                                              </m:rPr>
                                              <w:rPr>
                                                <w:rFonts w:ascii="Cambria Math" w:hAnsi="Cambria Math"/>
                                                <w:lang w:val="en-US"/>
                                              </w:rPr>
                                              <m:t>x</m:t>
                                            </m:r>
                                          </m:sub>
                                        </m:sSub>
                                      </m:e>
                                    </m:acc>
                                  </m:e>
                                </m:d>
                              </m:e>
                              <m:sup>
                                <m:r>
                                  <w:rPr>
                                    <w:rFonts w:ascii="Cambria Math" w:hAnsi="Cambria Math"/>
                                    <w:lang w:val="en-US"/>
                                  </w:rPr>
                                  <m:t>2</m:t>
                                </m:r>
                              </m:sup>
                            </m:sSup>
                          </m:e>
                        </m:nary>
                      </m:e>
                    </m:rad>
                    <m:rad>
                      <m:radPr>
                        <m:degHide m:val="1"/>
                        <m:ctrlPr>
                          <w:rPr>
                            <w:rFonts w:ascii="Cambria Math" w:eastAsia="Cambria Math" w:hAnsi="Cambria Math"/>
                            <w:i/>
                            <w:lang w:val="en-US"/>
                          </w:rPr>
                        </m:ctrlPr>
                      </m:radPr>
                      <m:deg/>
                      <m:e>
                        <m:nary>
                          <m:naryPr>
                            <m:chr m:val="∑"/>
                            <m:limLoc m:val="undOvr"/>
                            <m:ctrlPr>
                              <w:rPr>
                                <w:rFonts w:ascii="Cambria Math" w:eastAsia="Cambria Math" w:hAnsi="Cambria Math"/>
                                <w:i/>
                                <w:lang w:val="en-US"/>
                              </w:rPr>
                            </m:ctrlPr>
                          </m:naryPr>
                          <m:sub>
                            <m:r>
                              <w:rPr>
                                <w:rFonts w:ascii="Cambria Math" w:hAnsi="Cambria Math"/>
                                <w:lang w:val="en-US"/>
                              </w:rPr>
                              <m:t>i=1</m:t>
                            </m:r>
                          </m:sub>
                          <m:sup>
                            <m:r>
                              <w:rPr>
                                <w:rFonts w:ascii="Cambria Math" w:hAnsi="Cambria Math"/>
                                <w:lang w:val="en-US"/>
                              </w:rPr>
                              <m:t>n</m:t>
                            </m:r>
                          </m:sup>
                          <m:e>
                            <m:sSup>
                              <m:sSupPr>
                                <m:ctrlPr>
                                  <w:rPr>
                                    <w:rFonts w:ascii="Cambria Math" w:eastAsia="Cambria Math" w:hAnsi="Cambria Math"/>
                                    <w:i/>
                                    <w:lang w:val="en-US"/>
                                  </w:rPr>
                                </m:ctrlPr>
                              </m:sSupPr>
                              <m:e>
                                <m:d>
                                  <m:dPr>
                                    <m:ctrlPr>
                                      <w:rPr>
                                        <w:rFonts w:ascii="Cambria Math" w:eastAsia="Cambria Math" w:hAnsi="Cambria Math"/>
                                        <w:i/>
                                        <w:lang w:val="en-US"/>
                                      </w:rPr>
                                    </m:ctrlPr>
                                  </m:dPr>
                                  <m:e>
                                    <m:r>
                                      <w:rPr>
                                        <w:rFonts w:ascii="Cambria Math" w:hAnsi="Cambria Math"/>
                                        <w:lang w:val="en-US"/>
                                      </w:rPr>
                                      <m:t>R</m:t>
                                    </m:r>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hAnsi="Cambria Math"/>
                                                <w:lang w:val="en-US"/>
                                              </w:rPr>
                                              <m:t>y</m:t>
                                            </m:r>
                                          </m:e>
                                          <m:sub>
                                            <m:r>
                                              <w:rPr>
                                                <w:rFonts w:ascii="Cambria Math" w:hAnsi="Cambria Math"/>
                                                <w:lang w:val="en-US"/>
                                              </w:rPr>
                                              <m:t>i</m:t>
                                            </m:r>
                                          </m:sub>
                                        </m:sSub>
                                      </m:e>
                                    </m:d>
                                    <m:r>
                                      <w:rPr>
                                        <w:rFonts w:ascii="Cambria Math" w:hAnsi="Cambria Math"/>
                                        <w:lang w:val="en-US"/>
                                      </w:rPr>
                                      <m:t>-</m:t>
                                    </m:r>
                                    <m:acc>
                                      <m:accPr>
                                        <m:chr m:val="̅"/>
                                        <m:ctrlPr>
                                          <w:rPr>
                                            <w:rFonts w:ascii="Cambria Math" w:eastAsia="Cambria Math" w:hAnsi="Cambria Math"/>
                                            <w:i/>
                                            <w:lang w:val="en-US"/>
                                          </w:rPr>
                                        </m:ctrlPr>
                                      </m:accPr>
                                      <m:e>
                                        <m:sSub>
                                          <m:sSubPr>
                                            <m:ctrlPr>
                                              <w:rPr>
                                                <w:rFonts w:ascii="Cambria Math" w:eastAsia="Cambria Math" w:hAnsi="Cambria Math"/>
                                                <w:i/>
                                                <w:lang w:val="en-US"/>
                                              </w:rPr>
                                            </m:ctrlPr>
                                          </m:sSubPr>
                                          <m:e>
                                            <m:r>
                                              <w:rPr>
                                                <w:rFonts w:ascii="Cambria Math" w:hAnsi="Cambria Math"/>
                                                <w:lang w:val="en-US"/>
                                              </w:rPr>
                                              <m:t>R</m:t>
                                            </m:r>
                                          </m:e>
                                          <m:sub>
                                            <m:r>
                                              <m:rPr>
                                                <m:sty m:val="bi"/>
                                              </m:rPr>
                                              <w:rPr>
                                                <w:rFonts w:ascii="Cambria Math" w:hAnsi="Cambria Math"/>
                                                <w:lang w:val="en-US"/>
                                              </w:rPr>
                                              <m:t>y</m:t>
                                            </m:r>
                                          </m:sub>
                                        </m:sSub>
                                      </m:e>
                                    </m:acc>
                                  </m:e>
                                </m:d>
                              </m:e>
                              <m:sup>
                                <m:r>
                                  <w:rPr>
                                    <w:rFonts w:ascii="Cambria Math" w:hAnsi="Cambria Math"/>
                                    <w:lang w:val="en-US"/>
                                  </w:rPr>
                                  <m:t>2</m:t>
                                </m:r>
                              </m:sup>
                            </m:sSup>
                          </m:e>
                        </m:nary>
                      </m:e>
                    </m:rad>
                  </m:den>
                </m:f>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8</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spacing w:after="160" w:line="480" w:lineRule="auto"/>
        <w:rPr>
          <w:lang w:val="en-US"/>
        </w:rPr>
      </w:pPr>
      <w:r w:rsidRPr="000A4838">
        <w:rPr>
          <w:bCs/>
          <w:lang w:val="en-US"/>
        </w:rPr>
        <w:t>Implementation:</w:t>
      </w:r>
      <w:r w:rsidRPr="000A4838">
        <w:rPr>
          <w:lang w:val="en-US"/>
        </w:rPr>
        <w:t xml:space="preserve"> for each bootstrap replicate, the absolute value of </w:t>
      </w:r>
      <m:oMath>
        <m:r>
          <w:rPr>
            <w:rFonts w:ascii="Cambria Math" w:hAnsi="Cambria Math"/>
            <w:lang w:val="en-US"/>
          </w:rPr>
          <m:t>ρ</m:t>
        </m:r>
      </m:oMath>
      <w:r w:rsidRPr="000A4838">
        <w:rPr>
          <w:lang w:val="en-US"/>
        </w:rPr>
        <w:t xml:space="preserve"> is computed for all descriptors, yielding a vector of scores. Averaging these scores over </w:t>
      </w:r>
      <m:oMath>
        <m:r>
          <w:rPr>
            <w:rFonts w:ascii="Cambria Math" w:hAnsi="Cambria Math"/>
            <w:lang w:val="en-US"/>
          </w:rPr>
          <m:t>n</m:t>
        </m:r>
      </m:oMath>
      <w:r w:rsidRPr="000A4838">
        <w:rPr>
          <w:lang w:val="en-US"/>
        </w:rPr>
        <w:t xml:space="preserve"> repeats produces a robust estimate of each descriptor’s monotonic association strength.</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34" w:name="_Toc214314331"/>
      <w:bookmarkStart w:id="35" w:name="_Toc216021093"/>
      <w:r w:rsidRPr="000A4838">
        <w:rPr>
          <w:rFonts w:ascii="Times New Roman" w:hAnsi="Times New Roman" w:cs="Times New Roman"/>
          <w:color w:val="auto"/>
          <w:lang w:val="en-US"/>
        </w:rPr>
        <w:t>Mutual Information</w:t>
      </w:r>
      <w:bookmarkEnd w:id="34"/>
      <w:bookmarkEnd w:id="35"/>
    </w:p>
    <w:p w:rsidR="007419CB" w:rsidRPr="000A4838" w:rsidRDefault="007419CB" w:rsidP="0021751D">
      <w:pPr>
        <w:spacing w:after="160" w:line="480" w:lineRule="auto"/>
        <w:rPr>
          <w:bCs/>
          <w:lang w:val="en-US"/>
        </w:rPr>
      </w:pPr>
      <w:r w:rsidRPr="000A4838">
        <w:rPr>
          <w:bCs/>
          <w:lang w:val="en-US"/>
        </w:rPr>
        <w:t xml:space="preserve">Mutual information (MI) quantifies the reduction in uncertainty of the target </w:t>
      </w:r>
      <m:oMath>
        <m:r>
          <w:rPr>
            <w:rFonts w:ascii="Cambria Math" w:hAnsi="Cambria Math"/>
            <w:lang w:val="en-US"/>
          </w:rPr>
          <m:t>y</m:t>
        </m:r>
      </m:oMath>
      <w:r w:rsidRPr="000A4838">
        <w:rPr>
          <w:bCs/>
          <w:lang w:val="en-US"/>
        </w:rPr>
        <w:t xml:space="preserve"> given knowledge of a descriptor </w:t>
      </w:r>
      <m:oMath>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oMath>
      <w:r w:rsidRPr="000A4838">
        <w:rPr>
          <w:bCs/>
          <w:lang w:val="en-US"/>
        </w:rPr>
        <w:t xml:space="preserve">​. Formally, </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7419CB" w:rsidP="0021751D">
            <w:pPr>
              <w:spacing w:after="160" w:line="480" w:lineRule="auto"/>
              <w:rPr>
                <w:lang w:val="en-US"/>
              </w:rPr>
            </w:pPr>
            <m:oMathPara>
              <m:oMath>
                <m:r>
                  <w:rPr>
                    <w:rFonts w:ascii="Cambria Math" w:hAnsi="Cambria Math"/>
                    <w:lang w:val="en-US"/>
                  </w:rPr>
                  <m:t>I</m:t>
                </m:r>
                <m:d>
                  <m:dPr>
                    <m:ctrlPr>
                      <w:rPr>
                        <w:rFonts w:ascii="Cambria Math" w:eastAsia="Cambria Math" w:hAnsi="Cambria Math"/>
                        <w:bCs/>
                        <w:i/>
                        <w:lang w:val="en-US"/>
                      </w:rPr>
                    </m:ctrlPr>
                  </m:dPr>
                  <m:e>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e>
                </m:d>
                <m:r>
                  <w:rPr>
                    <w:rFonts w:ascii="Cambria Math" w:hAnsi="Cambria Math"/>
                    <w:lang w:val="en-US"/>
                  </w:rPr>
                  <m:t>=</m:t>
                </m:r>
                <m:nary>
                  <m:naryPr>
                    <m:chr m:val="∑"/>
                    <m:limLoc m:val="undOvr"/>
                    <m:supHide m:val="1"/>
                    <m:ctrlPr>
                      <w:rPr>
                        <w:rFonts w:ascii="Cambria Math" w:eastAsia="Cambria Math" w:hAnsi="Cambria Math"/>
                        <w:bCs/>
                        <w:i/>
                        <w:lang w:val="en-US"/>
                      </w:rPr>
                    </m:ctrlPr>
                  </m:naryPr>
                  <m:sub>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sub>
                  <m:sup/>
                  <m:e>
                    <m:r>
                      <w:rPr>
                        <w:rFonts w:ascii="Cambria Math" w:hAnsi="Cambria Math"/>
                        <w:lang w:val="en-US"/>
                      </w:rPr>
                      <m:t>p(</m:t>
                    </m:r>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func>
                      <m:funcPr>
                        <m:ctrlPr>
                          <w:rPr>
                            <w:rFonts w:ascii="Cambria Math" w:eastAsia="Cambria Math" w:hAnsi="Cambria Math"/>
                            <w:bCs/>
                            <w:i/>
                            <w:lang w:val="en-US"/>
                          </w:rPr>
                        </m:ctrlPr>
                      </m:funcPr>
                      <m:fName>
                        <m:r>
                          <m:rPr>
                            <m:sty m:val="p"/>
                          </m:rPr>
                          <w:rPr>
                            <w:rFonts w:ascii="Cambria Math" w:hAnsi="Cambria Math"/>
                            <w:lang w:val="en-US"/>
                          </w:rPr>
                          <m:t>log</m:t>
                        </m:r>
                      </m:fName>
                      <m:e>
                        <m:f>
                          <m:fPr>
                            <m:ctrlPr>
                              <w:rPr>
                                <w:rFonts w:ascii="Cambria Math" w:eastAsia="Cambria Math" w:hAnsi="Cambria Math"/>
                                <w:bCs/>
                                <w:i/>
                                <w:lang w:val="en-US"/>
                              </w:rPr>
                            </m:ctrlPr>
                          </m:fPr>
                          <m:num>
                            <m:r>
                              <w:rPr>
                                <w:rFonts w:ascii="Cambria Math" w:hAnsi="Cambria Math"/>
                                <w:lang w:val="en-US"/>
                              </w:rPr>
                              <m:t>p(</m:t>
                            </m:r>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num>
                          <m:den>
                            <m:r>
                              <w:rPr>
                                <w:rFonts w:ascii="Cambria Math" w:hAnsi="Cambria Math"/>
                                <w:lang w:val="en-US"/>
                              </w:rPr>
                              <m:t>p</m:t>
                            </m:r>
                            <m:d>
                              <m:dPr>
                                <m:ctrlPr>
                                  <w:rPr>
                                    <w:rFonts w:ascii="Cambria Math" w:eastAsia="Cambria Math" w:hAnsi="Cambria Math"/>
                                    <w:bCs/>
                                    <w:i/>
                                    <w:lang w:val="en-US"/>
                                  </w:rPr>
                                </m:ctrlPr>
                              </m:dPr>
                              <m:e>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e>
                            </m:d>
                            <m:r>
                              <w:rPr>
                                <w:rFonts w:ascii="Cambria Math" w:hAnsi="Cambria Math"/>
                                <w:lang w:val="en-US"/>
                              </w:rPr>
                              <m:t>p(y)</m:t>
                            </m:r>
                          </m:den>
                        </m:f>
                      </m:e>
                    </m:func>
                  </m:e>
                </m:nary>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9</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spacing w:after="160" w:line="480" w:lineRule="auto"/>
        <w:rPr>
          <w:bCs/>
          <w:lang w:val="en-US"/>
        </w:rPr>
      </w:pPr>
      <w:r w:rsidRPr="000A4838">
        <w:rPr>
          <w:rFonts w:eastAsiaTheme="minorEastAsia"/>
          <w:bCs/>
          <w:lang w:val="en-US"/>
        </w:rPr>
        <w:t xml:space="preserve">and </w:t>
      </w:r>
      <m:oMath>
        <m:r>
          <w:rPr>
            <w:rFonts w:ascii="Cambria Math" w:hAnsi="Cambria Math"/>
            <w:lang w:val="en-US"/>
          </w:rPr>
          <m:t>p(</m:t>
        </m:r>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,y)/(p(</m:t>
        </m:r>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 xml:space="preserve"> )p(y))</m:t>
        </m:r>
      </m:oMath>
      <w:r w:rsidRPr="000A4838">
        <w:rPr>
          <w:rFonts w:eastAsiaTheme="minorEastAsia"/>
          <w:bCs/>
          <w:lang w:val="en-US"/>
        </w:rPr>
        <w:t xml:space="preserve"> </w:t>
      </w:r>
      <w:r w:rsidRPr="000A4838">
        <w:rPr>
          <w:bCs/>
          <w:lang w:val="en-US"/>
        </w:rPr>
        <w:t xml:space="preserve">is exactly the factor by which the actual co-occurrence probability deviates from what </w:t>
      </w:r>
      <w:r>
        <w:rPr>
          <w:bCs/>
          <w:lang w:val="en-US"/>
        </w:rPr>
        <w:t>one</w:t>
      </w:r>
      <w:r w:rsidRPr="000A4838">
        <w:rPr>
          <w:bCs/>
          <w:lang w:val="en-US"/>
        </w:rPr>
        <w:t xml:space="preserve"> would predict if </w:t>
      </w:r>
      <m:oMath>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oMath>
      <w:r w:rsidRPr="000A4838">
        <w:rPr>
          <w:bCs/>
          <w:lang w:val="en-US"/>
        </w:rPr>
        <w:t xml:space="preserve">​ and </w:t>
      </w:r>
      <m:oMath>
        <m:r>
          <w:rPr>
            <w:rFonts w:ascii="Cambria Math" w:hAnsi="Cambria Math"/>
            <w:lang w:val="en-US"/>
          </w:rPr>
          <m:t>Y</m:t>
        </m:r>
      </m:oMath>
      <w:r w:rsidRPr="000A4838">
        <w:rPr>
          <w:bCs/>
          <w:lang w:val="en-US"/>
        </w:rPr>
        <w:t xml:space="preserve"> were independent. It underpins both Pointwise Mutual Information (</w:t>
      </w:r>
      <m:oMath>
        <m:r>
          <w:rPr>
            <w:rFonts w:ascii="Cambria Math" w:hAnsi="Cambria Math"/>
            <w:lang w:val="en-US"/>
          </w:rPr>
          <m:t>PMI</m:t>
        </m:r>
        <m:d>
          <m:dPr>
            <m:ctrlPr>
              <w:rPr>
                <w:rFonts w:ascii="Cambria Math" w:eastAsia="Cambria Math" w:hAnsi="Cambria Math"/>
                <w:bCs/>
                <w:i/>
                <w:lang w:val="en-US"/>
              </w:rPr>
            </m:ctrlPr>
          </m:dPr>
          <m:e>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e>
        </m:d>
        <m:r>
          <w:rPr>
            <w:rFonts w:ascii="Cambria Math" w:hAnsi="Cambria Math"/>
            <w:lang w:val="en-US"/>
          </w:rPr>
          <m:t>=</m:t>
        </m:r>
        <m:func>
          <m:funcPr>
            <m:ctrlPr>
              <w:rPr>
                <w:rFonts w:ascii="Cambria Math" w:eastAsia="Cambria Math" w:hAnsi="Cambria Math"/>
                <w:bCs/>
                <w:i/>
                <w:lang w:val="en-US"/>
              </w:rPr>
            </m:ctrlPr>
          </m:funcPr>
          <m:fName>
            <m:r>
              <m:rPr>
                <m:sty m:val="p"/>
              </m:rPr>
              <w:rPr>
                <w:rFonts w:ascii="Cambria Math" w:hAnsi="Cambria Math"/>
                <w:lang w:val="en-US"/>
              </w:rPr>
              <m:t>log</m:t>
            </m:r>
          </m:fName>
          <m:e>
            <m:d>
              <m:dPr>
                <m:ctrlPr>
                  <w:rPr>
                    <w:rFonts w:ascii="Cambria Math" w:eastAsia="Cambria Math" w:hAnsi="Cambria Math"/>
                    <w:bCs/>
                    <w:i/>
                    <w:lang w:val="en-US"/>
                  </w:rPr>
                </m:ctrlPr>
              </m:dPr>
              <m:e>
                <m:r>
                  <w:rPr>
                    <w:rFonts w:ascii="Cambria Math" w:hAnsi="Cambria Math"/>
                    <w:lang w:val="en-US"/>
                  </w:rPr>
                  <m:t>p(</m:t>
                </m:r>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,y)/(p(</m:t>
                </m:r>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 xml:space="preserve"> )p(y))</m:t>
                </m:r>
              </m:e>
            </m:d>
          </m:e>
        </m:func>
      </m:oMath>
      <w:r w:rsidRPr="000A4838">
        <w:rPr>
          <w:bCs/>
          <w:lang w:val="en-US"/>
        </w:rPr>
        <w:t xml:space="preserve">, the “local surprise”) and mutual information (“average surprise”: </w:t>
      </w:r>
      <m:oMath>
        <m:r>
          <w:rPr>
            <w:rFonts w:ascii="Cambria Math" w:hAnsi="Cambria Math"/>
            <w:lang w:val="en-US"/>
          </w:rPr>
          <m:t>I</m:t>
        </m:r>
        <m:d>
          <m:dPr>
            <m:ctrlPr>
              <w:rPr>
                <w:rFonts w:ascii="Cambria Math" w:eastAsia="Cambria Math" w:hAnsi="Cambria Math"/>
                <w:bCs/>
                <w:i/>
                <w:lang w:val="en-US"/>
              </w:rPr>
            </m:ctrlPr>
          </m:dPr>
          <m:e>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e>
        </m:d>
        <m:r>
          <w:rPr>
            <w:rFonts w:ascii="Cambria Math" w:hAnsi="Cambria Math"/>
            <w:lang w:val="en-US"/>
          </w:rPr>
          <m:t>=</m:t>
        </m:r>
        <m:sSub>
          <m:sSubPr>
            <m:ctrlPr>
              <w:rPr>
                <w:rFonts w:ascii="Cambria Math" w:eastAsia="Cambria Math" w:hAnsi="Cambria Math"/>
                <w:bCs/>
                <w:i/>
                <w:lang w:val="en-US"/>
              </w:rPr>
            </m:ctrlPr>
          </m:sSubPr>
          <m:e>
            <m:r>
              <m:rPr>
                <m:scr m:val="double-struck"/>
              </m:rPr>
              <w:rPr>
                <w:rFonts w:ascii="Cambria Math" w:hAnsi="Cambria Math"/>
                <w:lang w:val="en-US"/>
              </w:rPr>
              <m:t>E</m:t>
            </m:r>
          </m:e>
          <m:sub>
            <m:d>
              <m:dPr>
                <m:ctrlPr>
                  <w:rPr>
                    <w:rFonts w:ascii="Cambria Math" w:eastAsia="Cambria Math" w:hAnsi="Cambria Math"/>
                    <w:bCs/>
                    <w:i/>
                    <w:lang w:val="en-US"/>
                  </w:rPr>
                </m:ctrlPr>
              </m:dPr>
              <m:e>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e>
            </m:d>
          </m:sub>
        </m:sSub>
        <m:r>
          <w:rPr>
            <w:rFonts w:ascii="Cambria Math" w:hAnsi="Cambria Math"/>
            <w:lang w:val="en-US"/>
          </w:rPr>
          <m:t>PMI(</m:t>
        </m:r>
        <m:sSub>
          <m:sSubPr>
            <m:ctrlPr>
              <w:rPr>
                <w:rFonts w:ascii="Cambria Math" w:eastAsia="Cambria Math" w:hAnsi="Cambria Math"/>
                <w:bCs/>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,y)</m:t>
        </m:r>
      </m:oMath>
      <w:r w:rsidRPr="000A4838">
        <w:rPr>
          <w:bCs/>
          <w:lang w:val="en-US"/>
        </w:rPr>
        <w:t>).</w:t>
      </w:r>
      <w:r w:rsidRPr="000A4838">
        <w:rPr>
          <w:lang w:val="en-US"/>
        </w:rPr>
        <w:t xml:space="preserve"> </w:t>
      </w:r>
      <w:r w:rsidRPr="000A4838">
        <w:rPr>
          <w:bCs/>
          <w:lang w:val="en-US"/>
        </w:rPr>
        <w:t>Mutual Information captures any statistical dependency – linear or nonlinear, monotonic or non‐monotonic – between a single descriptor and the target.</w:t>
      </w:r>
    </w:p>
    <w:p w:rsidR="007419CB" w:rsidRPr="000A4838" w:rsidRDefault="007419CB" w:rsidP="0021751D">
      <w:pPr>
        <w:spacing w:after="160" w:line="480" w:lineRule="auto"/>
        <w:rPr>
          <w:bCs/>
          <w:lang w:val="en-US"/>
        </w:rPr>
      </w:pPr>
      <w:r w:rsidRPr="000A4838">
        <w:rPr>
          <w:lang w:val="en-US"/>
        </w:rPr>
        <w:t xml:space="preserve">Implementation: </w:t>
      </w:r>
      <w:r w:rsidRPr="000A4838">
        <w:rPr>
          <w:bCs/>
          <w:lang w:val="en-US"/>
        </w:rPr>
        <w:t xml:space="preserve">the </w:t>
      </w:r>
      <w:proofErr w:type="spellStart"/>
      <w:r w:rsidRPr="000A4838">
        <w:rPr>
          <w:rFonts w:ascii="Courier New" w:hAnsi="Courier New" w:cs="Courier New"/>
          <w:bCs/>
          <w:sz w:val="20"/>
          <w:szCs w:val="20"/>
          <w:lang w:val="en-US"/>
        </w:rPr>
        <w:t>mutual_info_regression</w:t>
      </w:r>
      <w:proofErr w:type="spellEnd"/>
      <w:r w:rsidRPr="000A4838">
        <w:rPr>
          <w:bCs/>
          <w:lang w:val="en-US"/>
        </w:rPr>
        <w:t xml:space="preserve"> estimator from </w:t>
      </w:r>
      <w:proofErr w:type="spellStart"/>
      <w:r w:rsidRPr="000A4838">
        <w:rPr>
          <w:rFonts w:ascii="Courier New" w:hAnsi="Courier New" w:cs="Courier New"/>
          <w:bCs/>
          <w:sz w:val="20"/>
          <w:szCs w:val="20"/>
          <w:lang w:val="en-US"/>
        </w:rPr>
        <w:t>scikit</w:t>
      </w:r>
      <w:proofErr w:type="spellEnd"/>
      <w:r w:rsidRPr="000A4838">
        <w:rPr>
          <w:bCs/>
          <w:sz w:val="20"/>
          <w:szCs w:val="20"/>
          <w:lang w:val="en-US"/>
        </w:rPr>
        <w:t>‐</w:t>
      </w:r>
      <w:r w:rsidRPr="000A4838">
        <w:rPr>
          <w:rFonts w:ascii="Courier New" w:hAnsi="Courier New" w:cs="Courier New"/>
          <w:bCs/>
          <w:sz w:val="20"/>
          <w:szCs w:val="20"/>
          <w:lang w:val="en-US"/>
        </w:rPr>
        <w:t>learn</w:t>
      </w:r>
      <w:r w:rsidRPr="000A4838">
        <w:rPr>
          <w:bCs/>
          <w:lang w:val="en-US"/>
        </w:rPr>
        <w:t xml:space="preserve"> employs k‐nearest‐neighbors density estimation to approximate MI for continuous variables. Scores are computed on each bootstrap sample and then averaged.</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36" w:name="_Toc214314332"/>
      <w:bookmarkStart w:id="37" w:name="_Toc216021094"/>
      <w:proofErr w:type="spellStart"/>
      <w:r w:rsidRPr="000A4838">
        <w:rPr>
          <w:rFonts w:ascii="Times New Roman" w:hAnsi="Times New Roman" w:cs="Times New Roman"/>
          <w:color w:val="auto"/>
          <w:lang w:val="en-US"/>
        </w:rPr>
        <w:t>XGBoost</w:t>
      </w:r>
      <w:proofErr w:type="spellEnd"/>
      <w:r w:rsidRPr="000A4838">
        <w:rPr>
          <w:rFonts w:ascii="Times New Roman" w:hAnsi="Times New Roman" w:cs="Times New Roman"/>
          <w:color w:val="auto"/>
          <w:lang w:val="en-US"/>
        </w:rPr>
        <w:t xml:space="preserve"> Embedded Importance</w:t>
      </w:r>
      <w:bookmarkEnd w:id="36"/>
      <w:bookmarkEnd w:id="37"/>
    </w:p>
    <w:p w:rsidR="007419CB" w:rsidRPr="000A4838" w:rsidRDefault="007419CB" w:rsidP="0021751D">
      <w:pPr>
        <w:spacing w:after="160" w:line="480" w:lineRule="auto"/>
        <w:rPr>
          <w:bCs/>
          <w:lang w:val="en-US"/>
        </w:rPr>
      </w:pPr>
      <w:r w:rsidRPr="000A4838">
        <w:rPr>
          <w:bCs/>
          <w:lang w:val="en-US"/>
        </w:rPr>
        <w:t xml:space="preserve">Tree‐based models such as </w:t>
      </w:r>
      <w:proofErr w:type="spellStart"/>
      <w:r w:rsidRPr="000A4838">
        <w:rPr>
          <w:bCs/>
          <w:lang w:val="en-US"/>
        </w:rPr>
        <w:t>XGBoost</w:t>
      </w:r>
      <w:proofErr w:type="spellEnd"/>
      <w:r w:rsidRPr="000A4838">
        <w:rPr>
          <w:bCs/>
          <w:lang w:val="en-US"/>
        </w:rPr>
        <w:t xml:space="preserve"> compute feature importance metrics intrinsically during model training. Common measures include “gain” (improvement in loss from splits on a feature), “cover” (number of observations affected), or “frequency” of splits. Embedded importance exploits the model’s structure, reflecting how each feature contributes to predictive performance in the context of all others.</w:t>
      </w:r>
      <w:r>
        <w:rPr>
          <w:bCs/>
          <w:lang w:val="en-US"/>
        </w:rPr>
        <w:t xml:space="preserve"> The “weight” (the number of times a </w:t>
      </w:r>
      <w:r>
        <w:rPr>
          <w:bCs/>
          <w:lang w:val="en-US"/>
        </w:rPr>
        <w:lastRenderedPageBreak/>
        <w:t>feature is used for a split), or the “gain” (the average decrease of the loss every time the feature was used for a split) are common indicators to assess the importance.</w:t>
      </w:r>
    </w:p>
    <w:p w:rsidR="007419CB" w:rsidRPr="000A4838" w:rsidRDefault="007419CB" w:rsidP="0021751D">
      <w:pPr>
        <w:spacing w:after="160" w:line="480" w:lineRule="auto"/>
        <w:rPr>
          <w:bCs/>
          <w:lang w:val="en-US"/>
        </w:rPr>
      </w:pPr>
      <w:r w:rsidRPr="000A4838">
        <w:rPr>
          <w:lang w:val="en-US"/>
        </w:rPr>
        <w:t>Implementation:</w:t>
      </w:r>
      <w:r w:rsidRPr="000A4838">
        <w:rPr>
          <w:bCs/>
          <w:lang w:val="en-US"/>
        </w:rPr>
        <w:t xml:space="preserve"> an </w:t>
      </w:r>
      <w:proofErr w:type="spellStart"/>
      <w:r w:rsidRPr="000A4838">
        <w:rPr>
          <w:bCs/>
          <w:lang w:val="en-US"/>
        </w:rPr>
        <w:t>XGBoost</w:t>
      </w:r>
      <w:proofErr w:type="spellEnd"/>
      <w:r w:rsidRPr="000A4838">
        <w:rPr>
          <w:bCs/>
          <w:lang w:val="en-US"/>
        </w:rPr>
        <w:t xml:space="preserve"> regressor is fitted to each bootstrap sample, with fixed hyperparameters (e.g., 100 trees, max depth 4). The resulting </w:t>
      </w:r>
      <w:proofErr w:type="spellStart"/>
      <w:r w:rsidRPr="000A4838">
        <w:rPr>
          <w:rFonts w:ascii="Courier New" w:hAnsi="Courier New" w:cs="Courier New"/>
          <w:bCs/>
          <w:sz w:val="20"/>
          <w:szCs w:val="20"/>
          <w:lang w:val="en-US"/>
        </w:rPr>
        <w:t>feature_importances</w:t>
      </w:r>
      <w:proofErr w:type="spellEnd"/>
      <w:r w:rsidRPr="000A4838">
        <w:rPr>
          <w:rFonts w:ascii="Courier New" w:hAnsi="Courier New" w:cs="Courier New"/>
          <w:bCs/>
          <w:sz w:val="20"/>
          <w:szCs w:val="20"/>
          <w:lang w:val="en-US"/>
        </w:rPr>
        <w:t>_</w:t>
      </w:r>
      <w:r w:rsidRPr="000A4838">
        <w:rPr>
          <w:bCs/>
          <w:lang w:val="en-US"/>
        </w:rPr>
        <w:t xml:space="preserve"> vector – by default, gain‐based – is recorded and averaged over repeats.</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38" w:name="_Toc214314333"/>
      <w:bookmarkStart w:id="39" w:name="_Toc216021095"/>
      <w:r w:rsidRPr="000A4838">
        <w:rPr>
          <w:rFonts w:ascii="Times New Roman" w:hAnsi="Times New Roman" w:cs="Times New Roman"/>
          <w:color w:val="auto"/>
          <w:lang w:val="en-US"/>
        </w:rPr>
        <w:t>Recursive Feature Elimination with Cross‐Validation (RFECV)</w:t>
      </w:r>
      <w:bookmarkEnd w:id="38"/>
      <w:bookmarkEnd w:id="39"/>
    </w:p>
    <w:p w:rsidR="007419CB" w:rsidRPr="000A4838" w:rsidRDefault="007419CB" w:rsidP="0021751D">
      <w:pPr>
        <w:spacing w:after="160" w:line="480" w:lineRule="auto"/>
        <w:rPr>
          <w:lang w:val="en-US"/>
        </w:rPr>
      </w:pPr>
      <w:r w:rsidRPr="000A4838">
        <w:rPr>
          <w:lang w:val="en-US"/>
        </w:rPr>
        <w:t>RFECV is a wrapper method that recursively removes the least important features (according to an estimator) and evaluates model performance via cross‐validation at each subset size. This yields a performance curve (grid scores) as a function of the number of retained features. The subset size maximizing cross-validated performance is chosen, and the corresponding feature ranking and support mask are output.</w:t>
      </w:r>
    </w:p>
    <w:p w:rsidR="007419CB" w:rsidRPr="00BA133A" w:rsidRDefault="007419CB" w:rsidP="0021751D">
      <w:pPr>
        <w:spacing w:after="160" w:line="480" w:lineRule="auto"/>
        <w:rPr>
          <w:lang w:val="en-US"/>
        </w:rPr>
      </w:pPr>
      <w:r w:rsidRPr="00BA133A">
        <w:rPr>
          <w:bCs/>
          <w:lang w:val="en-US"/>
        </w:rPr>
        <w:t>Implementation:</w:t>
      </w:r>
      <w:r w:rsidRPr="00BA133A">
        <w:rPr>
          <w:lang w:val="en-US"/>
        </w:rPr>
        <w:t xml:space="preserve"> for each bootstrap iteration:</w:t>
      </w:r>
    </w:p>
    <w:p w:rsidR="007419CB" w:rsidRPr="00BA133A" w:rsidRDefault="007419CB" w:rsidP="00F949EF">
      <w:pPr>
        <w:pStyle w:val="Paragraphedeliste"/>
        <w:numPr>
          <w:ilvl w:val="0"/>
          <w:numId w:val="21"/>
        </w:numPr>
        <w:spacing w:after="160" w:line="480" w:lineRule="auto"/>
        <w:contextualSpacing w:val="0"/>
        <w:rPr>
          <w:lang w:val="en-US"/>
        </w:rPr>
      </w:pPr>
      <w:r w:rsidRPr="00BA133A">
        <w:rPr>
          <w:lang w:val="en-US"/>
        </w:rPr>
        <w:t xml:space="preserve">Instantiate an </w:t>
      </w:r>
      <w:proofErr w:type="spellStart"/>
      <w:r w:rsidRPr="00BA133A">
        <w:rPr>
          <w:lang w:val="en-US"/>
        </w:rPr>
        <w:t>XGBoost</w:t>
      </w:r>
      <w:proofErr w:type="spellEnd"/>
      <w:r w:rsidRPr="00BA133A">
        <w:rPr>
          <w:lang w:val="en-US"/>
        </w:rPr>
        <w:t xml:space="preserve"> regressor as the base estimator.</w:t>
      </w:r>
    </w:p>
    <w:p w:rsidR="007419CB" w:rsidRPr="00BA133A" w:rsidRDefault="007419CB" w:rsidP="00F949EF">
      <w:pPr>
        <w:pStyle w:val="Paragraphedeliste"/>
        <w:numPr>
          <w:ilvl w:val="0"/>
          <w:numId w:val="21"/>
        </w:numPr>
        <w:spacing w:after="160" w:line="480" w:lineRule="auto"/>
        <w:contextualSpacing w:val="0"/>
        <w:rPr>
          <w:lang w:val="en-US"/>
        </w:rPr>
      </w:pPr>
      <w:r w:rsidRPr="00BA133A">
        <w:rPr>
          <w:lang w:val="en-US"/>
        </w:rPr>
        <w:t xml:space="preserve">Apply RFECV with </w:t>
      </w:r>
      <w:r w:rsidRPr="00BA133A">
        <w:rPr>
          <w:rFonts w:ascii="Courier New" w:hAnsi="Courier New" w:cs="Courier New"/>
          <w:sz w:val="20"/>
          <w:szCs w:val="20"/>
          <w:lang w:val="en-US"/>
        </w:rPr>
        <w:t>step=1</w:t>
      </w:r>
      <w:r w:rsidRPr="00BA133A">
        <w:rPr>
          <w:lang w:val="en-US"/>
        </w:rPr>
        <w:t>, ensuring one feature is eliminated per iteration.</w:t>
      </w:r>
    </w:p>
    <w:p w:rsidR="007419CB" w:rsidRPr="000A4838" w:rsidRDefault="007419CB" w:rsidP="00F949EF">
      <w:pPr>
        <w:pStyle w:val="Paragraphedeliste"/>
        <w:numPr>
          <w:ilvl w:val="0"/>
          <w:numId w:val="21"/>
        </w:numPr>
        <w:spacing w:after="160" w:line="480" w:lineRule="auto"/>
        <w:contextualSpacing w:val="0"/>
        <w:rPr>
          <w:lang w:val="en-US"/>
        </w:rPr>
      </w:pPr>
      <w:r w:rsidRPr="000A4838">
        <w:rPr>
          <w:lang w:val="en-US"/>
        </w:rPr>
        <w:t>Use a stratified (or regular) k-fold CV with a scoring metric such as negative mean squared error.</w:t>
      </w:r>
    </w:p>
    <w:p w:rsidR="007419CB" w:rsidRPr="000A4838" w:rsidRDefault="007419CB" w:rsidP="00F949EF">
      <w:pPr>
        <w:pStyle w:val="Paragraphedeliste"/>
        <w:numPr>
          <w:ilvl w:val="0"/>
          <w:numId w:val="21"/>
        </w:numPr>
        <w:spacing w:after="160" w:line="480" w:lineRule="auto"/>
        <w:contextualSpacing w:val="0"/>
        <w:rPr>
          <w:lang w:val="en-US"/>
        </w:rPr>
      </w:pPr>
      <w:r w:rsidRPr="000A4838">
        <w:rPr>
          <w:lang w:val="en-US"/>
        </w:rPr>
        <w:t xml:space="preserve">Record both the final </w:t>
      </w:r>
      <w:r w:rsidRPr="000A4838">
        <w:rPr>
          <w:rFonts w:ascii="Courier New" w:hAnsi="Courier New" w:cs="Courier New"/>
          <w:sz w:val="20"/>
          <w:szCs w:val="20"/>
          <w:lang w:val="en-US"/>
        </w:rPr>
        <w:t>ranking_</w:t>
      </w:r>
      <w:r w:rsidRPr="000A4838">
        <w:rPr>
          <w:lang w:val="en-US"/>
        </w:rPr>
        <w:t xml:space="preserve"> array (1 for selected features, ascending integers for eliminated ones) and the </w:t>
      </w:r>
      <w:proofErr w:type="spellStart"/>
      <w:r w:rsidRPr="000A4838">
        <w:rPr>
          <w:rFonts w:ascii="Courier New" w:hAnsi="Courier New" w:cs="Courier New"/>
          <w:sz w:val="20"/>
          <w:szCs w:val="20"/>
          <w:lang w:val="en-US"/>
        </w:rPr>
        <w:t>grid_scores</w:t>
      </w:r>
      <w:proofErr w:type="spellEnd"/>
      <w:r w:rsidRPr="000A4838">
        <w:rPr>
          <w:rFonts w:ascii="Courier New" w:hAnsi="Courier New" w:cs="Courier New"/>
          <w:sz w:val="20"/>
          <w:szCs w:val="20"/>
          <w:lang w:val="en-US"/>
        </w:rPr>
        <w:t>_</w:t>
      </w:r>
      <w:r w:rsidRPr="000A4838">
        <w:rPr>
          <w:lang w:val="en-US"/>
        </w:rPr>
        <w:t xml:space="preserve"> (mean CV score per feature count).</w:t>
      </w:r>
    </w:p>
    <w:p w:rsidR="007419CB" w:rsidRPr="000A4838" w:rsidRDefault="007419CB" w:rsidP="0021751D">
      <w:pPr>
        <w:spacing w:after="160" w:line="480" w:lineRule="auto"/>
        <w:rPr>
          <w:lang w:val="en-US"/>
        </w:rPr>
      </w:pPr>
      <w:r w:rsidRPr="000A4838">
        <w:rPr>
          <w:lang w:val="en-US"/>
        </w:rPr>
        <w:t>Averaging the rankings across repeats yields a stable rank mean, while averaging grid scores provides insight into the expected CV performance for each subset size.</w:t>
      </w:r>
    </w:p>
    <w:p w:rsidR="007419CB" w:rsidRPr="000A4838" w:rsidRDefault="007419CB" w:rsidP="0021751D">
      <w:pPr>
        <w:spacing w:after="160" w:line="480" w:lineRule="auto"/>
        <w:rPr>
          <w:lang w:val="en-US"/>
        </w:rPr>
      </w:pPr>
      <w:r w:rsidRPr="000A4838">
        <w:rPr>
          <w:lang w:val="en-US"/>
        </w:rPr>
        <w:lastRenderedPageBreak/>
        <w:t xml:space="preserve">For the sake of homogeneity with the three previous methods, the ranks </w:t>
      </w:r>
      <m:oMath>
        <m:acc>
          <m:accPr>
            <m:chr m:val="̅"/>
            <m:ctrlPr>
              <w:rPr>
                <w:rFonts w:ascii="Cambria Math" w:eastAsia="Cambria Math" w:hAnsi="Cambria Math"/>
                <w:i/>
                <w:lang w:val="en-US"/>
              </w:rPr>
            </m:ctrlPr>
          </m:accPr>
          <m:e>
            <m:r>
              <w:rPr>
                <w:rFonts w:ascii="Cambria Math" w:hAnsi="Cambria Math"/>
                <w:lang w:val="en-US"/>
              </w:rPr>
              <m:t>r</m:t>
            </m:r>
          </m:e>
        </m:acc>
      </m:oMath>
      <w:r w:rsidRPr="000A4838">
        <w:rPr>
          <w:lang w:val="en-US"/>
        </w:rPr>
        <w:t xml:space="preserve"> provided by the RFECV method are converted into scores (and represented as such in bar-plots) by defining </w:t>
      </w:r>
      <m:oMath>
        <m:sSub>
          <m:sSubPr>
            <m:ctrlPr>
              <w:rPr>
                <w:rFonts w:ascii="Cambria Math" w:eastAsia="Cambria Math" w:hAnsi="Cambria Math"/>
                <w:i/>
                <w:lang w:val="en-US"/>
              </w:rPr>
            </m:ctrlPr>
          </m:sSubPr>
          <m:e>
            <m:r>
              <w:rPr>
                <w:rFonts w:ascii="Cambria Math" w:hAnsi="Cambria Math"/>
                <w:lang w:val="en-US"/>
              </w:rPr>
              <m:t>s</m:t>
            </m:r>
          </m:e>
          <m:sub>
            <m:r>
              <w:rPr>
                <w:rFonts w:ascii="Cambria Math" w:hAnsi="Cambria Math"/>
                <w:lang w:val="en-US"/>
              </w:rPr>
              <m:t>RFECV</m:t>
            </m:r>
          </m:sub>
        </m:sSub>
        <m:d>
          <m:dPr>
            <m:ctrlPr>
              <w:rPr>
                <w:rFonts w:ascii="Cambria Math" w:eastAsia="Cambria Math" w:hAnsi="Cambria Math"/>
                <w:i/>
                <w:lang w:val="en-US"/>
              </w:rPr>
            </m:ctrlPr>
          </m:dPr>
          <m:e>
            <m:r>
              <w:rPr>
                <w:rFonts w:ascii="Cambria Math" w:hAnsi="Cambria Math"/>
                <w:lang w:val="en-US"/>
              </w:rPr>
              <m:t>j</m:t>
            </m:r>
          </m:e>
        </m:d>
        <m:r>
          <w:rPr>
            <w:rFonts w:ascii="Cambria Math" w:hAnsi="Cambria Math"/>
            <w:lang w:val="en-US"/>
          </w:rPr>
          <m:t>=</m:t>
        </m:r>
        <m:sSub>
          <m:sSubPr>
            <m:ctrlPr>
              <w:rPr>
                <w:rFonts w:ascii="Cambria Math" w:eastAsia="Cambria Math" w:hAnsi="Cambria Math"/>
                <w:i/>
                <w:lang w:val="en-US"/>
              </w:rPr>
            </m:ctrlPr>
          </m:sSubPr>
          <m:e>
            <m:r>
              <m:rPr>
                <m:sty m:val="p"/>
              </m:rPr>
              <w:rPr>
                <w:rFonts w:ascii="Cambria Math" w:hAnsi="Cambria Math"/>
                <w:lang w:val="en-US"/>
              </w:rPr>
              <m:t>max</m:t>
            </m:r>
          </m:e>
          <m:sub>
            <m:r>
              <w:rPr>
                <w:rFonts w:ascii="Cambria Math" w:hAnsi="Cambria Math"/>
                <w:lang w:val="en-US"/>
              </w:rPr>
              <m:t>i∈</m:t>
            </m:r>
            <m:r>
              <m:rPr>
                <m:sty m:val="p"/>
              </m:rPr>
              <w:rPr>
                <w:rFonts w:ascii="Cambria Math" w:hAnsi="Cambria Math"/>
                <w:lang w:val="en-US"/>
              </w:rPr>
              <m:t>descriptors</m:t>
            </m:r>
          </m:sub>
        </m:sSub>
        <m:d>
          <m:dPr>
            <m:ctrlPr>
              <w:rPr>
                <w:rFonts w:ascii="Cambria Math" w:eastAsia="Cambria Math" w:hAnsi="Cambria Math"/>
                <w:i/>
                <w:lang w:val="en-US"/>
              </w:rPr>
            </m:ctrlPr>
          </m:dPr>
          <m:e>
            <m:sSub>
              <m:sSubPr>
                <m:ctrlPr>
                  <w:rPr>
                    <w:rFonts w:ascii="Cambria Math" w:eastAsia="Cambria Math" w:hAnsi="Cambria Math"/>
                    <w:i/>
                    <w:lang w:val="en-US"/>
                  </w:rPr>
                </m:ctrlPr>
              </m:sSubPr>
              <m:e>
                <m:acc>
                  <m:accPr>
                    <m:chr m:val="̅"/>
                    <m:ctrlPr>
                      <w:rPr>
                        <w:rFonts w:ascii="Cambria Math" w:eastAsia="Cambria Math" w:hAnsi="Cambria Math"/>
                        <w:i/>
                        <w:lang w:val="en-US"/>
                      </w:rPr>
                    </m:ctrlPr>
                  </m:accPr>
                  <m:e>
                    <m:r>
                      <w:rPr>
                        <w:rFonts w:ascii="Cambria Math" w:hAnsi="Cambria Math"/>
                        <w:lang w:val="en-US"/>
                      </w:rPr>
                      <m:t>r</m:t>
                    </m:r>
                  </m:e>
                </m:acc>
              </m:e>
              <m:sub>
                <m:r>
                  <w:rPr>
                    <w:rFonts w:ascii="Cambria Math" w:hAnsi="Cambria Math"/>
                    <w:lang w:val="en-US"/>
                  </w:rPr>
                  <m:t>i</m:t>
                </m:r>
              </m:sub>
            </m:sSub>
          </m:e>
        </m:d>
        <m:r>
          <w:rPr>
            <w:rFonts w:ascii="Cambria Math" w:hAnsi="Cambria Math"/>
            <w:lang w:val="en-US"/>
          </w:rPr>
          <m:t>-</m:t>
        </m:r>
        <m:sSub>
          <m:sSubPr>
            <m:ctrlPr>
              <w:rPr>
                <w:rFonts w:ascii="Cambria Math" w:eastAsia="Cambria Math" w:hAnsi="Cambria Math"/>
                <w:i/>
                <w:lang w:val="en-US"/>
              </w:rPr>
            </m:ctrlPr>
          </m:sSubPr>
          <m:e>
            <m:acc>
              <m:accPr>
                <m:chr m:val="̅"/>
                <m:ctrlPr>
                  <w:rPr>
                    <w:rFonts w:ascii="Cambria Math" w:eastAsia="Cambria Math" w:hAnsi="Cambria Math"/>
                    <w:i/>
                    <w:lang w:val="en-US"/>
                  </w:rPr>
                </m:ctrlPr>
              </m:accPr>
              <m:e>
                <m:r>
                  <w:rPr>
                    <w:rFonts w:ascii="Cambria Math" w:hAnsi="Cambria Math"/>
                    <w:lang w:val="en-US"/>
                  </w:rPr>
                  <m:t>r</m:t>
                </m:r>
              </m:e>
            </m:acc>
          </m:e>
          <m:sub>
            <m:r>
              <w:rPr>
                <w:rFonts w:ascii="Cambria Math" w:hAnsi="Cambria Math"/>
                <w:lang w:val="en-US"/>
              </w:rPr>
              <m:t>j</m:t>
            </m:r>
          </m:sub>
        </m:sSub>
      </m:oMath>
      <w:r w:rsidRPr="000A4838">
        <w:rPr>
          <w:lang w:val="en-US"/>
        </w:rPr>
        <w:t>. This allows to adopt similarly an elbow method for threshold – which consists at defining as threshold the farthest point from the straight line linking the first and last point of the series –, and makes more sense for integration with the scores of other methods.</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lang w:val="en-US"/>
        </w:rPr>
      </w:pPr>
      <w:bookmarkStart w:id="40" w:name="_Toc214314334"/>
      <w:bookmarkStart w:id="41" w:name="_Toc216021096"/>
      <w:r w:rsidRPr="000A4838">
        <w:rPr>
          <w:rFonts w:ascii="Times New Roman" w:hAnsi="Times New Roman" w:cs="Times New Roman"/>
          <w:color w:val="auto"/>
          <w:lang w:val="en-US"/>
        </w:rPr>
        <w:t>Integration and Thresholding</w:t>
      </w:r>
      <w:bookmarkEnd w:id="40"/>
      <w:bookmarkEnd w:id="41"/>
    </w:p>
    <w:p w:rsidR="007419CB" w:rsidRPr="00BA133A" w:rsidRDefault="007419CB" w:rsidP="0021751D">
      <w:pPr>
        <w:spacing w:after="160" w:line="480" w:lineRule="auto"/>
        <w:rPr>
          <w:lang w:val="en-US"/>
        </w:rPr>
      </w:pPr>
      <w:r w:rsidRPr="00BA133A">
        <w:rPr>
          <w:lang w:val="en-US"/>
        </w:rPr>
        <w:t xml:space="preserve">In order to be able to define a concise yet robust subset of descriptors for machine‐learning of materials properties, a three‐stage pipeline is developed. It integrates four distinct feature‐ranking algorithms into a unified, data-driven selection process – illustrated in the following paragraphs with graphs related to the “shear modulus” descriptors selection. After computing absolute Spearman correlations, mutual information estimates, </w:t>
      </w:r>
      <w:proofErr w:type="spellStart"/>
      <w:r w:rsidRPr="00BA133A">
        <w:rPr>
          <w:lang w:val="en-US"/>
        </w:rPr>
        <w:t>XGBoost</w:t>
      </w:r>
      <w:proofErr w:type="spellEnd"/>
      <w:r w:rsidRPr="00BA133A">
        <w:rPr>
          <w:lang w:val="en-US"/>
        </w:rPr>
        <w:t>-embedded importance, and recursive feature‐elimination rankings for each descriptor, the goal is to reconcile these four perspectives without imposing arbitrary cut-off parameters. Instead, hierarchical clustering is employed to remove redundancy, bootstrap‐based stability analysis to gauge consensus across sampling variability, and the geometric “elbow” method to determine selection thresholds at every step.</w:t>
      </w:r>
    </w:p>
    <w:p w:rsidR="007419CB" w:rsidRPr="000A4838" w:rsidRDefault="007419CB" w:rsidP="0021751D">
      <w:pPr>
        <w:spacing w:after="160" w:line="480" w:lineRule="auto"/>
        <w:rPr>
          <w:lang w:val="en-US"/>
        </w:rPr>
      </w:pPr>
      <w:r w:rsidRPr="00BA133A">
        <w:rPr>
          <w:lang w:val="en-US"/>
        </w:rPr>
        <w:t>First, the strong correlations that often exist within descriptor sets used in materials data analysis must be addressed. Even descriptors</w:t>
      </w:r>
      <w:r w:rsidRPr="000A4838">
        <w:rPr>
          <w:lang w:val="en-US"/>
        </w:rPr>
        <w:t xml:space="preserve"> that capture subtly different aspects of composition or structure can exhibit Pearson correlations of 0.9 or above, leading to multicollinearity in predictive models and inflated importance measures that reflect multiple copies of the same underlying signal. To mitigate this, the absolute Pearson correlation matrix over the cleaned dataset</w:t>
      </w:r>
      <w:r>
        <w:rPr>
          <w:lang w:val="en-US"/>
        </w:rPr>
        <w:t xml:space="preserve"> is computed</w:t>
      </w:r>
      <w:r w:rsidRPr="000A4838">
        <w:rPr>
          <w:lang w:val="en-US"/>
        </w:rPr>
        <w:t xml:space="preserve">, </w:t>
      </w:r>
      <w:r>
        <w:rPr>
          <w:lang w:val="en-US"/>
        </w:rPr>
        <w:t xml:space="preserve">correlation coefficients are </w:t>
      </w:r>
      <w:r w:rsidRPr="000A4838">
        <w:rPr>
          <w:lang w:val="en-US"/>
        </w:rPr>
        <w:t>transform</w:t>
      </w:r>
      <w:r>
        <w:rPr>
          <w:lang w:val="en-US"/>
        </w:rPr>
        <w:t>ed</w:t>
      </w:r>
      <w:r w:rsidRPr="000A4838">
        <w:rPr>
          <w:lang w:val="en-US"/>
        </w:rPr>
        <w:t xml:space="preserve"> into a </w:t>
      </w:r>
      <w:r w:rsidRPr="00BD4322">
        <w:rPr>
          <w:lang w:val="en-US"/>
        </w:rPr>
        <w:t xml:space="preserve">distance </w:t>
      </w:r>
      <w:r w:rsidRPr="00BD4322">
        <w:rPr>
          <w:lang w:val="en-US"/>
        </w:rPr>
        <w:lastRenderedPageBreak/>
        <w:t xml:space="preserve">metric by taking </w:t>
      </w:r>
      <m:oMath>
        <m:r>
          <w:rPr>
            <w:rFonts w:ascii="Cambria Math" w:hAnsi="Cambria Math"/>
            <w:lang w:val="en-US"/>
          </w:rPr>
          <m:t>d≡1-</m:t>
        </m:r>
        <m:d>
          <m:dPr>
            <m:begChr m:val="|"/>
            <m:endChr m:val="|"/>
            <m:ctrlPr>
              <w:rPr>
                <w:rFonts w:ascii="Cambria Math" w:eastAsia="Cambria Math" w:hAnsi="Cambria Math"/>
                <w:i/>
                <w:lang w:val="en-US"/>
              </w:rPr>
            </m:ctrlPr>
          </m:dPr>
          <m:e>
            <m:r>
              <w:rPr>
                <w:rFonts w:ascii="Cambria Math" w:hAnsi="Cambria Math"/>
                <w:lang w:val="en-US"/>
              </w:rPr>
              <m:t>r</m:t>
            </m:r>
          </m:e>
        </m:d>
      </m:oMath>
      <w:r w:rsidRPr="00BD4322">
        <w:rPr>
          <w:lang w:val="en-US"/>
        </w:rPr>
        <w:t xml:space="preserve">, and </w:t>
      </w:r>
      <w:r>
        <w:rPr>
          <w:lang w:val="en-US"/>
        </w:rPr>
        <w:t xml:space="preserve">an </w:t>
      </w:r>
      <w:r w:rsidRPr="00BD4322">
        <w:rPr>
          <w:lang w:val="en-US"/>
        </w:rPr>
        <w:t>average‐linkage hierarchical clustering</w:t>
      </w:r>
      <w:r>
        <w:rPr>
          <w:lang w:val="en-US"/>
        </w:rPr>
        <w:t xml:space="preserve"> is performed</w:t>
      </w:r>
      <w:r w:rsidRPr="00BD4322">
        <w:rPr>
          <w:lang w:val="en-US"/>
        </w:rPr>
        <w:t xml:space="preserve"> (this clustering is based on the mean of all pairwise distances between points in two clusters.). By cutting the resulting dendrogram at a distance threshold corresponding to </w:t>
      </w:r>
      <m:oMath>
        <m:d>
          <m:dPr>
            <m:begChr m:val="|"/>
            <m:endChr m:val="|"/>
            <m:ctrlPr>
              <w:rPr>
                <w:rFonts w:ascii="Cambria Math" w:eastAsia="Cambria Math" w:hAnsi="Cambria Math"/>
                <w:i/>
                <w:lang w:val="en-US"/>
              </w:rPr>
            </m:ctrlPr>
          </m:dPr>
          <m:e>
            <m:r>
              <w:rPr>
                <w:rFonts w:ascii="Cambria Math" w:hAnsi="Cambria Math"/>
                <w:lang w:val="en-US"/>
              </w:rPr>
              <m:t>r</m:t>
            </m:r>
          </m:e>
        </m:d>
        <m:r>
          <w:rPr>
            <w:rFonts w:ascii="Cambria Math" w:hAnsi="Cambria Math"/>
            <w:lang w:val="en-US"/>
          </w:rPr>
          <m:t>≥0.95</m:t>
        </m:r>
      </m:oMath>
      <w:r w:rsidRPr="00BD4322">
        <w:rPr>
          <w:lang w:val="en-US"/>
        </w:rPr>
        <w:t>, the descriptors are partitioned into clusters of near‐duplicates and only one representative per cluster is retained – since within a cluster the descriptors are “equivalent”, the choice of their representative does not matter</w:t>
      </w:r>
      <w:r>
        <w:rPr>
          <w:lang w:val="en-US"/>
        </w:rPr>
        <w:t xml:space="preserve"> (see </w:t>
      </w:r>
      <w:r w:rsidRPr="00611719">
        <w:rPr>
          <w:lang w:val="en-US"/>
        </w:rPr>
        <w:fldChar w:fldCharType="begin"/>
      </w:r>
      <w:r w:rsidRPr="00611719">
        <w:rPr>
          <w:lang w:val="en-US"/>
        </w:rPr>
        <w:instrText xml:space="preserve"> REF _Ref214209775 \h  \* MERGEFORMAT </w:instrText>
      </w:r>
      <w:r w:rsidRPr="00611719">
        <w:rPr>
          <w:lang w:val="en-US"/>
        </w:rPr>
      </w:r>
      <w:r w:rsidRPr="0061171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w:t>
      </w:r>
      <w:r w:rsidRPr="00611719">
        <w:rPr>
          <w:lang w:val="en-US"/>
        </w:rPr>
        <w:fldChar w:fldCharType="end"/>
      </w:r>
      <w:r>
        <w:rPr>
          <w:lang w:val="en-US"/>
        </w:rPr>
        <w:t>)</w:t>
      </w:r>
      <w:r w:rsidRPr="00BD4322">
        <w:rPr>
          <w:lang w:val="en-US"/>
        </w:rPr>
        <w:t>. This step preserves the breadth of physicochemical information while greatly reducing numerical instability and computational cost for downstream procedures.</w:t>
      </w: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5492627F" wp14:editId="0ED97DB4">
            <wp:extent cx="5871210" cy="8352155"/>
            <wp:effectExtent l="0" t="0" r="0" b="0"/>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5871210" cy="8352155"/>
                    </a:xfrm>
                    <a:prstGeom prst="rect">
                      <a:avLst/>
                    </a:prstGeom>
                    <a:noFill/>
                  </pic:spPr>
                </pic:pic>
              </a:graphicData>
            </a:graphic>
          </wp:inline>
        </w:drawing>
      </w:r>
    </w:p>
    <w:p w:rsidR="007419CB" w:rsidRPr="000A4838" w:rsidRDefault="007419CB" w:rsidP="0021751D">
      <w:pPr>
        <w:pStyle w:val="Lgende"/>
        <w:spacing w:after="160" w:line="480" w:lineRule="auto"/>
        <w:rPr>
          <w:rFonts w:ascii="Arial" w:hAnsi="Arial" w:cs="Arial"/>
          <w:i w:val="0"/>
          <w:color w:val="auto"/>
          <w:sz w:val="20"/>
          <w:szCs w:val="20"/>
          <w:lang w:val="en-US"/>
        </w:rPr>
      </w:pPr>
      <w:bookmarkStart w:id="42" w:name="_Ref214209775"/>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w:t>
      </w:r>
      <w:r w:rsidRPr="000A4838">
        <w:rPr>
          <w:rFonts w:ascii="Arial" w:hAnsi="Arial" w:cs="Arial"/>
          <w:b/>
          <w:i w:val="0"/>
          <w:color w:val="auto"/>
          <w:sz w:val="20"/>
          <w:szCs w:val="20"/>
          <w:lang w:val="en-US"/>
        </w:rPr>
        <w:fldChar w:fldCharType="end"/>
      </w:r>
      <w:bookmarkEnd w:id="42"/>
      <w:r w:rsidRPr="000A4838">
        <w:rPr>
          <w:rFonts w:ascii="Arial" w:hAnsi="Arial" w:cs="Arial"/>
          <w:b/>
          <w:i w:val="0"/>
          <w:color w:val="auto"/>
          <w:sz w:val="20"/>
          <w:szCs w:val="20"/>
          <w:lang w:val="en-US"/>
        </w:rPr>
        <w:t>: Analysis of Descriptors Redundancy &amp; Clustering (Shear Modulus)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lastRenderedPageBreak/>
        <w:t xml:space="preserve">Descriptors can be highly correlated. Before assessing their relative importance to predict a given quantity, it is therefore </w:t>
      </w:r>
      <w:r w:rsidRPr="00BD4322">
        <w:rPr>
          <w:rFonts w:ascii="Arial" w:hAnsi="Arial" w:cs="Arial"/>
          <w:sz w:val="20"/>
          <w:szCs w:val="20"/>
          <w:lang w:val="en-US"/>
        </w:rPr>
        <w:t xml:space="preserve">necessary to “group” them. This is done by assessing their correlation coefficient </w:t>
      </w:r>
      <w:r w:rsidRPr="00BD4322">
        <w:rPr>
          <w:rFonts w:ascii="Arial" w:hAnsi="Arial" w:cs="Arial"/>
          <w:b/>
          <w:sz w:val="20"/>
          <w:szCs w:val="20"/>
          <w:lang w:val="en-US"/>
        </w:rPr>
        <w:t>(a)</w:t>
      </w:r>
      <w:r w:rsidRPr="00BD4322">
        <w:rPr>
          <w:rFonts w:ascii="Arial" w:hAnsi="Arial" w:cs="Arial"/>
          <w:sz w:val="20"/>
          <w:szCs w:val="20"/>
          <w:lang w:val="en-US"/>
        </w:rPr>
        <w:t xml:space="preserve"> and regroup them in clusters using the average-linkage hierarchical clustering represented in the </w:t>
      </w:r>
      <w:proofErr w:type="spellStart"/>
      <w:r w:rsidRPr="00BD4322">
        <w:rPr>
          <w:rFonts w:ascii="Arial" w:hAnsi="Arial" w:cs="Arial"/>
          <w:sz w:val="20"/>
          <w:szCs w:val="20"/>
          <w:lang w:val="en-US"/>
        </w:rPr>
        <w:t>dendogram</w:t>
      </w:r>
      <w:proofErr w:type="spellEnd"/>
      <w:r w:rsidRPr="00BD4322">
        <w:rPr>
          <w:rFonts w:ascii="Arial" w:hAnsi="Arial" w:cs="Arial"/>
          <w:sz w:val="20"/>
          <w:szCs w:val="20"/>
          <w:lang w:val="en-US"/>
        </w:rPr>
        <w:t xml:space="preserve"> (in this study, when the distance is below 0.05) </w:t>
      </w:r>
      <w:r w:rsidRPr="00BD4322">
        <w:rPr>
          <w:rFonts w:ascii="Arial" w:hAnsi="Arial" w:cs="Arial"/>
          <w:b/>
          <w:sz w:val="20"/>
          <w:szCs w:val="20"/>
          <w:lang w:val="en-US"/>
        </w:rPr>
        <w:t>(b)</w:t>
      </w:r>
      <w:r w:rsidRPr="00BD4322">
        <w:rPr>
          <w:rFonts w:ascii="Arial" w:hAnsi="Arial" w:cs="Arial"/>
          <w:sz w:val="20"/>
          <w:szCs w:val="20"/>
          <w:lang w:val="en-US"/>
        </w:rPr>
        <w:t>. In principle</w:t>
      </w:r>
      <w:r w:rsidRPr="000A4838">
        <w:rPr>
          <w:rFonts w:ascii="Arial" w:hAnsi="Arial" w:cs="Arial"/>
          <w:sz w:val="20"/>
          <w:szCs w:val="20"/>
          <w:lang w:val="en-US"/>
        </w:rPr>
        <w:t xml:space="preserve">, the correlations should not change while considering different physical targets. However, the amount of available data can be limited (for instance in case of creep or high-temperature oxidation), and the associated </w:t>
      </w:r>
      <w:proofErr w:type="spellStart"/>
      <w:r w:rsidRPr="000A4838">
        <w:rPr>
          <w:rFonts w:ascii="Arial" w:hAnsi="Arial" w:cs="Arial"/>
          <w:sz w:val="20"/>
          <w:szCs w:val="20"/>
          <w:lang w:val="en-US"/>
        </w:rPr>
        <w:t>dendogram</w:t>
      </w:r>
      <w:proofErr w:type="spellEnd"/>
      <w:r w:rsidRPr="000A4838">
        <w:rPr>
          <w:rFonts w:ascii="Arial" w:hAnsi="Arial" w:cs="Arial"/>
          <w:sz w:val="20"/>
          <w:szCs w:val="20"/>
          <w:lang w:val="en-US"/>
        </w:rPr>
        <w:t xml:space="preserve"> may lead to additional descriptors merging.</w:t>
      </w:r>
    </w:p>
    <w:p w:rsidR="007419CB" w:rsidRPr="000A4838" w:rsidRDefault="007419CB" w:rsidP="0021751D">
      <w:pPr>
        <w:spacing w:after="160" w:line="480" w:lineRule="auto"/>
        <w:rPr>
          <w:lang w:val="en-US"/>
        </w:rPr>
      </w:pPr>
    </w:p>
    <w:p w:rsidR="007419CB" w:rsidRPr="00591730" w:rsidRDefault="007419CB" w:rsidP="0021751D">
      <w:pPr>
        <w:spacing w:after="160" w:line="480" w:lineRule="auto"/>
        <w:rPr>
          <w:lang w:val="en-US"/>
        </w:rPr>
      </w:pPr>
      <w:r w:rsidRPr="000D7499">
        <w:rPr>
          <w:lang w:val="en-US"/>
        </w:rPr>
        <w:t xml:space="preserve">With the reduced descriptor set in hand, each descriptor’s relevance to the target property under four complementary lenses is evaluated. In each of </w:t>
      </w:r>
      <m:oMath>
        <m:r>
          <w:rPr>
            <w:rFonts w:ascii="Cambria Math" w:hAnsi="Cambria Math"/>
            <w:lang w:val="en-US"/>
          </w:rPr>
          <m:t>B=50</m:t>
        </m:r>
      </m:oMath>
      <w:r w:rsidRPr="000D7499">
        <w:rPr>
          <w:lang w:val="en-US"/>
        </w:rPr>
        <w:t xml:space="preserve"> bootstrap iterations, A bootstrap sample covering 80% of the data is generated, and absolute Spearman rank correlation, mutual information regression, XGBoost feature-importance scoring, and recursive feature elimination with cross-validation (RFECV, using </w:t>
      </w:r>
      <w:proofErr w:type="spellStart"/>
      <w:r w:rsidRPr="000D7499">
        <w:rPr>
          <w:lang w:val="en-US"/>
        </w:rPr>
        <w:t>XGBoost</w:t>
      </w:r>
      <w:proofErr w:type="spellEnd"/>
      <w:r w:rsidRPr="000D7499">
        <w:rPr>
          <w:lang w:val="en-US"/>
        </w:rPr>
        <w:t xml:space="preserve"> as the estimator) are applied in sequence. For each method, the importance values (or elimination ranks for RFECV) obtained in every bootstrap sample are averaged across the </w:t>
      </w:r>
      <m:oMath>
        <m:r>
          <w:rPr>
            <w:rFonts w:ascii="Cambria Math" w:hAnsi="Cambria Math"/>
            <w:lang w:val="en-US"/>
          </w:rPr>
          <m:t>B</m:t>
        </m:r>
      </m:oMath>
      <w:r w:rsidRPr="000D7499">
        <w:rPr>
          <w:lang w:val="en-US"/>
        </w:rPr>
        <w:t xml:space="preserve"> iterations, yielding four mean-score vectors. This</w:t>
      </w:r>
      <w:r w:rsidRPr="000A4838">
        <w:rPr>
          <w:lang w:val="en-US"/>
        </w:rPr>
        <w:t xml:space="preserve"> averaging smooths out sampling </w:t>
      </w:r>
      <w:proofErr w:type="spellStart"/>
      <w:r w:rsidRPr="000A4838">
        <w:rPr>
          <w:lang w:val="en-US"/>
        </w:rPr>
        <w:t>variabi</w:t>
      </w:r>
      <w:proofErr w:type="spellEnd"/>
      <w:r w:rsidRPr="000A4838">
        <w:rPr>
          <w:lang w:val="en-US"/>
        </w:rPr>
        <w:t xml:space="preserve">. Spearman correlation captures monotonic univariate relationships; mutual information uncovers more general nonlinear dependencies; </w:t>
      </w:r>
      <w:proofErr w:type="spellStart"/>
      <w:r w:rsidRPr="000A4838">
        <w:rPr>
          <w:lang w:val="en-US"/>
        </w:rPr>
        <w:t>XGBoost</w:t>
      </w:r>
      <w:proofErr w:type="spellEnd"/>
      <w:r w:rsidRPr="000A4838">
        <w:rPr>
          <w:lang w:val="en-US"/>
        </w:rPr>
        <w:t xml:space="preserve"> importance reflects each descriptor’s contribution to reducing squared error in a tree‐ensemble; and RFECV rank measures the order in which descriptors are eliminated in a wrapper‐style search that </w:t>
      </w:r>
      <w:r w:rsidRPr="00591730">
        <w:rPr>
          <w:lang w:val="en-US"/>
        </w:rPr>
        <w:t>directly optimizes cross-validated performance.</w:t>
      </w:r>
      <w:r>
        <w:rPr>
          <w:lang w:val="en-US"/>
        </w:rPr>
        <w:t xml:space="preserve"> The four scores can be visualized on </w:t>
      </w:r>
      <w:r w:rsidRPr="003C7BD0">
        <w:rPr>
          <w:lang w:val="en-US"/>
        </w:rPr>
        <w:fldChar w:fldCharType="begin"/>
      </w:r>
      <w:r w:rsidRPr="003C7BD0">
        <w:rPr>
          <w:lang w:val="en-US"/>
        </w:rPr>
        <w:instrText xml:space="preserve"> REF _Ref214209866 \h  \* MERGEFORMAT </w:instrText>
      </w:r>
      <w:r w:rsidRPr="003C7BD0">
        <w:rPr>
          <w:lang w:val="en-US"/>
        </w:rPr>
      </w:r>
      <w:r w:rsidRPr="003C7BD0">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4</w:t>
      </w:r>
      <w:r w:rsidRPr="003C7BD0">
        <w:rPr>
          <w:lang w:val="en-US"/>
        </w:rPr>
        <w:fldChar w:fldCharType="end"/>
      </w:r>
      <w:r>
        <w:rPr>
          <w:lang w:val="en-US"/>
        </w:rPr>
        <w:t xml:space="preserve"> for the case of shear modulus.</w:t>
      </w:r>
    </w:p>
    <w:p w:rsidR="007419CB" w:rsidRPr="000A4838" w:rsidRDefault="007419CB" w:rsidP="0021751D">
      <w:pPr>
        <w:spacing w:after="160" w:line="480" w:lineRule="auto"/>
        <w:rPr>
          <w:lang w:val="en-US"/>
        </w:rPr>
      </w:pPr>
      <w:r w:rsidRPr="00591730">
        <w:rPr>
          <w:lang w:val="en-US"/>
        </w:rPr>
        <w:t xml:space="preserve">Rather than imposing a fixed rule – such as “retain all descriptors whose cumulative importance exceeds 30%” or “keep the top decile of RFECV ranks” (a naïve approach) –these arbitrary thresholds are replaced with the elbow method. For each mean‐score vector, descriptors are sorted in descending order of importance (or, in the case of RFECV, the average rank is inverted so that lower ranks become higher “scores”), then the elbow point is </w:t>
      </w:r>
      <w:r w:rsidRPr="00591730">
        <w:rPr>
          <w:lang w:val="en-US"/>
        </w:rPr>
        <w:lastRenderedPageBreak/>
        <w:t>determined by locating the feature index at which the sorted‐score curve reaches its maximum deviation from the straight line joining its two endpoints. This geometric</w:t>
      </w:r>
      <w:r w:rsidRPr="000A4838">
        <w:rPr>
          <w:lang w:val="en-US"/>
        </w:rPr>
        <w:t xml:space="preserve"> crossover signifies the transition from a small group of highly informative descriptors to a long tail of marginally useful ones. By selecting all descriptors up to the elbow index, each method yields a data-adaptive subset that responds to the actual shape of its own importance spectrum, without manual tuning.</w:t>
      </w: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48B81484" wp14:editId="58F7F9A6">
            <wp:extent cx="4316095" cy="8614410"/>
            <wp:effectExtent l="0" t="0" r="8255" b="0"/>
            <wp:docPr id="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1"/>
                    <a:stretch/>
                  </pic:blipFill>
                  <pic:spPr bwMode="auto">
                    <a:xfrm>
                      <a:off x="0" y="0"/>
                      <a:ext cx="4316095" cy="8614410"/>
                    </a:xfrm>
                    <a:prstGeom prst="rect">
                      <a:avLst/>
                    </a:prstGeom>
                    <a:noFill/>
                  </pic:spPr>
                </pic:pic>
              </a:graphicData>
            </a:graphic>
          </wp:inline>
        </w:drawing>
      </w:r>
    </w:p>
    <w:p w:rsidR="007419CB" w:rsidRPr="000A4838" w:rsidRDefault="007419CB" w:rsidP="0021751D">
      <w:pPr>
        <w:pStyle w:val="Lgende"/>
        <w:spacing w:after="160" w:line="480" w:lineRule="auto"/>
        <w:rPr>
          <w:rFonts w:ascii="Arial" w:hAnsi="Arial" w:cs="Arial"/>
          <w:i w:val="0"/>
          <w:color w:val="auto"/>
          <w:sz w:val="20"/>
          <w:szCs w:val="20"/>
          <w:lang w:val="en-US"/>
        </w:rPr>
      </w:pPr>
      <w:bookmarkStart w:id="43" w:name="_Ref214209866"/>
      <w:r w:rsidRPr="000A4838">
        <w:rPr>
          <w:rFonts w:ascii="Arial" w:hAnsi="Arial" w:cs="Arial"/>
          <w:b/>
          <w:i w:val="0"/>
          <w:color w:val="auto"/>
          <w:sz w:val="20"/>
          <w:szCs w:val="20"/>
          <w:lang w:val="en-US"/>
        </w:rPr>
        <w:lastRenderedPageBreak/>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4</w:t>
      </w:r>
      <w:r w:rsidRPr="000A4838">
        <w:rPr>
          <w:rFonts w:ascii="Arial" w:hAnsi="Arial" w:cs="Arial"/>
          <w:b/>
          <w:i w:val="0"/>
          <w:color w:val="auto"/>
          <w:sz w:val="20"/>
          <w:szCs w:val="20"/>
          <w:lang w:val="en-US"/>
        </w:rPr>
        <w:fldChar w:fldCharType="end"/>
      </w:r>
      <w:bookmarkEnd w:id="43"/>
      <w:r w:rsidRPr="000A4838">
        <w:rPr>
          <w:rFonts w:ascii="Arial" w:hAnsi="Arial" w:cs="Arial"/>
          <w:b/>
          <w:i w:val="0"/>
          <w:color w:val="auto"/>
          <w:sz w:val="20"/>
          <w:szCs w:val="20"/>
          <w:lang w:val="en-US"/>
        </w:rPr>
        <w:t>: Representation of the 4 Scores of the Descriptors Selected by the Clustering (Shear modulus)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The bar plots represent the scores obtained by the descriptors for each selection method: </w:t>
      </w:r>
      <w:r w:rsidRPr="000A4838">
        <w:rPr>
          <w:rFonts w:ascii="Arial" w:hAnsi="Arial" w:cs="Arial"/>
          <w:b/>
          <w:sz w:val="20"/>
          <w:szCs w:val="20"/>
          <w:lang w:val="en-US"/>
        </w:rPr>
        <w:t>(a)</w:t>
      </w:r>
      <w:r w:rsidRPr="000A4838">
        <w:rPr>
          <w:rFonts w:ascii="Arial" w:hAnsi="Arial" w:cs="Arial"/>
          <w:sz w:val="20"/>
          <w:szCs w:val="20"/>
          <w:lang w:val="en-US"/>
        </w:rPr>
        <w:t xml:space="preserve"> Spearman score, </w:t>
      </w:r>
      <w:r w:rsidRPr="000A4838">
        <w:rPr>
          <w:rFonts w:ascii="Arial" w:hAnsi="Arial" w:cs="Arial"/>
          <w:b/>
          <w:sz w:val="20"/>
          <w:szCs w:val="20"/>
          <w:lang w:val="en-US"/>
        </w:rPr>
        <w:t>(b)</w:t>
      </w:r>
      <w:r w:rsidRPr="000A4838">
        <w:rPr>
          <w:rFonts w:ascii="Arial" w:hAnsi="Arial" w:cs="Arial"/>
          <w:sz w:val="20"/>
          <w:szCs w:val="20"/>
          <w:lang w:val="en-US"/>
        </w:rPr>
        <w:t xml:space="preserve"> Mutual Information score, </w:t>
      </w:r>
      <w:r w:rsidRPr="000A4838">
        <w:rPr>
          <w:rFonts w:ascii="Arial" w:hAnsi="Arial" w:cs="Arial"/>
          <w:b/>
          <w:sz w:val="20"/>
          <w:szCs w:val="20"/>
          <w:lang w:val="en-US"/>
        </w:rPr>
        <w:t>(c)</w:t>
      </w:r>
      <w:r w:rsidRPr="000A4838">
        <w:rPr>
          <w:rFonts w:ascii="Arial" w:hAnsi="Arial" w:cs="Arial"/>
          <w:sz w:val="20"/>
          <w:szCs w:val="20"/>
          <w:lang w:val="en-US"/>
        </w:rPr>
        <w:t xml:space="preserve"> XGB Embedded score and </w:t>
      </w:r>
      <w:r w:rsidRPr="000A4838">
        <w:rPr>
          <w:rFonts w:ascii="Arial" w:hAnsi="Arial" w:cs="Arial"/>
          <w:b/>
          <w:sz w:val="20"/>
          <w:szCs w:val="20"/>
          <w:lang w:val="en-US"/>
        </w:rPr>
        <w:t>(d)</w:t>
      </w:r>
      <w:r w:rsidRPr="000A4838">
        <w:rPr>
          <w:rFonts w:ascii="Arial" w:hAnsi="Arial" w:cs="Arial"/>
          <w:sz w:val="20"/>
          <w:szCs w:val="20"/>
          <w:lang w:val="en-US"/>
        </w:rPr>
        <w:t xml:space="preserve"> RFECV score. The descriptors selected by the elbow method appear in red, others appear in grey.</w:t>
      </w:r>
    </w:p>
    <w:p w:rsidR="007419CB" w:rsidRPr="000A4838" w:rsidRDefault="007419CB" w:rsidP="0021751D">
      <w:pPr>
        <w:spacing w:after="160" w:line="480" w:lineRule="auto"/>
        <w:rPr>
          <w:lang w:val="en-US"/>
        </w:rPr>
      </w:pPr>
    </w:p>
    <w:p w:rsidR="007419CB" w:rsidRPr="00591730" w:rsidRDefault="007419CB" w:rsidP="0021751D">
      <w:pPr>
        <w:spacing w:after="160" w:line="480" w:lineRule="auto"/>
        <w:rPr>
          <w:lang w:val="en-US"/>
        </w:rPr>
      </w:pPr>
      <w:r w:rsidRPr="00591730">
        <w:rPr>
          <w:lang w:val="en-US"/>
        </w:rPr>
        <w:t xml:space="preserve">Following per-method elbow selection, a binary indicator matrix is assembled, in which each row corresponds to a descriptor and each column to one of the four methods. A “1” entry denotes that the descriptor was chosen by that method’s elbow, and “0” otherwise. </w:t>
      </w:r>
      <w:r>
        <w:rPr>
          <w:lang w:val="en-US"/>
        </w:rPr>
        <w:t>A</w:t>
      </w:r>
      <w:r w:rsidRPr="00591730">
        <w:rPr>
          <w:lang w:val="en-US"/>
        </w:rPr>
        <w:t xml:space="preserve"> consolidated stability score </w:t>
      </w:r>
      <m:oMath>
        <m:sSub>
          <m:sSubPr>
            <m:ctrlPr>
              <w:rPr>
                <w:rFonts w:ascii="Cambria Math" w:eastAsia="Cambria Math" w:hAnsi="Cambria Math"/>
                <w:i/>
                <w:lang w:val="en-US"/>
              </w:rPr>
            </m:ctrlPr>
          </m:sSubPr>
          <m:e>
            <m:r>
              <w:rPr>
                <w:rFonts w:ascii="Cambria Math" w:hAnsi="Cambria Math"/>
                <w:lang w:val="en-US"/>
              </w:rPr>
              <m:t>S</m:t>
            </m:r>
          </m:e>
          <m:sub>
            <m:r>
              <w:rPr>
                <w:rFonts w:ascii="Cambria Math" w:hAnsi="Cambria Math"/>
                <w:lang w:val="en-US"/>
              </w:rPr>
              <m:t>d</m:t>
            </m:r>
          </m:sub>
        </m:sSub>
      </m:oMath>
      <w:r w:rsidRPr="00591730">
        <w:rPr>
          <w:lang w:val="en-US"/>
        </w:rPr>
        <w:t>​ for each descriptor</w:t>
      </w:r>
      <w:r>
        <w:rPr>
          <w:lang w:val="en-US"/>
        </w:rPr>
        <w:t xml:space="preserve"> is then computed,</w:t>
      </w:r>
      <w:r w:rsidRPr="00591730">
        <w:rPr>
          <w:lang w:val="en-US"/>
        </w:rPr>
        <w:t xml:space="preserve"> as the average of its four indicator values. This stability score measures the degree of consensus: a value of 1 indicates unanimous selection across all methods, whereas 0.25 corresponds to selection by only one method. By collapsing four heterogeneous criteria into a single, interpretable metric, descriptors that consistently emerge as important under diverse analytic paradigms are highlighted.</w:t>
      </w:r>
    </w:p>
    <w:p w:rsidR="007419CB" w:rsidRPr="00591730" w:rsidRDefault="007419CB" w:rsidP="0021751D">
      <w:pPr>
        <w:spacing w:after="160" w:line="480" w:lineRule="auto"/>
        <w:rPr>
          <w:lang w:val="en-US"/>
        </w:rPr>
      </w:pPr>
      <w:r w:rsidRPr="00591730">
        <w:rPr>
          <w:lang w:val="en-US"/>
        </w:rPr>
        <w:t>To determine the final descriptor set, the elbow method</w:t>
      </w:r>
      <w:r>
        <w:rPr>
          <w:lang w:val="en-US"/>
        </w:rPr>
        <w:t xml:space="preserve"> is used once again</w:t>
      </w:r>
      <w:r w:rsidRPr="00591730">
        <w:rPr>
          <w:lang w:val="en-US"/>
        </w:rPr>
        <w:t xml:space="preserve"> – this time to the sorted stability scores </w:t>
      </w:r>
      <m:oMath>
        <m:sSub>
          <m:sSubPr>
            <m:ctrlPr>
              <w:rPr>
                <w:rFonts w:ascii="Cambria Math" w:eastAsia="Cambria Math" w:hAnsi="Cambria Math"/>
                <w:i/>
                <w:lang w:val="en-US"/>
              </w:rPr>
            </m:ctrlPr>
          </m:sSubPr>
          <m:e>
            <m:r>
              <w:rPr>
                <w:rFonts w:ascii="Cambria Math" w:hAnsi="Cambria Math"/>
                <w:lang w:val="en-US"/>
              </w:rPr>
              <m:t>S</m:t>
            </m:r>
          </m:e>
          <m:sub>
            <m:r>
              <w:rPr>
                <w:rFonts w:ascii="Cambria Math" w:hAnsi="Cambria Math"/>
                <w:lang w:val="en-US"/>
              </w:rPr>
              <m:t>d</m:t>
            </m:r>
          </m:sub>
        </m:sSub>
      </m:oMath>
      <w:r w:rsidRPr="00591730">
        <w:rPr>
          <w:lang w:val="en-US"/>
        </w:rPr>
        <w:t xml:space="preserve">​. </w:t>
      </w:r>
      <w:r>
        <w:rPr>
          <w:lang w:val="en-US"/>
        </w:rPr>
        <w:t>D</w:t>
      </w:r>
      <w:r w:rsidRPr="00591730">
        <w:rPr>
          <w:lang w:val="en-US"/>
        </w:rPr>
        <w:t>escriptors</w:t>
      </w:r>
      <w:r>
        <w:rPr>
          <w:lang w:val="en-US"/>
        </w:rPr>
        <w:t xml:space="preserve"> are </w:t>
      </w:r>
      <w:r w:rsidRPr="00591730">
        <w:rPr>
          <w:lang w:val="en-US"/>
        </w:rPr>
        <w:t>rank</w:t>
      </w:r>
      <w:r>
        <w:rPr>
          <w:lang w:val="en-US"/>
        </w:rPr>
        <w:t>ed</w:t>
      </w:r>
      <w:r w:rsidRPr="00591730">
        <w:rPr>
          <w:lang w:val="en-US"/>
        </w:rPr>
        <w:t xml:space="preserve"> by decreasing stability, </w:t>
      </w:r>
      <w:r>
        <w:rPr>
          <w:lang w:val="en-US"/>
        </w:rPr>
        <w:t>the graph</w:t>
      </w:r>
      <w:r w:rsidRPr="00591730">
        <w:rPr>
          <w:lang w:val="en-US"/>
        </w:rPr>
        <w:t xml:space="preserve"> </w:t>
      </w:r>
      <m:oMath>
        <m:sSub>
          <m:sSubPr>
            <m:ctrlPr>
              <w:rPr>
                <w:rFonts w:ascii="Cambria Math" w:eastAsia="Cambria Math" w:hAnsi="Cambria Math"/>
                <w:i/>
                <w:lang w:val="en-US"/>
              </w:rPr>
            </m:ctrlPr>
          </m:sSubPr>
          <m:e>
            <m:r>
              <w:rPr>
                <w:rFonts w:ascii="Cambria Math" w:hAnsi="Cambria Math"/>
                <w:lang w:val="en-US"/>
              </w:rPr>
              <m:t>S</m:t>
            </m:r>
          </m:e>
          <m:sub>
            <m:r>
              <w:rPr>
                <w:rFonts w:ascii="Cambria Math" w:hAnsi="Cambria Math"/>
                <w:lang w:val="en-US"/>
              </w:rPr>
              <m:t>d</m:t>
            </m:r>
          </m:sub>
        </m:sSub>
      </m:oMath>
      <w:r w:rsidRPr="00591730">
        <w:rPr>
          <w:lang w:val="en-US"/>
        </w:rPr>
        <w:t>​ versus rank</w:t>
      </w:r>
      <w:r>
        <w:rPr>
          <w:lang w:val="en-US"/>
        </w:rPr>
        <w:t xml:space="preserve"> is </w:t>
      </w:r>
      <w:r w:rsidRPr="00591730">
        <w:rPr>
          <w:lang w:val="en-US"/>
        </w:rPr>
        <w:t>plot</w:t>
      </w:r>
      <w:r>
        <w:rPr>
          <w:lang w:val="en-US"/>
        </w:rPr>
        <w:t>ted</w:t>
      </w:r>
      <w:r w:rsidRPr="00591730">
        <w:rPr>
          <w:lang w:val="en-US"/>
        </w:rPr>
        <w:t>, and the point of maximum perpendicular distance from the line connecting the endpoints</w:t>
      </w:r>
      <w:r>
        <w:rPr>
          <w:lang w:val="en-US"/>
        </w:rPr>
        <w:t xml:space="preserve"> is </w:t>
      </w:r>
      <w:r w:rsidRPr="00591730">
        <w:rPr>
          <w:lang w:val="en-US"/>
        </w:rPr>
        <w:t>locate</w:t>
      </w:r>
      <w:r>
        <w:rPr>
          <w:lang w:val="en-US"/>
        </w:rPr>
        <w:t>d</w:t>
      </w:r>
      <w:r w:rsidRPr="00591730">
        <w:rPr>
          <w:lang w:val="en-US"/>
        </w:rPr>
        <w:t>. Descriptors above this stability elbow are retained for subsequent modeling</w:t>
      </w:r>
      <w:r>
        <w:rPr>
          <w:lang w:val="en-US"/>
        </w:rPr>
        <w:t xml:space="preserve"> (see </w:t>
      </w:r>
      <w:r w:rsidRPr="003C7BD0">
        <w:rPr>
          <w:lang w:val="en-US"/>
        </w:rPr>
        <w:fldChar w:fldCharType="begin"/>
      </w:r>
      <w:r w:rsidRPr="003C7BD0">
        <w:rPr>
          <w:lang w:val="en-US"/>
        </w:rPr>
        <w:instrText xml:space="preserve"> REF _Ref214209925 \h  \* MERGEFORMAT </w:instrText>
      </w:r>
      <w:r w:rsidRPr="003C7BD0">
        <w:rPr>
          <w:lang w:val="en-US"/>
        </w:rPr>
      </w:r>
      <w:r w:rsidRPr="003C7BD0">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5</w:t>
      </w:r>
      <w:r w:rsidRPr="003C7BD0">
        <w:rPr>
          <w:lang w:val="en-US"/>
        </w:rPr>
        <w:fldChar w:fldCharType="end"/>
      </w:r>
      <w:r>
        <w:rPr>
          <w:lang w:val="en-US"/>
        </w:rPr>
        <w:t>)</w:t>
      </w:r>
      <w:r w:rsidRPr="00591730">
        <w:rPr>
          <w:lang w:val="en-US"/>
        </w:rPr>
        <w:t>. This final elbow‐based cutoff ensures that a compact feature set, in which each descriptor has demonstrated strong, cross-method agreement in repeated subsamples of the data, is preserved.</w:t>
      </w: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3C312C26" wp14:editId="45777549">
            <wp:extent cx="5760720" cy="2880360"/>
            <wp:effectExtent l="0" t="0" r="0" b="0"/>
            <wp:docPr id="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2"/>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44" w:name="_Ref214209925"/>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5</w:t>
      </w:r>
      <w:r w:rsidRPr="000A4838">
        <w:rPr>
          <w:rFonts w:ascii="Arial" w:hAnsi="Arial" w:cs="Arial"/>
          <w:b/>
          <w:i w:val="0"/>
          <w:color w:val="auto"/>
          <w:sz w:val="20"/>
          <w:szCs w:val="20"/>
          <w:lang w:val="en-US"/>
        </w:rPr>
        <w:fldChar w:fldCharType="end"/>
      </w:r>
      <w:bookmarkEnd w:id="44"/>
      <w:r w:rsidRPr="000A4838">
        <w:rPr>
          <w:rFonts w:ascii="Arial" w:hAnsi="Arial" w:cs="Arial"/>
          <w:b/>
          <w:i w:val="0"/>
          <w:color w:val="auto"/>
          <w:sz w:val="20"/>
          <w:szCs w:val="20"/>
          <w:lang w:val="en-US"/>
        </w:rPr>
        <w:t>: Final Selection of the Descriptors through the “Stability Score” (shear modulus)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The Stability Score </w:t>
      </w:r>
      <m:oMath>
        <m:sSub>
          <m:sSubPr>
            <m:ctrlPr>
              <w:rPr>
                <w:rFonts w:ascii="Cambria Math" w:eastAsia="Cambria Math" w:hAnsi="Cambria Math"/>
                <w:i/>
                <w:sz w:val="20"/>
                <w:szCs w:val="20"/>
                <w:lang w:val="en-US"/>
              </w:rPr>
            </m:ctrlPr>
          </m:sSubPr>
          <m:e>
            <m:r>
              <w:rPr>
                <w:rFonts w:ascii="Cambria Math" w:hAnsi="Cambria Math" w:cs="Arial"/>
                <w:sz w:val="20"/>
                <w:szCs w:val="20"/>
                <w:lang w:val="en-US"/>
              </w:rPr>
              <m:t>S</m:t>
            </m:r>
          </m:e>
          <m:sub>
            <m:r>
              <w:rPr>
                <w:rFonts w:ascii="Cambria Math" w:hAnsi="Cambria Math" w:cs="Arial"/>
                <w:sz w:val="20"/>
                <w:szCs w:val="20"/>
                <w:lang w:val="en-US"/>
              </w:rPr>
              <m:t>d</m:t>
            </m:r>
          </m:sub>
        </m:sSub>
      </m:oMath>
      <w:r w:rsidRPr="000A4838">
        <w:rPr>
          <w:rFonts w:ascii="Arial" w:hAnsi="Arial" w:cs="Arial"/>
          <w:sz w:val="20"/>
          <w:szCs w:val="20"/>
          <w:lang w:val="en-US"/>
        </w:rPr>
        <w:t xml:space="preserve"> is the average value of the Boolean selected / not selected by each 4 methods. There again, the sele</w:t>
      </w:r>
      <w:proofErr w:type="spellStart"/>
      <w:r w:rsidRPr="000A4838">
        <w:rPr>
          <w:rFonts w:ascii="Arial" w:hAnsi="Arial" w:cs="Arial"/>
          <w:sz w:val="20"/>
          <w:szCs w:val="20"/>
          <w:lang w:val="en-US"/>
        </w:rPr>
        <w:t>ction</w:t>
      </w:r>
      <w:proofErr w:type="spellEnd"/>
      <w:r w:rsidRPr="000A4838">
        <w:rPr>
          <w:rFonts w:ascii="Arial" w:hAnsi="Arial" w:cs="Arial"/>
          <w:sz w:val="20"/>
          <w:szCs w:val="20"/>
          <w:lang w:val="en-US"/>
        </w:rPr>
        <w:t xml:space="preserve"> is done through the elbow method (in </w:t>
      </w:r>
      <w:r>
        <w:rPr>
          <w:rFonts w:ascii="Arial" w:hAnsi="Arial" w:cs="Arial"/>
          <w:sz w:val="20"/>
          <w:szCs w:val="20"/>
          <w:lang w:val="en-US"/>
        </w:rPr>
        <w:t>red</w:t>
      </w:r>
      <w:r w:rsidRPr="000A4838">
        <w:rPr>
          <w:rFonts w:ascii="Arial" w:hAnsi="Arial" w:cs="Arial"/>
          <w:sz w:val="20"/>
          <w:szCs w:val="20"/>
          <w:lang w:val="en-US"/>
        </w:rPr>
        <w:t xml:space="preserve">). The dash line marks the elbow. By construction, the values are distributed in plateau, with many descriptors obtaining the exact same elbow stability score: all these descriptors are selected, and the fraction of descriptors with a score strictly better than this plateau is implemented as </w:t>
      </w:r>
      <w:r w:rsidRPr="000A4838">
        <w:rPr>
          <w:rFonts w:ascii="Courier New" w:hAnsi="Courier New" w:cs="Courier New"/>
          <w:sz w:val="20"/>
          <w:szCs w:val="20"/>
          <w:lang w:val="en-US"/>
        </w:rPr>
        <w:t>subsample</w:t>
      </w:r>
      <w:r w:rsidRPr="000A4838">
        <w:rPr>
          <w:rFonts w:ascii="Arial" w:hAnsi="Arial" w:cs="Arial"/>
          <w:sz w:val="20"/>
          <w:szCs w:val="20"/>
          <w:lang w:val="en-US"/>
        </w:rPr>
        <w:t xml:space="preserve"> in the coarse tuning in the learning process. As a result, 20 descriptors (instead of the full 42 set) will be used as input for shear modulus training, and trials to reduce it down to 8 will be attempted during the coarse tuning phase.</w:t>
      </w:r>
    </w:p>
    <w:p w:rsidR="007419CB" w:rsidRPr="000A4838" w:rsidRDefault="007419CB" w:rsidP="0021751D">
      <w:pPr>
        <w:spacing w:after="160" w:line="480" w:lineRule="auto"/>
        <w:rPr>
          <w:lang w:val="en-US"/>
        </w:rPr>
      </w:pPr>
    </w:p>
    <w:p w:rsidR="007419CB" w:rsidRPr="00092C88" w:rsidRDefault="007419CB" w:rsidP="00265C5F">
      <w:pPr>
        <w:spacing w:after="160" w:line="480" w:lineRule="auto"/>
        <w:rPr>
          <w:highlight w:val="yellow"/>
          <w:lang w:val="en-US"/>
        </w:rPr>
      </w:pPr>
      <w:r w:rsidRPr="00496F98">
        <w:rPr>
          <w:lang w:val="en-US"/>
        </w:rPr>
        <w:t>Through this three-stage integration and thresholding procedure</w:t>
      </w:r>
      <w:r>
        <w:rPr>
          <w:lang w:val="en-US"/>
        </w:rPr>
        <w:t xml:space="preserve"> – </w:t>
      </w:r>
      <w:r w:rsidRPr="00496F98">
        <w:rPr>
          <w:lang w:val="en-US"/>
        </w:rPr>
        <w:t>comprising redundancy reduction, stability aggregation, and elbow-based selection</w:t>
      </w:r>
      <w:r>
        <w:rPr>
          <w:lang w:val="en-US"/>
        </w:rPr>
        <w:t xml:space="preserve"> – </w:t>
      </w:r>
      <w:r w:rsidRPr="00496F98">
        <w:rPr>
          <w:lang w:val="en-US"/>
        </w:rPr>
        <w:t>descriptor subsets are obtained that (</w:t>
      </w:r>
      <w:proofErr w:type="spellStart"/>
      <w:r w:rsidRPr="00496F98">
        <w:rPr>
          <w:lang w:val="en-US"/>
        </w:rPr>
        <w:t>i</w:t>
      </w:r>
      <w:proofErr w:type="spellEnd"/>
      <w:r w:rsidRPr="00496F98">
        <w:rPr>
          <w:lang w:val="en-US"/>
        </w:rPr>
        <w:t>) are free of near-duplicate information, (ii) remain robust to sampling variability, (iii) are supported consistently across multiple complementary ranking methods, and (iv) are sized according to intrinsic inflection points in the importance distributions rather than arbitrary hyperparameters.</w:t>
      </w:r>
      <w:r>
        <w:rPr>
          <w:lang w:val="en-US"/>
        </w:rPr>
        <w:t xml:space="preserve"> </w:t>
      </w:r>
    </w:p>
    <w:p w:rsidR="007419CB" w:rsidRPr="00092C88" w:rsidRDefault="007419CB" w:rsidP="0021751D">
      <w:pPr>
        <w:spacing w:after="160" w:line="480" w:lineRule="auto"/>
        <w:rPr>
          <w:highlight w:val="yellow"/>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45" w:name="_Ref203552040"/>
      <w:bookmarkStart w:id="46" w:name="_Toc214314335"/>
      <w:bookmarkStart w:id="47" w:name="_Toc216021097"/>
      <w:r w:rsidRPr="000A4838">
        <w:rPr>
          <w:rFonts w:ascii="Times New Roman" w:hAnsi="Times New Roman" w:cs="Times New Roman"/>
          <w:color w:val="auto"/>
          <w:sz w:val="24"/>
          <w:szCs w:val="24"/>
          <w:lang w:val="en-US"/>
        </w:rPr>
        <w:lastRenderedPageBreak/>
        <w:t>Supervised Machine Learning</w:t>
      </w:r>
      <w:bookmarkEnd w:id="45"/>
      <w:bookmarkEnd w:id="46"/>
      <w:bookmarkEnd w:id="47"/>
    </w:p>
    <w:p w:rsidR="007419CB" w:rsidRPr="00092B65" w:rsidRDefault="007419CB" w:rsidP="0021751D">
      <w:pPr>
        <w:pStyle w:val="NormalWeb"/>
        <w:spacing w:before="0" w:beforeAutospacing="0" w:after="160" w:afterAutospacing="0" w:line="480" w:lineRule="auto"/>
        <w:rPr>
          <w:lang w:val="en-US"/>
        </w:rPr>
      </w:pPr>
      <w:r w:rsidRPr="007626E6">
        <w:rPr>
          <w:lang w:val="en-US"/>
        </w:rPr>
        <w:t>The hybrid hyperparameter-tuning pipeline combines a two-stage search strategy</w:t>
      </w:r>
      <w:r>
        <w:rPr>
          <w:lang w:val="en-US"/>
        </w:rPr>
        <w:t xml:space="preserve"> – </w:t>
      </w:r>
      <w:r w:rsidRPr="007626E6">
        <w:rPr>
          <w:lang w:val="en-US"/>
        </w:rPr>
        <w:t>coarse grid halving followed by fine-grained Bayesian optimization</w:t>
      </w:r>
      <w:r>
        <w:rPr>
          <w:lang w:val="en-US"/>
        </w:rPr>
        <w:t xml:space="preserve"> – </w:t>
      </w:r>
      <w:r w:rsidRPr="007626E6">
        <w:rPr>
          <w:lang w:val="en-US"/>
        </w:rPr>
        <w:t>with robust engineering practices to maximize predictive performance while preserving reproducibility and interpretability.</w:t>
      </w:r>
      <w:r>
        <w:rPr>
          <w:lang w:val="en-US"/>
        </w:rPr>
        <w:t xml:space="preserve"> </w:t>
      </w:r>
      <w:r w:rsidRPr="000A4838">
        <w:rPr>
          <w:lang w:val="en-US"/>
        </w:rPr>
        <w:t xml:space="preserve">First, a </w:t>
      </w:r>
      <w:r w:rsidRPr="000A4838">
        <w:rPr>
          <w:rStyle w:val="lev"/>
          <w:b w:val="0"/>
          <w:lang w:val="en-US"/>
        </w:rPr>
        <w:t>coarse search</w:t>
      </w:r>
      <w:r>
        <w:rPr>
          <w:rStyle w:val="lev"/>
          <w:b w:val="0"/>
          <w:lang w:val="en-US"/>
        </w:rPr>
        <w:t xml:space="preserve"> is performed</w:t>
      </w:r>
      <w:r w:rsidRPr="000A4838">
        <w:rPr>
          <w:lang w:val="en-US"/>
        </w:rPr>
        <w:t xml:space="preserve"> using </w:t>
      </w:r>
      <w:proofErr w:type="spellStart"/>
      <w:r w:rsidRPr="000A4838">
        <w:rPr>
          <w:rStyle w:val="CodeHTML"/>
          <w:rFonts w:eastAsiaTheme="minorHAnsi"/>
          <w:lang w:val="en-US"/>
        </w:rPr>
        <w:t>HalvingGridSearchCV</w:t>
      </w:r>
      <w:proofErr w:type="spellEnd"/>
      <w:r w:rsidRPr="000A4838">
        <w:rPr>
          <w:lang w:val="en-US"/>
        </w:rPr>
        <w:t xml:space="preserve">, which systematically explores a user‐defined grid of </w:t>
      </w:r>
      <w:proofErr w:type="spellStart"/>
      <w:r w:rsidRPr="000A4838">
        <w:rPr>
          <w:lang w:val="en-US"/>
        </w:rPr>
        <w:t>XGBoost</w:t>
      </w:r>
      <w:proofErr w:type="spellEnd"/>
      <w:r w:rsidRPr="000A4838">
        <w:rPr>
          <w:lang w:val="en-US"/>
        </w:rPr>
        <w:t xml:space="preserve"> parameters (e.g., number of trees, tree depth, subsample fraction, gamma, and minimum child weight) while progressively allocating more resources to the most promising candidates. By discarding poorly performing parameter combinations early, halving search </w:t>
      </w:r>
      <w:r w:rsidRPr="00092B65">
        <w:rPr>
          <w:lang w:val="en-US"/>
        </w:rPr>
        <w:t>reduces computational cost relative to exhaustive grid search.</w:t>
      </w:r>
    </w:p>
    <w:p w:rsidR="007419CB" w:rsidRPr="00092B65" w:rsidRDefault="007419CB" w:rsidP="0021751D">
      <w:pPr>
        <w:pStyle w:val="NormalWeb"/>
        <w:spacing w:before="0" w:beforeAutospacing="0" w:after="160" w:afterAutospacing="0" w:line="480" w:lineRule="auto"/>
        <w:rPr>
          <w:lang w:val="en-US"/>
        </w:rPr>
      </w:pPr>
      <w:r w:rsidRPr="00092B65">
        <w:rPr>
          <w:lang w:val="en-US"/>
        </w:rPr>
        <w:t xml:space="preserve">Once the coarse search has identified a high‐performing region of hyperparameter space, a transition to </w:t>
      </w:r>
      <w:r w:rsidRPr="00092B65">
        <w:rPr>
          <w:rStyle w:val="lev"/>
          <w:b w:val="0"/>
          <w:lang w:val="en-US"/>
        </w:rPr>
        <w:t>fine tuning</w:t>
      </w:r>
      <w:r w:rsidRPr="00092B65">
        <w:rPr>
          <w:lang w:val="en-US"/>
        </w:rPr>
        <w:t xml:space="preserve"> via </w:t>
      </w:r>
      <w:proofErr w:type="spellStart"/>
      <w:r w:rsidRPr="00092B65">
        <w:rPr>
          <w:rStyle w:val="CodeHTML"/>
          <w:rFonts w:eastAsiaTheme="minorHAnsi"/>
          <w:lang w:val="en-US"/>
        </w:rPr>
        <w:t>OptunaSearchCV</w:t>
      </w:r>
      <w:proofErr w:type="spellEnd"/>
      <w:r w:rsidRPr="00092B65">
        <w:rPr>
          <w:lang w:val="en-US"/>
        </w:rPr>
        <w:t xml:space="preserve"> is performed. </w:t>
      </w:r>
      <w:proofErr w:type="spellStart"/>
      <w:r w:rsidRPr="00092B65">
        <w:rPr>
          <w:lang w:val="en-US"/>
        </w:rPr>
        <w:t>Optuna</w:t>
      </w:r>
      <w:proofErr w:type="spellEnd"/>
      <w:r w:rsidRPr="00092B65">
        <w:rPr>
          <w:lang w:val="en-US"/>
        </w:rPr>
        <w:t xml:space="preserve"> leverages</w:t>
      </w:r>
      <w:r w:rsidRPr="000A4838">
        <w:rPr>
          <w:lang w:val="en-US"/>
        </w:rPr>
        <w:t xml:space="preserve"> adaptive sampling over continuous and integer distributions to focus on the optimal settings. </w:t>
      </w:r>
      <w:r w:rsidRPr="00092B65">
        <w:rPr>
          <w:lang w:val="en-US"/>
        </w:rPr>
        <w:t>The search range is seeded around the best coarse parameters (for example, ±30% around the number of trees or ±1 around the maximum depth), and the procedure allows up to 200 trials or a 15 000-second timeout for convergence. By combining early halving with adaptive Bayesian optimization, the approach achieves both breadth (global exploration) and depth (local exploitation), accelerating convergence toward an optimal model configuration.</w:t>
      </w:r>
    </w:p>
    <w:p w:rsidR="007419CB" w:rsidRPr="00092B65" w:rsidRDefault="007419CB" w:rsidP="0021751D">
      <w:pPr>
        <w:pStyle w:val="NormalWeb"/>
        <w:spacing w:before="0" w:beforeAutospacing="0" w:after="160" w:afterAutospacing="0" w:line="480" w:lineRule="auto"/>
        <w:rPr>
          <w:lang w:val="en-US"/>
        </w:rPr>
      </w:pPr>
      <w:r w:rsidRPr="00092B65">
        <w:rPr>
          <w:lang w:val="en-US"/>
        </w:rPr>
        <w:t xml:space="preserve">Following training, the script conditionally </w:t>
      </w:r>
      <w:r w:rsidRPr="00092B65">
        <w:rPr>
          <w:rStyle w:val="lev"/>
          <w:b w:val="0"/>
          <w:lang w:val="en-US"/>
        </w:rPr>
        <w:t>saves the best model</w:t>
      </w:r>
      <w:r w:rsidRPr="00092B65">
        <w:rPr>
          <w:lang w:val="en-US"/>
        </w:rPr>
        <w:t xml:space="preserve"> only if the new test </w:t>
      </w:r>
      <m:oMath>
        <m:r>
          <w:rPr>
            <w:rFonts w:ascii="Cambria Math" w:hAnsi="Cambria Math"/>
            <w:lang w:val="en-US"/>
          </w:rPr>
          <m:t>R²</m:t>
        </m:r>
      </m:oMath>
      <w:r w:rsidRPr="00092B65">
        <w:rPr>
          <w:lang w:val="en-US"/>
        </w:rPr>
        <w:t xml:space="preserve"> exceeds all previous records for that study case. This ensures that, when the set of hyperparameters is changed manually, only models exhibiting genuine performance improvements are retained; in a way, this is a three steps process, starting with a manual tuning. Each</w:t>
      </w:r>
      <w:r w:rsidRPr="000A4838">
        <w:rPr>
          <w:lang w:val="en-US"/>
        </w:rPr>
        <w:t xml:space="preserve"> saved artifact includes not only the trained </w:t>
      </w:r>
      <w:proofErr w:type="spellStart"/>
      <w:r w:rsidRPr="000A4838">
        <w:rPr>
          <w:rStyle w:val="CodeHTML"/>
          <w:rFonts w:ascii="Times New Roman" w:eastAsiaTheme="minorHAnsi" w:hAnsi="Times New Roman" w:cs="Times New Roman"/>
          <w:sz w:val="24"/>
          <w:szCs w:val="24"/>
          <w:lang w:val="en-US"/>
        </w:rPr>
        <w:t>XGBRegressor</w:t>
      </w:r>
      <w:proofErr w:type="spellEnd"/>
      <w:r w:rsidRPr="000A4838">
        <w:rPr>
          <w:lang w:val="en-US"/>
        </w:rPr>
        <w:t xml:space="preserve"> and its parameters, </w:t>
      </w:r>
      <w:r w:rsidRPr="000A4838">
        <w:rPr>
          <w:lang w:val="en-US"/>
        </w:rPr>
        <w:lastRenderedPageBreak/>
        <w:t xml:space="preserve">but also the list of feature columns, the target column, and a summary of training and </w:t>
      </w:r>
      <w:r w:rsidRPr="00092B65">
        <w:rPr>
          <w:lang w:val="en-US"/>
        </w:rPr>
        <w:t>test performance (R</w:t>
      </w:r>
      <w:r w:rsidRPr="00092B65">
        <w:rPr>
          <w:vertAlign w:val="superscript"/>
          <w:lang w:val="en-US"/>
        </w:rPr>
        <w:t>2</w:t>
      </w:r>
      <w:r w:rsidRPr="00092B65">
        <w:rPr>
          <w:lang w:val="en-US"/>
        </w:rPr>
        <w:t xml:space="preserve"> and RMSE), all serialized together into a pickle file.</w:t>
      </w:r>
    </w:p>
    <w:p w:rsidR="007419CB" w:rsidRPr="000A4838" w:rsidRDefault="007419CB" w:rsidP="0021751D">
      <w:pPr>
        <w:pStyle w:val="NormalWeb"/>
        <w:spacing w:before="0" w:beforeAutospacing="0" w:after="160" w:afterAutospacing="0" w:line="480" w:lineRule="auto"/>
        <w:rPr>
          <w:lang w:val="en-US"/>
        </w:rPr>
      </w:pPr>
      <w:r w:rsidRPr="000A4838">
        <w:rPr>
          <w:lang w:val="en-US"/>
        </w:rPr>
        <w:t>By integrating robust cross‐validation, interactive hardware checks, conditional model serialization, and comprehensive visualization, this hybrid pipeline ensures that each model is not only finely tuned for predictive accuracy but is also transparent, reproducible, and readily interpretable – key criteria for high‐impact scientific machine‐learning applications.</w:t>
      </w: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48" w:name="_Ref214210337"/>
      <w:bookmarkStart w:id="49" w:name="_Toc214314337"/>
      <w:bookmarkStart w:id="50" w:name="_Toc216021098"/>
      <w:r w:rsidRPr="000A4838">
        <w:rPr>
          <w:rFonts w:ascii="Times New Roman" w:hAnsi="Times New Roman" w:cs="Times New Roman"/>
          <w:color w:val="auto"/>
          <w:sz w:val="24"/>
          <w:szCs w:val="24"/>
          <w:lang w:val="en-US"/>
        </w:rPr>
        <w:t>Summary Flowchart</w:t>
      </w:r>
      <w:bookmarkEnd w:id="48"/>
      <w:bookmarkEnd w:id="49"/>
      <w:bookmarkEnd w:id="50"/>
      <w:r w:rsidRPr="000A4838">
        <w:rPr>
          <w:rFonts w:ascii="Times New Roman" w:hAnsi="Times New Roman" w:cs="Times New Roman"/>
          <w:color w:val="auto"/>
          <w:sz w:val="24"/>
          <w:szCs w:val="24"/>
          <w:lang w:val="en-US"/>
        </w:rPr>
        <w:t xml:space="preserve"> </w:t>
      </w:r>
    </w:p>
    <w:p w:rsidR="007419CB" w:rsidRPr="000A4838" w:rsidRDefault="007419CB" w:rsidP="0021751D">
      <w:pPr>
        <w:spacing w:after="160" w:line="480" w:lineRule="auto"/>
        <w:rPr>
          <w:lang w:val="en-US"/>
        </w:rPr>
      </w:pPr>
      <w:r w:rsidRPr="000A4838">
        <w:rPr>
          <w:lang w:val="en-US"/>
        </w:rPr>
        <w:t>The methodology developed in this thesis follows an iterative, three-stage paradigm – data preparation, modeling &amp; interpretation, and generative design &amp; validation – to accelerate the discovery of high-entropy alloys for target applications. Rather than treating each step in isolation, the workflow emphasizes tight feedback loops and clearly defined quality gates, ensuring that every prediction is both statistically robust and physically meaningful.</w:t>
      </w:r>
    </w:p>
    <w:p w:rsidR="007419CB" w:rsidRPr="000A4838" w:rsidRDefault="007419CB" w:rsidP="0021751D">
      <w:pPr>
        <w:spacing w:after="160" w:line="480" w:lineRule="auto"/>
        <w:rPr>
          <w:lang w:val="en-US"/>
        </w:rPr>
      </w:pPr>
      <w:r w:rsidRPr="000A4838">
        <w:rPr>
          <w:lang w:val="en-US"/>
        </w:rPr>
        <w:t xml:space="preserve">In the </w:t>
      </w:r>
      <w:r w:rsidRPr="000A4838">
        <w:rPr>
          <w:b/>
          <w:lang w:val="en-US"/>
        </w:rPr>
        <w:t>data preparation stage</w:t>
      </w:r>
      <w:r w:rsidRPr="000A4838">
        <w:rPr>
          <w:lang w:val="en-US"/>
        </w:rPr>
        <w:t xml:space="preserve">, </w:t>
      </w:r>
      <w:r>
        <w:rPr>
          <w:lang w:val="en-US"/>
        </w:rPr>
        <w:t>the first step consists in</w:t>
      </w:r>
      <w:r w:rsidRPr="000A4838">
        <w:rPr>
          <w:lang w:val="en-US"/>
        </w:rPr>
        <w:t xml:space="preserve"> translating high-level design goals (e.g., target strength, operating temperature) into quantifiable descriptors – atomic radii, electronegativity differences, mixing enthalpies, etc. Diverse sources such as DeepMind GNOME, the Materials Project and community-contributed datasets supply the raw composition–property data. </w:t>
      </w:r>
      <w:r>
        <w:rPr>
          <w:lang w:val="en-US"/>
        </w:rPr>
        <w:t>A</w:t>
      </w:r>
      <w:r w:rsidRPr="000A4838">
        <w:rPr>
          <w:lang w:val="en-US"/>
        </w:rPr>
        <w:t xml:space="preserve"> broad candidate pool of descriptors </w:t>
      </w:r>
      <w:r>
        <w:rPr>
          <w:lang w:val="en-US"/>
        </w:rPr>
        <w:t xml:space="preserve">is then computed </w:t>
      </w:r>
      <w:r w:rsidRPr="000A4838">
        <w:rPr>
          <w:lang w:val="en-US"/>
        </w:rPr>
        <w:t xml:space="preserve">and multiple outlier-detection tests (e.g., Local Outlier Factor, Isolation Forest, k-Nearest Neighbors and Huber regression) </w:t>
      </w:r>
      <w:r>
        <w:rPr>
          <w:lang w:val="en-US"/>
        </w:rPr>
        <w:t xml:space="preserve">are applied </w:t>
      </w:r>
      <w:r w:rsidRPr="000A4838">
        <w:rPr>
          <w:lang w:val="en-US"/>
        </w:rPr>
        <w:t>to remove erroneous or spurious entries. This cleansing ensures that subsequent models learn from reliable, physically plausible examples.</w:t>
      </w:r>
    </w:p>
    <w:p w:rsidR="007419CB" w:rsidRPr="009B1B62" w:rsidRDefault="007419CB" w:rsidP="0021751D">
      <w:pPr>
        <w:spacing w:after="160" w:line="480" w:lineRule="auto"/>
        <w:rPr>
          <w:lang w:val="en-US"/>
        </w:rPr>
      </w:pPr>
      <w:r w:rsidRPr="00A65A05">
        <w:rPr>
          <w:lang w:val="en-US"/>
        </w:rPr>
        <w:t xml:space="preserve">Next, in the modeling and interpretation stage, feature-selection techniques (Spearman rank correlation, mutual information, </w:t>
      </w:r>
      <w:proofErr w:type="spellStart"/>
      <w:r w:rsidRPr="00A65A05">
        <w:rPr>
          <w:lang w:val="en-US"/>
        </w:rPr>
        <w:t>XGBoost</w:t>
      </w:r>
      <w:proofErr w:type="spellEnd"/>
      <w:r w:rsidRPr="00A65A05">
        <w:rPr>
          <w:lang w:val="en-US"/>
        </w:rPr>
        <w:t>-embedded importance, and RFECV) are employed to remove redundant or non-informative descriptors.</w:t>
      </w:r>
      <w:r>
        <w:rPr>
          <w:lang w:val="en-US"/>
        </w:rPr>
        <w:t xml:space="preserve"> </w:t>
      </w:r>
      <w:r w:rsidRPr="000A4838">
        <w:rPr>
          <w:lang w:val="en-US"/>
        </w:rPr>
        <w:t xml:space="preserve">The surviving features feed into </w:t>
      </w:r>
      <w:r w:rsidRPr="000A4838">
        <w:rPr>
          <w:lang w:val="en-US"/>
        </w:rPr>
        <w:lastRenderedPageBreak/>
        <w:t xml:space="preserve">supervised learners – random forests, gradient boosted trees and deep networks – that are trained and validated against well-characterized single-phase HEAs (e.g. those mapped by Wei Chen et al. </w:t>
      </w:r>
      <w:r w:rsidRPr="000A4838">
        <w:rPr>
          <w:lang w:val="en-US"/>
        </w:rPr>
        <w:fldChar w:fldCharType="begin"/>
      </w:r>
      <w:r w:rsidR="00B77C17">
        <w:rPr>
          <w:lang w:val="en-US"/>
        </w:rPr>
        <w:instrText xml:space="preserve"> ADDIN ZOTERO_ITEM CSL_CITATION {"citationID":"7tnoTeF2","properties":{"formattedCitation":"\\super 27\\nosupersub{}","plainCitation":"27","noteIndex":0},"citationItems":[{"id":178,"uris":["http://zotero.org/users/local/hYny5ca1/items/DZJP4BUU"],"itemData":{"id":178,"type":"article-journal","abstract":"High-entropy alloys have exhibited unusual materials properties. The stability of equimolar single-phase solid solution of five or more elements is supposedly rare and identifying the existence of such alloys has been challenging because of the vast chemical space of possible combinations. Herein, based on high-throughput density-functional theory calculations, we construct a chemical map of single-phase equimolar high-entropy alloys by investigating over 658,000 equimolar quinary alloys through a binary regular solid-solution model. We identify 30,201 potential single-phase equimolar alloys (5% of the possible combinations) forming mainly in body-centered cubic structures. We unveil the chemistries that are likely to form high-entropy alloys, and identify the complex interplay among mixing enthalpy, intermetallics formation, and melting point that drives the formation of these solid solutions. We demonstrate the power of our method by predicting the existence of two new high-entropy alloys, i.e. the body-centered cubic AlCoMnNiV and the face-centered cubic CoFeMnNiZn, which are successfully synthesized.","container-title":"Nature Communications","DOI":"10.1038/s41467-023-38423-7","ISSN":"2041-1723","issue":"1","journalAbbreviation":"Nature Communications","page":"2856","title":"A map of single-phase high-entropy alloys","volume":"14","author":[{"family":"Chen","given":"Wei"},{"family":"Hilhorst","given":"Antoine"},{"family":"Bokas","given":"Georgios"},{"family":"Gorsse","given":"Stéphane"},{"family":"Jacques","given":"Pascal J."},{"family":"Hautier","given":"Geoffroy"}],"issued":{"date-parts":[["2023",5,19]]}}}],"schema":"https://github.com/citation-style-language/schema/raw/master/csl-citation.json"}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27</w:t>
      </w:r>
      <w:r w:rsidRPr="000A4838">
        <w:rPr>
          <w:lang w:val="en-US"/>
        </w:rPr>
        <w:fldChar w:fldCharType="end"/>
      </w:r>
      <w:r w:rsidRPr="000A4838">
        <w:rPr>
          <w:lang w:val="en-US"/>
        </w:rPr>
        <w:t xml:space="preserve">). </w:t>
      </w:r>
      <w:r w:rsidRPr="00A65A05">
        <w:rPr>
          <w:lang w:val="en-US"/>
        </w:rPr>
        <w:t>Rather than relying on black-box outputs, each model’s uncertainty and feature contributions are examined. Ensemble spreads and SHAP-style analyses are used to identify the key atomic</w:t>
      </w:r>
      <w:r w:rsidRPr="009B1B62">
        <w:rPr>
          <w:lang w:val="en-US"/>
        </w:rPr>
        <w:t>-scale mechanisms driving performance.</w:t>
      </w:r>
    </w:p>
    <w:p w:rsidR="007419CB" w:rsidRPr="000A4838" w:rsidRDefault="007419CB" w:rsidP="0021751D">
      <w:pPr>
        <w:spacing w:after="160" w:line="480" w:lineRule="auto"/>
        <w:rPr>
          <w:lang w:val="en-US"/>
        </w:rPr>
      </w:pPr>
      <w:r w:rsidRPr="009B1B62">
        <w:rPr>
          <w:lang w:val="en-US"/>
        </w:rPr>
        <w:t xml:space="preserve">Finally, in </w:t>
      </w:r>
      <w:r w:rsidRPr="009B1B62">
        <w:rPr>
          <w:b/>
          <w:lang w:val="en-US"/>
        </w:rPr>
        <w:t>generative design &amp; validation</w:t>
      </w:r>
      <w:r w:rsidRPr="009B1B62">
        <w:rPr>
          <w:lang w:val="en-US"/>
        </w:rPr>
        <w:t xml:space="preserve">, both algorithmic optimizations are exploited (e.g. </w:t>
      </w:r>
      <w:r>
        <w:rPr>
          <w:lang w:val="en-US"/>
        </w:rPr>
        <w:t xml:space="preserve">stochastic </w:t>
      </w:r>
      <w:r w:rsidRPr="009B1B62">
        <w:rPr>
          <w:lang w:val="en-US"/>
        </w:rPr>
        <w:t>brute-force on large generated dataset) and generative-AI techniques to propose entirely new compositions biased toward desired properties. Candidates are ranked via multi-objective metrics – Pareto-front analyses</w:t>
      </w:r>
      <w:r w:rsidRPr="000A4838">
        <w:rPr>
          <w:lang w:val="en-US"/>
        </w:rPr>
        <w:t xml:space="preserve"> of strength, density, cost and stability – and the best-performers advance to experimental validation. Feedback from characterization then informs both data curation and model retraining, closing the loop.</w:t>
      </w:r>
      <w:r>
        <w:rPr>
          <w:lang w:val="en-US"/>
        </w:rPr>
        <w:t xml:space="preserve"> The whole process is summarized as a flowchart on </w:t>
      </w:r>
      <w:r w:rsidRPr="004426C7">
        <w:rPr>
          <w:lang w:val="en-US"/>
        </w:rPr>
        <w:fldChar w:fldCharType="begin"/>
      </w:r>
      <w:r w:rsidRPr="004426C7">
        <w:rPr>
          <w:lang w:val="en-US"/>
        </w:rPr>
        <w:instrText xml:space="preserve"> REF _Ref214210010 \h  \* MERGEFORMAT </w:instrText>
      </w:r>
      <w:r w:rsidRPr="004426C7">
        <w:rPr>
          <w:lang w:val="en-US"/>
        </w:rPr>
      </w:r>
      <w:r w:rsidRPr="004426C7">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6</w:t>
      </w:r>
      <w:r w:rsidRPr="004426C7">
        <w:rPr>
          <w:lang w:val="en-US"/>
        </w:rPr>
        <w:fldChar w:fldCharType="end"/>
      </w:r>
      <w:r>
        <w:rPr>
          <w:lang w:val="en-US"/>
        </w:rPr>
        <w:t>.</w:t>
      </w:r>
    </w:p>
    <w:p w:rsidR="007419CB" w:rsidRPr="000A4838" w:rsidRDefault="007419CB" w:rsidP="0021751D">
      <w:pPr>
        <w:spacing w:after="160" w:line="480" w:lineRule="auto"/>
        <w:rPr>
          <w:lang w:val="en-US"/>
        </w:rPr>
      </w:pPr>
      <w:r w:rsidRPr="000A4838">
        <w:rPr>
          <w:lang w:val="en-US"/>
        </w:rPr>
        <w:t>By interweaving data integrity checks, interpretable modeling and generative hypothesis testing within a single, coherent cycle, this framework delivers physically guided, high-confidence predictions and fast-tracks the development of next-generation high-entropy alloys.</w:t>
      </w:r>
    </w:p>
    <w:p w:rsidR="007419CB" w:rsidRPr="000A4838" w:rsidRDefault="007419CB" w:rsidP="0021751D">
      <w:pPr>
        <w:spacing w:after="160" w:line="480" w:lineRule="auto"/>
        <w:rPr>
          <w:lang w:val="en-US"/>
        </w:rPr>
      </w:pPr>
      <w:r w:rsidRPr="000A4838">
        <w:rPr>
          <w:noProof/>
          <w:lang w:val="en-US"/>
        </w:rPr>
        <w:lastRenderedPageBreak/>
        <w:drawing>
          <wp:inline distT="0" distB="0" distL="0" distR="0" wp14:anchorId="12DB564D" wp14:editId="038A8737">
            <wp:extent cx="5297805" cy="8431530"/>
            <wp:effectExtent l="0" t="0" r="0" b="7620"/>
            <wp:docPr id="5"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3"/>
                    <a:stretch/>
                  </pic:blipFill>
                  <pic:spPr bwMode="auto">
                    <a:xfrm>
                      <a:off x="0" y="0"/>
                      <a:ext cx="5297805" cy="8431530"/>
                    </a:xfrm>
                    <a:prstGeom prst="rect">
                      <a:avLst/>
                    </a:prstGeom>
                    <a:noFill/>
                  </pic:spPr>
                </pic:pic>
              </a:graphicData>
            </a:graphic>
          </wp:inline>
        </w:drawing>
      </w:r>
    </w:p>
    <w:p w:rsidR="007419CB" w:rsidRPr="000A4838" w:rsidRDefault="007419CB" w:rsidP="0021751D">
      <w:pPr>
        <w:pStyle w:val="Lgende"/>
        <w:spacing w:after="160" w:line="480" w:lineRule="auto"/>
        <w:rPr>
          <w:rFonts w:ascii="Arial" w:hAnsi="Arial" w:cs="Arial"/>
          <w:i w:val="0"/>
          <w:color w:val="auto"/>
          <w:sz w:val="20"/>
          <w:szCs w:val="20"/>
          <w:lang w:val="en-US"/>
        </w:rPr>
      </w:pPr>
      <w:bookmarkStart w:id="51" w:name="_Ref214210010"/>
      <w:r w:rsidRPr="000A4838">
        <w:rPr>
          <w:rFonts w:ascii="Arial" w:hAnsi="Arial" w:cs="Arial"/>
          <w:b/>
          <w:i w:val="0"/>
          <w:color w:val="auto"/>
          <w:sz w:val="20"/>
          <w:szCs w:val="20"/>
          <w:lang w:val="en-US"/>
        </w:rPr>
        <w:lastRenderedPageBreak/>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6</w:t>
      </w:r>
      <w:r w:rsidRPr="000A4838">
        <w:rPr>
          <w:rFonts w:ascii="Arial" w:hAnsi="Arial" w:cs="Arial"/>
          <w:b/>
          <w:i w:val="0"/>
          <w:color w:val="auto"/>
          <w:sz w:val="20"/>
          <w:szCs w:val="20"/>
          <w:lang w:val="en-US"/>
        </w:rPr>
        <w:fldChar w:fldCharType="end"/>
      </w:r>
      <w:bookmarkEnd w:id="51"/>
      <w:r w:rsidRPr="000A4838">
        <w:rPr>
          <w:rFonts w:ascii="Arial" w:hAnsi="Arial" w:cs="Arial"/>
          <w:b/>
          <w:i w:val="0"/>
          <w:color w:val="auto"/>
          <w:sz w:val="20"/>
          <w:szCs w:val="20"/>
          <w:lang w:val="en-US"/>
        </w:rPr>
        <w:t xml:space="preserve">: </w:t>
      </w:r>
      <w:r w:rsidRPr="000A4838">
        <w:rPr>
          <w:rFonts w:ascii="Arial" w:hAnsi="Arial" w:cs="Arial"/>
          <w:b/>
          <w:bCs/>
          <w:i w:val="0"/>
          <w:color w:val="auto"/>
          <w:sz w:val="20"/>
          <w:szCs w:val="20"/>
          <w:lang w:val="en-US"/>
        </w:rPr>
        <w:t xml:space="preserve">Workflow for Generative Artificial Intelligence &amp; Machine Learning Driven Materials </w:t>
      </w:r>
      <w:r w:rsidRPr="000A4838">
        <w:rPr>
          <w:rFonts w:ascii="Arial" w:hAnsi="Arial" w:cs="Arial"/>
          <w:bCs/>
          <w:i w:val="0"/>
          <w:color w:val="auto"/>
          <w:sz w:val="20"/>
          <w:szCs w:val="20"/>
          <w:lang w:val="en-US"/>
        </w:rPr>
        <w:t>Discovery Targeted to a Specific Application.</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Phase 1 (Data Preparation): translate design objectives into physical parameters, gather and curate experimental/computational datasets, compute descriptors and perform outlier detection.</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Phase 2 (Modeling &amp; Interpretation): execute feature selection (e.g., Spearman correlation, mutual information), train and validate ML models, and interpret key feature contributions.</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Phase 3 (Generation &amp; Selection): generate candidate compositions via algorithmic optimization or generative AI, then evaluate and rank them using multi-objective metrics such as the Pareto front.</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Decision diamonds indicate quality-control gates; color bands group each methodological phase.</w:t>
      </w:r>
    </w:p>
    <w:p w:rsidR="007419CB" w:rsidRPr="000A4838" w:rsidRDefault="007419CB" w:rsidP="0021751D">
      <w:pPr>
        <w:spacing w:after="160" w:line="480" w:lineRule="auto"/>
        <w:rPr>
          <w:lang w:val="en-US"/>
        </w:rPr>
      </w:pPr>
      <w:r w:rsidRPr="000A4838">
        <w:rPr>
          <w:lang w:val="en-US"/>
        </w:rPr>
        <w:br w:type="page" w:clear="all"/>
      </w:r>
    </w:p>
    <w:p w:rsidR="007419CB" w:rsidRPr="000A4838" w:rsidRDefault="007419CB" w:rsidP="00F949EF">
      <w:pPr>
        <w:pStyle w:val="Titre1"/>
        <w:numPr>
          <w:ilvl w:val="0"/>
          <w:numId w:val="40"/>
        </w:numPr>
        <w:spacing w:before="0" w:after="160" w:line="480" w:lineRule="auto"/>
        <w:rPr>
          <w:rFonts w:ascii="Times New Roman" w:hAnsi="Times New Roman" w:cs="Times New Roman"/>
          <w:color w:val="auto"/>
          <w:lang w:val="en-US"/>
        </w:rPr>
      </w:pPr>
      <w:bookmarkStart w:id="52" w:name="_Ref198041710"/>
      <w:bookmarkStart w:id="53" w:name="_Ref198041750"/>
      <w:bookmarkStart w:id="54" w:name="_Ref198041757"/>
      <w:bookmarkStart w:id="55" w:name="_Ref198041763"/>
      <w:bookmarkStart w:id="56" w:name="_Toc214314338"/>
      <w:bookmarkStart w:id="57" w:name="_Toc216021099"/>
      <w:r w:rsidRPr="000A4838">
        <w:rPr>
          <w:rFonts w:ascii="Times New Roman" w:hAnsi="Times New Roman" w:cs="Times New Roman"/>
          <w:color w:val="auto"/>
          <w:lang w:val="en-US"/>
        </w:rPr>
        <w:lastRenderedPageBreak/>
        <w:t>CONSTRUCTION &amp; INTERPRETATION OF ML SURROGATES</w:t>
      </w:r>
      <w:bookmarkEnd w:id="52"/>
      <w:bookmarkEnd w:id="53"/>
      <w:bookmarkEnd w:id="54"/>
      <w:bookmarkEnd w:id="55"/>
      <w:bookmarkEnd w:id="56"/>
      <w:bookmarkEnd w:id="57"/>
    </w:p>
    <w:p w:rsidR="007419CB" w:rsidRDefault="007419CB" w:rsidP="0021751D">
      <w:pPr>
        <w:spacing w:after="160" w:line="480" w:lineRule="auto"/>
        <w:rPr>
          <w:lang w:val="en-US"/>
        </w:rPr>
      </w:pPr>
      <w:r>
        <w:rPr>
          <w:lang w:val="en-US"/>
        </w:rPr>
        <w:t xml:space="preserve">The results of the process described in section </w:t>
      </w:r>
      <w:r>
        <w:rPr>
          <w:lang w:val="en-US"/>
        </w:rPr>
        <w:fldChar w:fldCharType="begin"/>
      </w:r>
      <w:r>
        <w:rPr>
          <w:lang w:val="en-US"/>
        </w:rPr>
        <w:instrText xml:space="preserve"> REF _Ref214210337 \n \h </w:instrText>
      </w:r>
      <w:r w:rsidR="0021751D">
        <w:rPr>
          <w:lang w:val="en-US"/>
        </w:rPr>
        <w:instrText xml:space="preserve"> \* MERGEFORMAT </w:instrText>
      </w:r>
      <w:r>
        <w:rPr>
          <w:lang w:val="en-US"/>
        </w:rPr>
      </w:r>
      <w:r>
        <w:rPr>
          <w:lang w:val="en-US"/>
        </w:rPr>
        <w:fldChar w:fldCharType="separate"/>
      </w:r>
      <w:r w:rsidR="00380C88">
        <w:rPr>
          <w:lang w:val="en-US"/>
        </w:rPr>
        <w:t>1.6</w:t>
      </w:r>
      <w:r>
        <w:rPr>
          <w:lang w:val="en-US"/>
        </w:rPr>
        <w:fldChar w:fldCharType="end"/>
      </w:r>
      <w:r>
        <w:rPr>
          <w:lang w:val="en-US"/>
        </w:rPr>
        <w:t xml:space="preserve"> are presented as graphs (respectively bar graphs to display the feature selection for each surrogate model, and parity plots to feature the performance of the model on the test base) for the different targets:</w:t>
      </w:r>
    </w:p>
    <w:p w:rsidR="007419CB" w:rsidRDefault="007419CB" w:rsidP="00F949EF">
      <w:pPr>
        <w:numPr>
          <w:ilvl w:val="0"/>
          <w:numId w:val="44"/>
        </w:numPr>
        <w:spacing w:after="160" w:line="480" w:lineRule="auto"/>
        <w:rPr>
          <w:lang w:val="en-US"/>
        </w:rPr>
      </w:pPr>
      <w:r>
        <w:rPr>
          <w:lang w:val="en-US"/>
        </w:rPr>
        <w:t xml:space="preserve">Creep (respectively </w:t>
      </w:r>
      <w:r w:rsidRPr="00915D89">
        <w:rPr>
          <w:lang w:val="en-US"/>
        </w:rPr>
        <w:fldChar w:fldCharType="begin"/>
      </w:r>
      <w:r w:rsidRPr="00915D89">
        <w:rPr>
          <w:lang w:val="en-US"/>
        </w:rPr>
        <w:instrText xml:space="preserve"> REF _Ref214210542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7</w:t>
      </w:r>
      <w:r w:rsidRPr="00915D89">
        <w:rPr>
          <w:lang w:val="en-US"/>
        </w:rPr>
        <w:fldChar w:fldCharType="end"/>
      </w:r>
      <w:r>
        <w:rPr>
          <w:lang w:val="en-US"/>
        </w:rPr>
        <w:t xml:space="preserve"> and </w:t>
      </w:r>
      <w:r w:rsidRPr="00915D89">
        <w:rPr>
          <w:lang w:val="en-US"/>
        </w:rPr>
        <w:fldChar w:fldCharType="begin"/>
      </w:r>
      <w:r w:rsidRPr="00915D89">
        <w:rPr>
          <w:lang w:val="en-US"/>
        </w:rPr>
        <w:instrText xml:space="preserve"> REF _Ref214210550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8</w:t>
      </w:r>
      <w:r w:rsidRPr="00915D89">
        <w:rPr>
          <w:lang w:val="en-US"/>
        </w:rPr>
        <w:fldChar w:fldCharType="end"/>
      </w:r>
      <w:r>
        <w:rPr>
          <w:lang w:val="en-US"/>
        </w:rPr>
        <w:t>)</w:t>
      </w:r>
    </w:p>
    <w:p w:rsidR="007419CB" w:rsidRPr="004F7301" w:rsidRDefault="007419CB" w:rsidP="00F949EF">
      <w:pPr>
        <w:numPr>
          <w:ilvl w:val="0"/>
          <w:numId w:val="44"/>
        </w:numPr>
        <w:spacing w:after="160" w:line="480" w:lineRule="auto"/>
        <w:rPr>
          <w:lang w:val="en-US"/>
        </w:rPr>
      </w:pPr>
      <w:r>
        <w:rPr>
          <w:lang w:val="en-US"/>
        </w:rPr>
        <w:t xml:space="preserve">High-temperature oxidation (respectively </w:t>
      </w:r>
      <w:r w:rsidRPr="00915D89">
        <w:rPr>
          <w:lang w:val="en-US"/>
        </w:rPr>
        <w:fldChar w:fldCharType="begin"/>
      </w:r>
      <w:r w:rsidRPr="00915D89">
        <w:rPr>
          <w:lang w:val="en-US"/>
        </w:rPr>
        <w:instrText xml:space="preserve"> REF _Ref214210562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9</w:t>
      </w:r>
      <w:r w:rsidRPr="00915D89">
        <w:rPr>
          <w:lang w:val="en-US"/>
        </w:rPr>
        <w:fldChar w:fldCharType="end"/>
      </w:r>
      <w:r>
        <w:rPr>
          <w:lang w:val="en-US"/>
        </w:rPr>
        <w:t xml:space="preserve"> and </w:t>
      </w:r>
      <w:r w:rsidRPr="00915D89">
        <w:rPr>
          <w:lang w:val="en-US"/>
        </w:rPr>
        <w:fldChar w:fldCharType="begin"/>
      </w:r>
      <w:r w:rsidRPr="00915D89">
        <w:rPr>
          <w:lang w:val="en-US"/>
        </w:rPr>
        <w:instrText xml:space="preserve"> REF _Ref214210567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10</w:t>
      </w:r>
      <w:r w:rsidRPr="00915D89">
        <w:rPr>
          <w:lang w:val="en-US"/>
        </w:rPr>
        <w:fldChar w:fldCharType="end"/>
      </w:r>
      <w:r>
        <w:rPr>
          <w:lang w:val="en-US"/>
        </w:rPr>
        <w:t>)</w:t>
      </w:r>
    </w:p>
    <w:p w:rsidR="007419CB" w:rsidRPr="004F7301" w:rsidRDefault="007419CB" w:rsidP="00F949EF">
      <w:pPr>
        <w:numPr>
          <w:ilvl w:val="0"/>
          <w:numId w:val="44"/>
        </w:numPr>
        <w:spacing w:after="160" w:line="480" w:lineRule="auto"/>
        <w:rPr>
          <w:lang w:val="en-US"/>
        </w:rPr>
      </w:pPr>
      <w:r>
        <w:rPr>
          <w:lang w:val="en-US"/>
        </w:rPr>
        <w:t xml:space="preserve">Formation enthalpy (respectively </w:t>
      </w:r>
      <w:r w:rsidRPr="00915D89">
        <w:rPr>
          <w:lang w:val="en-US"/>
        </w:rPr>
        <w:fldChar w:fldCharType="begin"/>
      </w:r>
      <w:r w:rsidRPr="00915D89">
        <w:rPr>
          <w:lang w:val="en-US"/>
        </w:rPr>
        <w:instrText xml:space="preserve"> REF _Ref214210577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11</w:t>
      </w:r>
      <w:r w:rsidRPr="00915D89">
        <w:rPr>
          <w:lang w:val="en-US"/>
        </w:rPr>
        <w:fldChar w:fldCharType="end"/>
      </w:r>
      <w:r>
        <w:rPr>
          <w:lang w:val="en-US"/>
        </w:rPr>
        <w:t xml:space="preserve"> and </w:t>
      </w:r>
      <w:r w:rsidRPr="00915D89">
        <w:rPr>
          <w:lang w:val="en-US"/>
        </w:rPr>
        <w:fldChar w:fldCharType="begin"/>
      </w:r>
      <w:r w:rsidRPr="00915D89">
        <w:rPr>
          <w:lang w:val="en-US"/>
        </w:rPr>
        <w:instrText xml:space="preserve"> REF _Ref214210583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12</w:t>
      </w:r>
      <w:r w:rsidRPr="00915D89">
        <w:rPr>
          <w:lang w:val="en-US"/>
        </w:rPr>
        <w:fldChar w:fldCharType="end"/>
      </w:r>
      <w:r>
        <w:rPr>
          <w:lang w:val="en-US"/>
        </w:rPr>
        <w:t>)</w:t>
      </w:r>
    </w:p>
    <w:p w:rsidR="007419CB" w:rsidRPr="004F7301" w:rsidRDefault="007419CB" w:rsidP="00F949EF">
      <w:pPr>
        <w:numPr>
          <w:ilvl w:val="0"/>
          <w:numId w:val="44"/>
        </w:numPr>
        <w:spacing w:after="160" w:line="480" w:lineRule="auto"/>
        <w:rPr>
          <w:lang w:val="en-US"/>
        </w:rPr>
      </w:pPr>
      <w:r w:rsidRPr="00A7067A">
        <w:rPr>
          <w:lang w:val="en-US"/>
        </w:rPr>
        <w:t>Bulk modulus</w:t>
      </w:r>
      <w:r>
        <w:rPr>
          <w:lang w:val="en-US"/>
        </w:rPr>
        <w:t xml:space="preserve"> (respectively </w:t>
      </w:r>
      <w:r w:rsidRPr="00915D89">
        <w:rPr>
          <w:lang w:val="en-US"/>
        </w:rPr>
        <w:fldChar w:fldCharType="begin"/>
      </w:r>
      <w:r w:rsidRPr="00915D89">
        <w:rPr>
          <w:lang w:val="en-US"/>
        </w:rPr>
        <w:instrText xml:space="preserve"> REF _Ref214210589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13</w:t>
      </w:r>
      <w:r w:rsidRPr="00915D89">
        <w:rPr>
          <w:lang w:val="en-US"/>
        </w:rPr>
        <w:fldChar w:fldCharType="end"/>
      </w:r>
      <w:r>
        <w:rPr>
          <w:lang w:val="en-US"/>
        </w:rPr>
        <w:t xml:space="preserve"> and </w:t>
      </w:r>
      <w:r w:rsidRPr="00915D89">
        <w:rPr>
          <w:lang w:val="en-US"/>
        </w:rPr>
        <w:fldChar w:fldCharType="begin"/>
      </w:r>
      <w:r w:rsidRPr="00915D89">
        <w:rPr>
          <w:lang w:val="en-US"/>
        </w:rPr>
        <w:instrText xml:space="preserve"> REF _Ref214210596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14</w:t>
      </w:r>
      <w:r w:rsidRPr="00915D89">
        <w:rPr>
          <w:lang w:val="en-US"/>
        </w:rPr>
        <w:fldChar w:fldCharType="end"/>
      </w:r>
      <w:r>
        <w:rPr>
          <w:lang w:val="en-US"/>
        </w:rPr>
        <w:t>)</w:t>
      </w:r>
    </w:p>
    <w:p w:rsidR="007419CB" w:rsidRPr="004F7301" w:rsidRDefault="007419CB" w:rsidP="00F949EF">
      <w:pPr>
        <w:numPr>
          <w:ilvl w:val="0"/>
          <w:numId w:val="44"/>
        </w:numPr>
        <w:spacing w:after="160" w:line="480" w:lineRule="auto"/>
        <w:rPr>
          <w:lang w:val="en-US"/>
        </w:rPr>
      </w:pPr>
      <w:r w:rsidRPr="00A7067A">
        <w:rPr>
          <w:lang w:val="en-US"/>
        </w:rPr>
        <w:t>Shear modulus</w:t>
      </w:r>
      <w:r>
        <w:rPr>
          <w:lang w:val="en-US"/>
        </w:rPr>
        <w:t xml:space="preserve"> (respectively </w:t>
      </w:r>
      <w:r w:rsidRPr="00915D89">
        <w:rPr>
          <w:lang w:val="en-US"/>
        </w:rPr>
        <w:fldChar w:fldCharType="begin"/>
      </w:r>
      <w:r w:rsidRPr="00915D89">
        <w:rPr>
          <w:lang w:val="en-US"/>
        </w:rPr>
        <w:instrText xml:space="preserve"> REF _Ref214210604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15</w:t>
      </w:r>
      <w:r w:rsidRPr="00915D89">
        <w:rPr>
          <w:lang w:val="en-US"/>
        </w:rPr>
        <w:fldChar w:fldCharType="end"/>
      </w:r>
      <w:r>
        <w:rPr>
          <w:lang w:val="en-US"/>
        </w:rPr>
        <w:t xml:space="preserve"> and </w:t>
      </w:r>
      <w:r w:rsidRPr="00915D89">
        <w:rPr>
          <w:lang w:val="en-US"/>
        </w:rPr>
        <w:fldChar w:fldCharType="begin"/>
      </w:r>
      <w:r w:rsidRPr="00915D89">
        <w:rPr>
          <w:lang w:val="en-US"/>
        </w:rPr>
        <w:instrText xml:space="preserve"> REF _Ref214210610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16</w:t>
      </w:r>
      <w:r w:rsidRPr="00915D89">
        <w:rPr>
          <w:lang w:val="en-US"/>
        </w:rPr>
        <w:fldChar w:fldCharType="end"/>
      </w:r>
      <w:r>
        <w:rPr>
          <w:lang w:val="en-US"/>
        </w:rPr>
        <w:t>)</w:t>
      </w:r>
    </w:p>
    <w:p w:rsidR="007419CB" w:rsidRPr="004F7301" w:rsidRDefault="007419CB" w:rsidP="00F949EF">
      <w:pPr>
        <w:numPr>
          <w:ilvl w:val="0"/>
          <w:numId w:val="44"/>
        </w:numPr>
        <w:spacing w:after="160" w:line="480" w:lineRule="auto"/>
        <w:rPr>
          <w:lang w:val="en-US"/>
        </w:rPr>
      </w:pPr>
      <w:r w:rsidRPr="00A7067A">
        <w:rPr>
          <w:lang w:val="en-US"/>
        </w:rPr>
        <w:t>Melting point</w:t>
      </w:r>
      <w:r>
        <w:rPr>
          <w:lang w:val="en-US"/>
        </w:rPr>
        <w:t xml:space="preserve"> (respectively </w:t>
      </w:r>
      <w:r w:rsidRPr="00915D89">
        <w:rPr>
          <w:lang w:val="en-US"/>
        </w:rPr>
        <w:fldChar w:fldCharType="begin"/>
      </w:r>
      <w:r w:rsidRPr="00915D89">
        <w:rPr>
          <w:lang w:val="en-US"/>
        </w:rPr>
        <w:instrText xml:space="preserve"> REF _Ref214210618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17</w:t>
      </w:r>
      <w:r w:rsidRPr="00915D89">
        <w:rPr>
          <w:lang w:val="en-US"/>
        </w:rPr>
        <w:fldChar w:fldCharType="end"/>
      </w:r>
      <w:r>
        <w:rPr>
          <w:lang w:val="en-US"/>
        </w:rPr>
        <w:t xml:space="preserve"> and </w:t>
      </w:r>
      <w:r w:rsidRPr="00915D89">
        <w:rPr>
          <w:lang w:val="en-US"/>
        </w:rPr>
        <w:fldChar w:fldCharType="begin"/>
      </w:r>
      <w:r w:rsidRPr="00915D89">
        <w:rPr>
          <w:lang w:val="en-US"/>
        </w:rPr>
        <w:instrText xml:space="preserve"> REF _Ref214210622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18</w:t>
      </w:r>
      <w:r w:rsidRPr="00915D89">
        <w:rPr>
          <w:lang w:val="en-US"/>
        </w:rPr>
        <w:fldChar w:fldCharType="end"/>
      </w:r>
      <w:r>
        <w:rPr>
          <w:lang w:val="en-US"/>
        </w:rPr>
        <w:t>)</w:t>
      </w:r>
    </w:p>
    <w:p w:rsidR="007419CB" w:rsidRPr="004F7301" w:rsidRDefault="007419CB" w:rsidP="00F949EF">
      <w:pPr>
        <w:numPr>
          <w:ilvl w:val="0"/>
          <w:numId w:val="44"/>
        </w:numPr>
        <w:spacing w:after="160" w:line="480" w:lineRule="auto"/>
        <w:rPr>
          <w:lang w:val="en-US"/>
        </w:rPr>
      </w:pPr>
      <w:r w:rsidRPr="00A7067A">
        <w:rPr>
          <w:lang w:val="en-US"/>
        </w:rPr>
        <w:t>Density</w:t>
      </w:r>
      <w:r>
        <w:rPr>
          <w:lang w:val="en-US"/>
        </w:rPr>
        <w:t xml:space="preserve"> (respectively </w:t>
      </w:r>
      <w:r w:rsidRPr="00915D89">
        <w:rPr>
          <w:lang w:val="en-US"/>
        </w:rPr>
        <w:fldChar w:fldCharType="begin"/>
      </w:r>
      <w:r w:rsidRPr="00915D89">
        <w:rPr>
          <w:lang w:val="en-US"/>
        </w:rPr>
        <w:instrText xml:space="preserve"> REF _Ref214210631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19</w:t>
      </w:r>
      <w:r w:rsidRPr="00915D89">
        <w:rPr>
          <w:lang w:val="en-US"/>
        </w:rPr>
        <w:fldChar w:fldCharType="end"/>
      </w:r>
      <w:r>
        <w:rPr>
          <w:lang w:val="en-US"/>
        </w:rPr>
        <w:t xml:space="preserve"> and </w:t>
      </w:r>
      <w:r w:rsidRPr="00915D89">
        <w:rPr>
          <w:lang w:val="en-US"/>
        </w:rPr>
        <w:fldChar w:fldCharType="begin"/>
      </w:r>
      <w:r w:rsidRPr="00915D89">
        <w:rPr>
          <w:lang w:val="en-US"/>
        </w:rPr>
        <w:instrText xml:space="preserve"> REF _Ref214210638 \h  \* MERGEFORMAT </w:instrText>
      </w:r>
      <w:r w:rsidRPr="00915D89">
        <w:rPr>
          <w:lang w:val="en-US"/>
        </w:rPr>
      </w:r>
      <w:r w:rsidRPr="00915D89">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20</w:t>
      </w:r>
      <w:r w:rsidRPr="00915D89">
        <w:rPr>
          <w:lang w:val="en-US"/>
        </w:rPr>
        <w:fldChar w:fldCharType="end"/>
      </w:r>
      <w:r>
        <w:rPr>
          <w:lang w:val="en-US"/>
        </w:rPr>
        <w:t>)</w:t>
      </w:r>
    </w:p>
    <w:p w:rsidR="007419CB"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58" w:name="_Ref205243729"/>
      <w:bookmarkStart w:id="59" w:name="_Toc214314339"/>
      <w:bookmarkStart w:id="60" w:name="_Toc216021100"/>
      <w:r w:rsidRPr="000A4838">
        <w:rPr>
          <w:rFonts w:ascii="Times New Roman" w:hAnsi="Times New Roman" w:cs="Times New Roman"/>
          <w:color w:val="auto"/>
          <w:sz w:val="24"/>
          <w:szCs w:val="24"/>
          <w:lang w:val="en-US"/>
        </w:rPr>
        <w:t>Creep</w:t>
      </w:r>
      <w:bookmarkEnd w:id="58"/>
      <w:bookmarkEnd w:id="59"/>
      <w:bookmarkEnd w:id="60"/>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74720824" wp14:editId="55AF5200">
            <wp:extent cx="5760720" cy="2880360"/>
            <wp:effectExtent l="0" t="0" r="0" b="0"/>
            <wp:docPr id="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4"/>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61" w:name="_Ref214210542"/>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7</w:t>
      </w:r>
      <w:r w:rsidRPr="000A4838">
        <w:rPr>
          <w:rFonts w:ascii="Arial" w:hAnsi="Arial" w:cs="Arial"/>
          <w:b/>
          <w:i w:val="0"/>
          <w:color w:val="auto"/>
          <w:sz w:val="20"/>
          <w:szCs w:val="20"/>
          <w:lang w:val="en-US"/>
        </w:rPr>
        <w:fldChar w:fldCharType="end"/>
      </w:r>
      <w:bookmarkEnd w:id="61"/>
      <w:r w:rsidRPr="000A4838">
        <w:rPr>
          <w:rFonts w:ascii="Arial" w:hAnsi="Arial" w:cs="Arial"/>
          <w:b/>
          <w:i w:val="0"/>
          <w:color w:val="auto"/>
          <w:sz w:val="20"/>
          <w:szCs w:val="20"/>
          <w:lang w:val="en-US"/>
        </w:rPr>
        <w:t>: Features (or Descriptors) Selection for Creep (LMP) as a target.</w:t>
      </w:r>
    </w:p>
    <w:p w:rsidR="007419CB" w:rsidRPr="000A4838" w:rsidRDefault="007419CB" w:rsidP="0021751D">
      <w:pPr>
        <w:spacing w:after="160" w:line="480" w:lineRule="auto"/>
        <w:rPr>
          <w:rFonts w:ascii="Arial" w:hAnsi="Arial" w:cs="Arial"/>
          <w:sz w:val="20"/>
          <w:szCs w:val="20"/>
          <w:lang w:val="en-US"/>
        </w:rPr>
      </w:pPr>
      <w:r w:rsidRPr="005E02D4">
        <w:rPr>
          <w:rFonts w:ascii="Arial" w:hAnsi="Arial" w:cs="Arial"/>
          <w:sz w:val="20"/>
          <w:szCs w:val="20"/>
          <w:lang w:val="en-US"/>
        </w:rPr>
        <w:t xml:space="preserve">Red bars indicate features selected by the pipeline. The </w:t>
      </w:r>
      <w:proofErr w:type="spellStart"/>
      <w:r w:rsidRPr="005E02D4">
        <w:rPr>
          <w:rFonts w:ascii="Arial" w:hAnsi="Arial" w:cs="Arial"/>
          <w:sz w:val="20"/>
          <w:szCs w:val="20"/>
          <w:lang w:val="en-US"/>
        </w:rPr>
        <w:t>XGBoost</w:t>
      </w:r>
      <w:proofErr w:type="spellEnd"/>
      <w:r w:rsidRPr="005E02D4">
        <w:rPr>
          <w:rFonts w:ascii="Arial" w:hAnsi="Arial" w:cs="Arial"/>
          <w:sz w:val="20"/>
          <w:szCs w:val="20"/>
          <w:lang w:val="en-US"/>
        </w:rPr>
        <w:t xml:space="preserve"> procedure is parametrized so that features located before the elbow of the curve (to the left of the dashed line) are systematically included</w:t>
      </w:r>
      <w:r w:rsidRPr="000A4838">
        <w:rPr>
          <w:rFonts w:ascii="Arial" w:hAnsi="Arial" w:cs="Arial"/>
          <w:sz w:val="20"/>
          <w:szCs w:val="20"/>
          <w:lang w:val="en-US"/>
        </w:rPr>
        <w:t>.</w:t>
      </w: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41E9ACD5" wp14:editId="3C983142">
            <wp:extent cx="5760720" cy="5760720"/>
            <wp:effectExtent l="0" t="0" r="0" b="0"/>
            <wp:docPr id="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5"/>
                    <a:stretch/>
                  </pic:blipFill>
                  <pic:spPr bwMode="auto">
                    <a:xfrm>
                      <a:off x="0" y="0"/>
                      <a:ext cx="5760720" cy="576072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62" w:name="_Ref214210550"/>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8</w:t>
      </w:r>
      <w:r w:rsidRPr="000A4838">
        <w:rPr>
          <w:rFonts w:ascii="Arial" w:hAnsi="Arial" w:cs="Arial"/>
          <w:b/>
          <w:i w:val="0"/>
          <w:color w:val="auto"/>
          <w:sz w:val="20"/>
          <w:szCs w:val="20"/>
          <w:lang w:val="en-US"/>
        </w:rPr>
        <w:fldChar w:fldCharType="end"/>
      </w:r>
      <w:bookmarkEnd w:id="62"/>
      <w:r w:rsidRPr="000A4838">
        <w:rPr>
          <w:rFonts w:ascii="Arial" w:hAnsi="Arial" w:cs="Arial"/>
          <w:b/>
          <w:i w:val="0"/>
          <w:color w:val="auto"/>
          <w:sz w:val="20"/>
          <w:szCs w:val="20"/>
          <w:lang w:val="en-US"/>
        </w:rPr>
        <w:t>: Predicted Values for the Creep (LMP) versus Real Values.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test base, this training reached almost </w:t>
      </w:r>
      <m:oMath>
        <m:r>
          <w:rPr>
            <w:rFonts w:ascii="Cambria Math" w:hAnsi="Cambria Math" w:cs="Arial"/>
            <w:sz w:val="20"/>
            <w:szCs w:val="20"/>
            <w:lang w:val="en-US"/>
          </w:rPr>
          <m:t>R²=0.99</m:t>
        </m:r>
      </m:oMath>
      <w:r w:rsidRPr="000A4838">
        <w:rPr>
          <w:rFonts w:ascii="Arial" w:hAnsi="Arial" w:cs="Arial"/>
          <w:sz w:val="20"/>
          <w:szCs w:val="20"/>
          <w:lang w:val="en-US"/>
        </w:rPr>
        <w:t>, an exce</w:t>
      </w:r>
      <w:proofErr w:type="spellStart"/>
      <w:r w:rsidRPr="000A4838">
        <w:rPr>
          <w:rFonts w:ascii="Arial" w:hAnsi="Arial" w:cs="Arial"/>
          <w:sz w:val="20"/>
          <w:szCs w:val="20"/>
          <w:lang w:val="en-US"/>
        </w:rPr>
        <w:t>llent</w:t>
      </w:r>
      <w:proofErr w:type="spellEnd"/>
      <w:r w:rsidRPr="000A4838">
        <w:rPr>
          <w:rFonts w:ascii="Arial" w:hAnsi="Arial" w:cs="Arial"/>
          <w:sz w:val="20"/>
          <w:szCs w:val="20"/>
          <w:lang w:val="en-US"/>
        </w:rPr>
        <w:t xml:space="preserve"> score.</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0A4838">
        <w:rPr>
          <w:b/>
          <w:bCs/>
          <w:lang w:val="en-US"/>
        </w:rPr>
        <w:br w:type="page" w:clear="all"/>
      </w: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63" w:name="_Ref205243743"/>
      <w:bookmarkStart w:id="64" w:name="_Toc214314340"/>
      <w:bookmarkStart w:id="65" w:name="_Toc216021101"/>
      <w:r w:rsidRPr="000A4838">
        <w:rPr>
          <w:rFonts w:ascii="Times New Roman" w:hAnsi="Times New Roman" w:cs="Times New Roman"/>
          <w:color w:val="auto"/>
          <w:sz w:val="24"/>
          <w:szCs w:val="24"/>
          <w:lang w:val="en-US"/>
        </w:rPr>
        <w:lastRenderedPageBreak/>
        <w:t>High-Temperature Oxidation</w:t>
      </w:r>
      <w:bookmarkEnd w:id="63"/>
      <w:bookmarkEnd w:id="64"/>
      <w:bookmarkEnd w:id="65"/>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35A68E90" wp14:editId="51B7FF21">
            <wp:extent cx="5760720" cy="2880360"/>
            <wp:effectExtent l="0" t="0" r="0" b="0"/>
            <wp:docPr id="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16"/>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66" w:name="_Ref214210562"/>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9</w:t>
      </w:r>
      <w:r w:rsidRPr="000A4838">
        <w:rPr>
          <w:rFonts w:ascii="Arial" w:hAnsi="Arial" w:cs="Arial"/>
          <w:b/>
          <w:i w:val="0"/>
          <w:color w:val="auto"/>
          <w:sz w:val="20"/>
          <w:szCs w:val="20"/>
          <w:lang w:val="en-US"/>
        </w:rPr>
        <w:fldChar w:fldCharType="end"/>
      </w:r>
      <w:bookmarkEnd w:id="66"/>
      <w:r w:rsidRPr="000A4838">
        <w:rPr>
          <w:rFonts w:ascii="Arial" w:hAnsi="Arial" w:cs="Arial"/>
          <w:b/>
          <w:i w:val="0"/>
          <w:color w:val="auto"/>
          <w:sz w:val="20"/>
          <w:szCs w:val="20"/>
          <w:lang w:val="en-US"/>
        </w:rPr>
        <w:t>: Features (or Descriptors) Selection for High-Temperat</w:t>
      </w:r>
      <w:r>
        <w:rPr>
          <w:rFonts w:ascii="Arial" w:hAnsi="Arial" w:cs="Arial"/>
          <w:b/>
          <w:i w:val="0"/>
          <w:color w:val="auto"/>
          <w:sz w:val="20"/>
          <w:szCs w:val="20"/>
          <w:lang w:val="en-US"/>
        </w:rPr>
        <w:t>ure</w:t>
      </w:r>
      <w:r w:rsidRPr="000A4838">
        <w:rPr>
          <w:rFonts w:ascii="Arial" w:hAnsi="Arial" w:cs="Arial"/>
          <w:b/>
          <w:i w:val="0"/>
          <w:color w:val="auto"/>
          <w:sz w:val="20"/>
          <w:szCs w:val="20"/>
          <w:lang w:val="en-US"/>
        </w:rPr>
        <w:t xml:space="preserve"> Oxidation (</w:t>
      </w:r>
      <m:oMath>
        <m:func>
          <m:funcPr>
            <m:ctrlPr>
              <w:rPr>
                <w:rFonts w:ascii="Cambria Math" w:eastAsia="Cambria Math" w:hAnsi="Cambria Math"/>
                <w:b/>
                <w:color w:val="auto"/>
                <w:sz w:val="20"/>
                <w:szCs w:val="20"/>
                <w:lang w:val="en-US"/>
              </w:rPr>
            </m:ctrlPr>
          </m:funcPr>
          <m:fName>
            <m:sSub>
              <m:sSubPr>
                <m:ctrlPr>
                  <w:rPr>
                    <w:rFonts w:ascii="Cambria Math" w:eastAsia="Cambria Math" w:hAnsi="Cambria Math"/>
                    <w:b/>
                    <w:color w:val="auto"/>
                    <w:sz w:val="20"/>
                    <w:szCs w:val="20"/>
                    <w:lang w:val="en-US"/>
                  </w:rPr>
                </m:ctrlPr>
              </m:sSubPr>
              <m:e>
                <m:r>
                  <m:rPr>
                    <m:sty m:val="bi"/>
                  </m:rPr>
                  <w:rPr>
                    <w:rFonts w:ascii="Cambria Math" w:hAnsi="Cambria Math" w:cs="Arial"/>
                    <w:color w:val="auto"/>
                    <w:sz w:val="20"/>
                    <w:szCs w:val="20"/>
                    <w:lang w:val="en-US"/>
                  </w:rPr>
                  <m:t>log</m:t>
                </m:r>
              </m:e>
              <m:sub>
                <m:r>
                  <m:rPr>
                    <m:sty m:val="bi"/>
                  </m:rPr>
                  <w:rPr>
                    <w:rFonts w:ascii="Cambria Math" w:hAnsi="Cambria Math" w:cs="Arial"/>
                    <w:color w:val="auto"/>
                    <w:sz w:val="20"/>
                    <w:szCs w:val="20"/>
                    <w:lang w:val="en-US"/>
                  </w:rPr>
                  <m:t>10</m:t>
                </m:r>
              </m:sub>
            </m:sSub>
          </m:fName>
          <m:e>
            <m:sSub>
              <m:sSubPr>
                <m:ctrlPr>
                  <w:rPr>
                    <w:rFonts w:ascii="Cambria Math" w:eastAsia="Cambria Math" w:hAnsi="Cambria Math"/>
                    <w:b/>
                    <w:color w:val="auto"/>
                    <w:sz w:val="20"/>
                    <w:szCs w:val="20"/>
                    <w:lang w:val="en-US"/>
                  </w:rPr>
                </m:ctrlPr>
              </m:sSubPr>
              <m:e>
                <m:r>
                  <m:rPr>
                    <m:sty m:val="bi"/>
                  </m:rPr>
                  <w:rPr>
                    <w:rFonts w:ascii="Cambria Math" w:hAnsi="Cambria Math" w:cs="Arial"/>
                    <w:color w:val="auto"/>
                    <w:sz w:val="20"/>
                    <w:szCs w:val="20"/>
                    <w:lang w:val="en-US"/>
                  </w:rPr>
                  <m:t>K</m:t>
                </m:r>
              </m:e>
              <m:sub>
                <m:r>
                  <m:rPr>
                    <m:sty m:val="bi"/>
                  </m:rPr>
                  <w:rPr>
                    <w:rFonts w:ascii="Cambria Math" w:hAnsi="Cambria Math" w:cs="Arial"/>
                    <w:color w:val="auto"/>
                    <w:sz w:val="20"/>
                    <w:szCs w:val="20"/>
                    <w:lang w:val="en-US"/>
                  </w:rPr>
                  <m:t>A</m:t>
                </m:r>
              </m:sub>
            </m:sSub>
          </m:e>
        </m:func>
      </m:oMath>
      <w:r w:rsidRPr="000A4838">
        <w:rPr>
          <w:rFonts w:ascii="Arial" w:hAnsi="Arial" w:cs="Arial"/>
          <w:b/>
          <w:i w:val="0"/>
          <w:color w:val="auto"/>
          <w:sz w:val="20"/>
          <w:szCs w:val="20"/>
          <w:lang w:val="en-US"/>
        </w:rPr>
        <w:t>) as a target.</w:t>
      </w:r>
    </w:p>
    <w:p w:rsidR="007419CB" w:rsidRPr="000A4838" w:rsidRDefault="007419CB" w:rsidP="0021751D">
      <w:pPr>
        <w:spacing w:after="160" w:line="480" w:lineRule="auto"/>
        <w:rPr>
          <w:rFonts w:ascii="Arial" w:hAnsi="Arial" w:cs="Arial"/>
          <w:sz w:val="20"/>
          <w:szCs w:val="20"/>
          <w:lang w:val="en-US"/>
        </w:rPr>
      </w:pPr>
      <w:r w:rsidRPr="005E02D4">
        <w:rPr>
          <w:rFonts w:ascii="Arial" w:hAnsi="Arial" w:cs="Arial"/>
          <w:sz w:val="20"/>
          <w:szCs w:val="20"/>
          <w:lang w:val="en-US"/>
        </w:rPr>
        <w:t xml:space="preserve">Red bars indicate features selected by the pipeline. The </w:t>
      </w:r>
      <w:proofErr w:type="spellStart"/>
      <w:r w:rsidRPr="005E02D4">
        <w:rPr>
          <w:rFonts w:ascii="Arial" w:hAnsi="Arial" w:cs="Arial"/>
          <w:sz w:val="20"/>
          <w:szCs w:val="20"/>
          <w:lang w:val="en-US"/>
        </w:rPr>
        <w:t>XGBoost</w:t>
      </w:r>
      <w:proofErr w:type="spellEnd"/>
      <w:r w:rsidRPr="005E02D4">
        <w:rPr>
          <w:rFonts w:ascii="Arial" w:hAnsi="Arial" w:cs="Arial"/>
          <w:sz w:val="20"/>
          <w:szCs w:val="20"/>
          <w:lang w:val="en-US"/>
        </w:rPr>
        <w:t xml:space="preserve"> procedure is parametrized so that features located before the elbow of the curve (to the left of the dashed line) are systematically included.</w:t>
      </w: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1AC38682" wp14:editId="5A0BE3D2">
            <wp:extent cx="5760720" cy="5760720"/>
            <wp:effectExtent l="0" t="0" r="0" b="0"/>
            <wp:docPr id="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17"/>
                    <a:stretch/>
                  </pic:blipFill>
                  <pic:spPr bwMode="auto">
                    <a:xfrm>
                      <a:off x="0" y="0"/>
                      <a:ext cx="5760720" cy="576072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67" w:name="_Ref214210567"/>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10</w:t>
      </w:r>
      <w:r w:rsidRPr="000A4838">
        <w:rPr>
          <w:rFonts w:ascii="Arial" w:hAnsi="Arial" w:cs="Arial"/>
          <w:b/>
          <w:i w:val="0"/>
          <w:color w:val="auto"/>
          <w:sz w:val="20"/>
          <w:szCs w:val="20"/>
          <w:lang w:val="en-US"/>
        </w:rPr>
        <w:fldChar w:fldCharType="end"/>
      </w:r>
      <w:bookmarkEnd w:id="67"/>
      <w:r w:rsidRPr="000A4838">
        <w:rPr>
          <w:rFonts w:ascii="Arial" w:hAnsi="Arial" w:cs="Arial"/>
          <w:b/>
          <w:i w:val="0"/>
          <w:color w:val="auto"/>
          <w:sz w:val="20"/>
          <w:szCs w:val="20"/>
          <w:lang w:val="en-US"/>
        </w:rPr>
        <w:t>: Predicted Values for the High-Temperature Oxidation (</w:t>
      </w:r>
      <m:oMath>
        <m:func>
          <m:funcPr>
            <m:ctrlPr>
              <w:rPr>
                <w:rFonts w:ascii="Cambria Math" w:eastAsia="Cambria Math" w:hAnsi="Cambria Math"/>
                <w:b/>
                <w:color w:val="auto"/>
                <w:sz w:val="20"/>
                <w:szCs w:val="20"/>
                <w:lang w:val="en-US"/>
              </w:rPr>
            </m:ctrlPr>
          </m:funcPr>
          <m:fName>
            <m:sSub>
              <m:sSubPr>
                <m:ctrlPr>
                  <w:rPr>
                    <w:rFonts w:ascii="Cambria Math" w:eastAsia="Cambria Math" w:hAnsi="Cambria Math"/>
                    <w:b/>
                    <w:color w:val="auto"/>
                    <w:sz w:val="20"/>
                    <w:szCs w:val="20"/>
                    <w:lang w:val="en-US"/>
                  </w:rPr>
                </m:ctrlPr>
              </m:sSubPr>
              <m:e>
                <m:r>
                  <m:rPr>
                    <m:sty m:val="bi"/>
                  </m:rPr>
                  <w:rPr>
                    <w:rFonts w:ascii="Cambria Math" w:hAnsi="Cambria Math" w:cs="Arial"/>
                    <w:color w:val="auto"/>
                    <w:sz w:val="20"/>
                    <w:szCs w:val="20"/>
                    <w:lang w:val="en-US"/>
                  </w:rPr>
                  <m:t>log</m:t>
                </m:r>
              </m:e>
              <m:sub>
                <m:r>
                  <m:rPr>
                    <m:sty m:val="bi"/>
                  </m:rPr>
                  <w:rPr>
                    <w:rFonts w:ascii="Cambria Math" w:hAnsi="Cambria Math" w:cs="Arial"/>
                    <w:color w:val="auto"/>
                    <w:sz w:val="20"/>
                    <w:szCs w:val="20"/>
                    <w:lang w:val="en-US"/>
                  </w:rPr>
                  <m:t>10</m:t>
                </m:r>
              </m:sub>
            </m:sSub>
          </m:fName>
          <m:e>
            <m:sSub>
              <m:sSubPr>
                <m:ctrlPr>
                  <w:rPr>
                    <w:rFonts w:ascii="Cambria Math" w:eastAsia="Cambria Math" w:hAnsi="Cambria Math"/>
                    <w:b/>
                    <w:color w:val="auto"/>
                    <w:sz w:val="20"/>
                    <w:szCs w:val="20"/>
                    <w:lang w:val="en-US"/>
                  </w:rPr>
                </m:ctrlPr>
              </m:sSubPr>
              <m:e>
                <m:r>
                  <m:rPr>
                    <m:sty m:val="bi"/>
                  </m:rPr>
                  <w:rPr>
                    <w:rFonts w:ascii="Cambria Math" w:hAnsi="Cambria Math" w:cs="Arial"/>
                    <w:color w:val="auto"/>
                    <w:sz w:val="20"/>
                    <w:szCs w:val="20"/>
                    <w:lang w:val="en-US"/>
                  </w:rPr>
                  <m:t>K</m:t>
                </m:r>
              </m:e>
              <m:sub>
                <m:r>
                  <m:rPr>
                    <m:sty m:val="bi"/>
                  </m:rPr>
                  <w:rPr>
                    <w:rFonts w:ascii="Cambria Math" w:hAnsi="Cambria Math" w:cs="Arial"/>
                    <w:color w:val="auto"/>
                    <w:sz w:val="20"/>
                    <w:szCs w:val="20"/>
                    <w:lang w:val="en-US"/>
                  </w:rPr>
                  <m:t>A</m:t>
                </m:r>
              </m:sub>
            </m:sSub>
          </m:e>
        </m:func>
      </m:oMath>
      <w:r w:rsidRPr="000A4838">
        <w:rPr>
          <w:rFonts w:ascii="Arial" w:hAnsi="Arial" w:cs="Arial"/>
          <w:b/>
          <w:i w:val="0"/>
          <w:color w:val="auto"/>
          <w:sz w:val="20"/>
          <w:szCs w:val="20"/>
          <w:lang w:val="en-US"/>
        </w:rPr>
        <w:t>) versus Real Values.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test base, this training reached almost </w:t>
      </w:r>
      <m:oMath>
        <m:r>
          <w:rPr>
            <w:rFonts w:ascii="Cambria Math" w:hAnsi="Cambria Math" w:cs="Arial"/>
            <w:sz w:val="20"/>
            <w:szCs w:val="20"/>
            <w:lang w:val="en-US"/>
          </w:rPr>
          <m:t>R²=0.80</m:t>
        </m:r>
      </m:oMath>
      <w:r w:rsidRPr="000A4838">
        <w:rPr>
          <w:rFonts w:ascii="Arial" w:hAnsi="Arial" w:cs="Arial"/>
          <w:sz w:val="20"/>
          <w:szCs w:val="20"/>
          <w:lang w:val="en-US"/>
        </w:rPr>
        <w:t xml:space="preserve">, a decent score. </w:t>
      </w:r>
      <w:r w:rsidRPr="00590C35">
        <w:rPr>
          <w:rFonts w:ascii="Arial" w:hAnsi="Arial" w:cs="Arial"/>
          <w:sz w:val="20"/>
          <w:szCs w:val="20"/>
          <w:lang w:val="en-US"/>
        </w:rPr>
        <w:t>A higher accuracy was not reachable given the intrinsic limitations of the dataset. High-temperature oxidation measurements are difficult to reproduce, strongly process-dependent, and often reported using heterogeneous protocols. Moreover, many experimental entries originate from older studies, which introduces additional variability</w:t>
      </w:r>
      <w:r w:rsidRPr="000A4838">
        <w:rPr>
          <w:rFonts w:ascii="Arial" w:hAnsi="Arial" w:cs="Arial"/>
          <w:sz w:val="20"/>
          <w:szCs w:val="20"/>
          <w:lang w:val="en-US"/>
        </w:rPr>
        <w:t>.</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68" w:name="_Ref205243748"/>
      <w:bookmarkStart w:id="69" w:name="_Toc214314341"/>
      <w:bookmarkStart w:id="70" w:name="_Toc216021102"/>
      <w:r w:rsidRPr="000A4838">
        <w:rPr>
          <w:rFonts w:ascii="Times New Roman" w:hAnsi="Times New Roman" w:cs="Times New Roman"/>
          <w:color w:val="auto"/>
          <w:sz w:val="24"/>
          <w:szCs w:val="24"/>
          <w:lang w:val="en-US"/>
        </w:rPr>
        <w:lastRenderedPageBreak/>
        <w:t>Formation Enthalpy</w:t>
      </w:r>
      <w:bookmarkEnd w:id="68"/>
      <w:bookmarkEnd w:id="69"/>
      <w:bookmarkEnd w:id="70"/>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152FCAC8" wp14:editId="658305D0">
            <wp:extent cx="5760720" cy="2880360"/>
            <wp:effectExtent l="0" t="0" r="0" b="0"/>
            <wp:docPr id="1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pic:cNvPicPr>
                  </pic:nvPicPr>
                  <pic:blipFill>
                    <a:blip r:embed="rId18"/>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71" w:name="_Ref214210577"/>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11</w:t>
      </w:r>
      <w:r w:rsidRPr="000A4838">
        <w:rPr>
          <w:rFonts w:ascii="Arial" w:hAnsi="Arial" w:cs="Arial"/>
          <w:b/>
          <w:i w:val="0"/>
          <w:color w:val="auto"/>
          <w:sz w:val="20"/>
          <w:szCs w:val="20"/>
          <w:lang w:val="en-US"/>
        </w:rPr>
        <w:fldChar w:fldCharType="end"/>
      </w:r>
      <w:bookmarkEnd w:id="71"/>
      <w:r w:rsidRPr="000A4838">
        <w:rPr>
          <w:rFonts w:ascii="Arial" w:hAnsi="Arial" w:cs="Arial"/>
          <w:b/>
          <w:i w:val="0"/>
          <w:color w:val="auto"/>
          <w:sz w:val="20"/>
          <w:szCs w:val="20"/>
          <w:lang w:val="en-US"/>
        </w:rPr>
        <w:t>: Features (or Descriptors) Selection for Formation Enthalpy (eV / at.) as a target.</w:t>
      </w:r>
    </w:p>
    <w:p w:rsidR="007419CB" w:rsidRPr="0006330A" w:rsidRDefault="007419CB" w:rsidP="0021751D">
      <w:pPr>
        <w:spacing w:after="160" w:line="480" w:lineRule="auto"/>
        <w:rPr>
          <w:rFonts w:ascii="Arial" w:hAnsi="Arial" w:cs="Arial"/>
          <w:sz w:val="20"/>
          <w:szCs w:val="20"/>
          <w:lang w:val="en-US"/>
        </w:rPr>
      </w:pPr>
      <w:r w:rsidRPr="005E02D4">
        <w:rPr>
          <w:rFonts w:ascii="Arial" w:hAnsi="Arial" w:cs="Arial"/>
          <w:sz w:val="20"/>
          <w:szCs w:val="20"/>
          <w:lang w:val="en-US"/>
        </w:rPr>
        <w:t xml:space="preserve">Red bars indicate features selected by the pipeline. The </w:t>
      </w:r>
      <w:proofErr w:type="spellStart"/>
      <w:r w:rsidRPr="005E02D4">
        <w:rPr>
          <w:rFonts w:ascii="Arial" w:hAnsi="Arial" w:cs="Arial"/>
          <w:sz w:val="20"/>
          <w:szCs w:val="20"/>
          <w:lang w:val="en-US"/>
        </w:rPr>
        <w:t>XGBoost</w:t>
      </w:r>
      <w:proofErr w:type="spellEnd"/>
      <w:r w:rsidRPr="005E02D4">
        <w:rPr>
          <w:rFonts w:ascii="Arial" w:hAnsi="Arial" w:cs="Arial"/>
          <w:sz w:val="20"/>
          <w:szCs w:val="20"/>
          <w:lang w:val="en-US"/>
        </w:rPr>
        <w:t xml:space="preserve"> procedure is parametrized so that features located before the elbow of the curve (to the left of the dashed line) are systematically included.</w:t>
      </w: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6E82EE60" wp14:editId="2FFFD5B5">
            <wp:extent cx="5760720" cy="5760720"/>
            <wp:effectExtent l="0" t="0" r="0" b="0"/>
            <wp:docPr id="1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19"/>
                    <a:stretch/>
                  </pic:blipFill>
                  <pic:spPr bwMode="auto">
                    <a:xfrm>
                      <a:off x="0" y="0"/>
                      <a:ext cx="5760720" cy="576072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72" w:name="_Ref214210583"/>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12</w:t>
      </w:r>
      <w:r w:rsidRPr="000A4838">
        <w:rPr>
          <w:rFonts w:ascii="Arial" w:hAnsi="Arial" w:cs="Arial"/>
          <w:b/>
          <w:i w:val="0"/>
          <w:color w:val="auto"/>
          <w:sz w:val="20"/>
          <w:szCs w:val="20"/>
          <w:lang w:val="en-US"/>
        </w:rPr>
        <w:fldChar w:fldCharType="end"/>
      </w:r>
      <w:bookmarkEnd w:id="72"/>
      <w:r w:rsidRPr="000A4838">
        <w:rPr>
          <w:rFonts w:ascii="Arial" w:hAnsi="Arial" w:cs="Arial"/>
          <w:b/>
          <w:i w:val="0"/>
          <w:color w:val="auto"/>
          <w:sz w:val="20"/>
          <w:szCs w:val="20"/>
          <w:lang w:val="en-US"/>
        </w:rPr>
        <w:t>: Predicted Values for the Formation Enthalpy (eV / at.) versus Real Values.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test base, this training reached almost </w:t>
      </w:r>
      <m:oMath>
        <m:r>
          <w:rPr>
            <w:rFonts w:ascii="Cambria Math" w:hAnsi="Cambria Math" w:cs="Arial"/>
            <w:sz w:val="20"/>
            <w:szCs w:val="20"/>
            <w:lang w:val="en-US"/>
          </w:rPr>
          <m:t>R²=0.94</m:t>
        </m:r>
      </m:oMath>
      <w:r w:rsidRPr="000A4838">
        <w:rPr>
          <w:rFonts w:ascii="Arial" w:hAnsi="Arial" w:cs="Arial"/>
          <w:sz w:val="20"/>
          <w:szCs w:val="20"/>
          <w:lang w:val="en-US"/>
        </w:rPr>
        <w:t>.</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0A4838">
        <w:rPr>
          <w:b/>
          <w:bCs/>
          <w:lang w:val="en-US"/>
        </w:rPr>
        <w:br w:type="page" w:clear="all"/>
      </w: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73" w:name="_Ref205243751"/>
      <w:bookmarkStart w:id="74" w:name="_Toc214314342"/>
      <w:bookmarkStart w:id="75" w:name="_Toc216021103"/>
      <w:r w:rsidRPr="000A4838">
        <w:rPr>
          <w:rFonts w:ascii="Times New Roman" w:hAnsi="Times New Roman" w:cs="Times New Roman"/>
          <w:color w:val="auto"/>
          <w:sz w:val="24"/>
          <w:szCs w:val="24"/>
          <w:lang w:val="en-US"/>
        </w:rPr>
        <w:lastRenderedPageBreak/>
        <w:t>Bulk Modulus</w:t>
      </w:r>
      <w:bookmarkEnd w:id="73"/>
      <w:bookmarkEnd w:id="74"/>
      <w:bookmarkEnd w:id="75"/>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04B64BE9" wp14:editId="608AE43D">
            <wp:extent cx="5760720" cy="2880360"/>
            <wp:effectExtent l="0" t="0" r="0" b="0"/>
            <wp:docPr id="1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pic:cNvPicPr>
                  </pic:nvPicPr>
                  <pic:blipFill>
                    <a:blip r:embed="rId20"/>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76" w:name="_Ref214210589"/>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13</w:t>
      </w:r>
      <w:r w:rsidRPr="000A4838">
        <w:rPr>
          <w:rFonts w:ascii="Arial" w:hAnsi="Arial" w:cs="Arial"/>
          <w:b/>
          <w:i w:val="0"/>
          <w:color w:val="auto"/>
          <w:sz w:val="20"/>
          <w:szCs w:val="20"/>
          <w:lang w:val="en-US"/>
        </w:rPr>
        <w:fldChar w:fldCharType="end"/>
      </w:r>
      <w:bookmarkEnd w:id="76"/>
      <w:r w:rsidRPr="000A4838">
        <w:rPr>
          <w:rFonts w:ascii="Arial" w:hAnsi="Arial" w:cs="Arial"/>
          <w:b/>
          <w:i w:val="0"/>
          <w:color w:val="auto"/>
          <w:sz w:val="20"/>
          <w:szCs w:val="20"/>
          <w:lang w:val="en-US"/>
        </w:rPr>
        <w:t>: Features (or Descriptors) Selection for Bulk Modulus (</w:t>
      </w:r>
      <w:proofErr w:type="spellStart"/>
      <w:r w:rsidRPr="000A4838">
        <w:rPr>
          <w:rFonts w:ascii="Arial" w:hAnsi="Arial" w:cs="Arial"/>
          <w:b/>
          <w:i w:val="0"/>
          <w:color w:val="auto"/>
          <w:sz w:val="20"/>
          <w:szCs w:val="20"/>
          <w:lang w:val="en-US"/>
        </w:rPr>
        <w:t>GPa</w:t>
      </w:r>
      <w:proofErr w:type="spellEnd"/>
      <w:r w:rsidRPr="000A4838">
        <w:rPr>
          <w:rFonts w:ascii="Arial" w:hAnsi="Arial" w:cs="Arial"/>
          <w:b/>
          <w:i w:val="0"/>
          <w:color w:val="auto"/>
          <w:sz w:val="20"/>
          <w:szCs w:val="20"/>
          <w:lang w:val="en-US"/>
        </w:rPr>
        <w:t>) as a target.</w:t>
      </w:r>
    </w:p>
    <w:p w:rsidR="007419CB" w:rsidRPr="000A4838" w:rsidRDefault="007419CB" w:rsidP="0021751D">
      <w:pPr>
        <w:spacing w:after="160" w:line="480" w:lineRule="auto"/>
        <w:rPr>
          <w:lang w:val="en-US"/>
        </w:rPr>
      </w:pPr>
      <w:r w:rsidRPr="0006330A">
        <w:rPr>
          <w:rFonts w:ascii="Arial" w:hAnsi="Arial" w:cs="Arial"/>
          <w:sz w:val="20"/>
          <w:szCs w:val="20"/>
          <w:lang w:val="en-US"/>
        </w:rPr>
        <w:t xml:space="preserve">Red bars indicate features selected by the pipeline. The </w:t>
      </w:r>
      <w:proofErr w:type="spellStart"/>
      <w:r w:rsidRPr="0006330A">
        <w:rPr>
          <w:rFonts w:ascii="Arial" w:hAnsi="Arial" w:cs="Arial"/>
          <w:sz w:val="20"/>
          <w:szCs w:val="20"/>
          <w:lang w:val="en-US"/>
        </w:rPr>
        <w:t>XGBoost</w:t>
      </w:r>
      <w:proofErr w:type="spellEnd"/>
      <w:r w:rsidRPr="0006330A">
        <w:rPr>
          <w:rFonts w:ascii="Arial" w:hAnsi="Arial" w:cs="Arial"/>
          <w:sz w:val="20"/>
          <w:szCs w:val="20"/>
          <w:lang w:val="en-US"/>
        </w:rPr>
        <w:t xml:space="preserve"> procedure is parametrized so that features located before the elbow of the curve (to the left of the dashed line) are systematically included.</w:t>
      </w: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4B62D3A6" wp14:editId="295E58D4">
            <wp:extent cx="5760720" cy="5760720"/>
            <wp:effectExtent l="0" t="0" r="0" b="0"/>
            <wp:docPr id="1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icPr>
                  <pic:blipFill>
                    <a:blip r:embed="rId21"/>
                    <a:stretch/>
                  </pic:blipFill>
                  <pic:spPr bwMode="auto">
                    <a:xfrm>
                      <a:off x="0" y="0"/>
                      <a:ext cx="5760720" cy="576072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77" w:name="_Ref214210596"/>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14</w:t>
      </w:r>
      <w:r w:rsidRPr="000A4838">
        <w:rPr>
          <w:rFonts w:ascii="Arial" w:hAnsi="Arial" w:cs="Arial"/>
          <w:b/>
          <w:i w:val="0"/>
          <w:color w:val="auto"/>
          <w:sz w:val="20"/>
          <w:szCs w:val="20"/>
          <w:lang w:val="en-US"/>
        </w:rPr>
        <w:fldChar w:fldCharType="end"/>
      </w:r>
      <w:bookmarkEnd w:id="77"/>
      <w:r w:rsidRPr="000A4838">
        <w:rPr>
          <w:rFonts w:ascii="Arial" w:hAnsi="Arial" w:cs="Arial"/>
          <w:b/>
          <w:i w:val="0"/>
          <w:color w:val="auto"/>
          <w:sz w:val="20"/>
          <w:szCs w:val="20"/>
          <w:lang w:val="en-US"/>
        </w:rPr>
        <w:t>: Predicted Values for the Bulk Modulus (</w:t>
      </w:r>
      <w:proofErr w:type="spellStart"/>
      <w:r w:rsidRPr="000A4838">
        <w:rPr>
          <w:rFonts w:ascii="Arial" w:hAnsi="Arial" w:cs="Arial"/>
          <w:b/>
          <w:i w:val="0"/>
          <w:color w:val="auto"/>
          <w:sz w:val="20"/>
          <w:szCs w:val="20"/>
          <w:lang w:val="en-US"/>
        </w:rPr>
        <w:t>GPa</w:t>
      </w:r>
      <w:proofErr w:type="spellEnd"/>
      <w:r w:rsidRPr="000A4838">
        <w:rPr>
          <w:rFonts w:ascii="Arial" w:hAnsi="Arial" w:cs="Arial"/>
          <w:b/>
          <w:i w:val="0"/>
          <w:color w:val="auto"/>
          <w:sz w:val="20"/>
          <w:szCs w:val="20"/>
          <w:lang w:val="en-US"/>
        </w:rPr>
        <w:t>) versus Real Values.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test base, this training reached almost </w:t>
      </w:r>
      <m:oMath>
        <m:r>
          <w:rPr>
            <w:rFonts w:ascii="Cambria Math" w:hAnsi="Cambria Math" w:cs="Arial"/>
            <w:sz w:val="20"/>
            <w:szCs w:val="20"/>
            <w:lang w:val="en-US"/>
          </w:rPr>
          <m:t>R²=0.98</m:t>
        </m:r>
      </m:oMath>
      <w:r w:rsidRPr="000A4838">
        <w:rPr>
          <w:rFonts w:ascii="Arial" w:hAnsi="Arial" w:cs="Arial"/>
          <w:sz w:val="20"/>
          <w:szCs w:val="20"/>
          <w:lang w:val="en-US"/>
        </w:rPr>
        <w:t>, an excellent score.</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0A4838">
        <w:rPr>
          <w:b/>
          <w:bCs/>
          <w:lang w:val="en-US"/>
        </w:rPr>
        <w:br w:type="page" w:clear="all"/>
      </w: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78" w:name="_Ref205243753"/>
      <w:bookmarkStart w:id="79" w:name="_Toc214314343"/>
      <w:bookmarkStart w:id="80" w:name="_Toc216021104"/>
      <w:r w:rsidRPr="000A4838">
        <w:rPr>
          <w:rFonts w:ascii="Times New Roman" w:hAnsi="Times New Roman" w:cs="Times New Roman"/>
          <w:color w:val="auto"/>
          <w:sz w:val="24"/>
          <w:szCs w:val="24"/>
          <w:lang w:val="en-US"/>
        </w:rPr>
        <w:lastRenderedPageBreak/>
        <w:t>Shear Modulus</w:t>
      </w:r>
      <w:bookmarkEnd w:id="78"/>
      <w:bookmarkEnd w:id="79"/>
      <w:bookmarkEnd w:id="80"/>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23828878" wp14:editId="61BA3A0F">
            <wp:extent cx="5760720" cy="2880360"/>
            <wp:effectExtent l="0" t="0" r="0" b="0"/>
            <wp:docPr id="1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12"/>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81" w:name="_Ref214210604"/>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15</w:t>
      </w:r>
      <w:r w:rsidRPr="000A4838">
        <w:rPr>
          <w:rFonts w:ascii="Arial" w:hAnsi="Arial" w:cs="Arial"/>
          <w:b/>
          <w:i w:val="0"/>
          <w:color w:val="auto"/>
          <w:sz w:val="20"/>
          <w:szCs w:val="20"/>
          <w:lang w:val="en-US"/>
        </w:rPr>
        <w:fldChar w:fldCharType="end"/>
      </w:r>
      <w:bookmarkEnd w:id="81"/>
      <w:r w:rsidRPr="000A4838">
        <w:rPr>
          <w:rFonts w:ascii="Arial" w:hAnsi="Arial" w:cs="Arial"/>
          <w:b/>
          <w:i w:val="0"/>
          <w:color w:val="auto"/>
          <w:sz w:val="20"/>
          <w:szCs w:val="20"/>
          <w:lang w:val="en-US"/>
        </w:rPr>
        <w:t>: Features (or Descriptors) Selection for Shear Modulus (</w:t>
      </w:r>
      <w:proofErr w:type="spellStart"/>
      <w:r w:rsidRPr="000A4838">
        <w:rPr>
          <w:rFonts w:ascii="Arial" w:hAnsi="Arial" w:cs="Arial"/>
          <w:b/>
          <w:i w:val="0"/>
          <w:color w:val="auto"/>
          <w:sz w:val="20"/>
          <w:szCs w:val="20"/>
          <w:lang w:val="en-US"/>
        </w:rPr>
        <w:t>GPa</w:t>
      </w:r>
      <w:proofErr w:type="spellEnd"/>
      <w:r w:rsidRPr="000A4838">
        <w:rPr>
          <w:rFonts w:ascii="Arial" w:hAnsi="Arial" w:cs="Arial"/>
          <w:b/>
          <w:i w:val="0"/>
          <w:color w:val="auto"/>
          <w:sz w:val="20"/>
          <w:szCs w:val="20"/>
          <w:lang w:val="en-US"/>
        </w:rPr>
        <w:t>) as a target.</w:t>
      </w:r>
    </w:p>
    <w:p w:rsidR="007419CB" w:rsidRPr="000A4838" w:rsidRDefault="007419CB" w:rsidP="0021751D">
      <w:pPr>
        <w:spacing w:after="160" w:line="480" w:lineRule="auto"/>
        <w:rPr>
          <w:rFonts w:ascii="Arial" w:hAnsi="Arial" w:cs="Arial"/>
          <w:sz w:val="20"/>
          <w:szCs w:val="20"/>
          <w:lang w:val="en-US"/>
        </w:rPr>
      </w:pPr>
      <w:r w:rsidRPr="0006330A">
        <w:rPr>
          <w:rFonts w:ascii="Arial" w:hAnsi="Arial" w:cs="Arial"/>
          <w:sz w:val="20"/>
          <w:szCs w:val="20"/>
          <w:lang w:val="en-US"/>
        </w:rPr>
        <w:t xml:space="preserve">Red bars indicate features selected by the pipeline. The </w:t>
      </w:r>
      <w:proofErr w:type="spellStart"/>
      <w:r w:rsidRPr="0006330A">
        <w:rPr>
          <w:rFonts w:ascii="Arial" w:hAnsi="Arial" w:cs="Arial"/>
          <w:sz w:val="20"/>
          <w:szCs w:val="20"/>
          <w:lang w:val="en-US"/>
        </w:rPr>
        <w:t>XGBoost</w:t>
      </w:r>
      <w:proofErr w:type="spellEnd"/>
      <w:r w:rsidRPr="0006330A">
        <w:rPr>
          <w:rFonts w:ascii="Arial" w:hAnsi="Arial" w:cs="Arial"/>
          <w:sz w:val="20"/>
          <w:szCs w:val="20"/>
          <w:lang w:val="en-US"/>
        </w:rPr>
        <w:t xml:space="preserve"> procedure is parametrized so that features located before the elbow of the curve (to the left of the dashed line) are systematically included.</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405242D1" wp14:editId="2EDA1EF3">
            <wp:extent cx="5760720" cy="5760720"/>
            <wp:effectExtent l="0" t="0" r="0" b="0"/>
            <wp:docPr id="1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icPr>
                  <pic:blipFill>
                    <a:blip r:embed="rId22"/>
                    <a:stretch/>
                  </pic:blipFill>
                  <pic:spPr bwMode="auto">
                    <a:xfrm>
                      <a:off x="0" y="0"/>
                      <a:ext cx="5760720" cy="576072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82" w:name="_Ref214210610"/>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16</w:t>
      </w:r>
      <w:r w:rsidRPr="000A4838">
        <w:rPr>
          <w:rFonts w:ascii="Arial" w:hAnsi="Arial" w:cs="Arial"/>
          <w:b/>
          <w:i w:val="0"/>
          <w:color w:val="auto"/>
          <w:sz w:val="20"/>
          <w:szCs w:val="20"/>
          <w:lang w:val="en-US"/>
        </w:rPr>
        <w:fldChar w:fldCharType="end"/>
      </w:r>
      <w:bookmarkEnd w:id="82"/>
      <w:r w:rsidRPr="000A4838">
        <w:rPr>
          <w:rFonts w:ascii="Arial" w:hAnsi="Arial" w:cs="Arial"/>
          <w:b/>
          <w:i w:val="0"/>
          <w:color w:val="auto"/>
          <w:sz w:val="20"/>
          <w:szCs w:val="20"/>
          <w:lang w:val="en-US"/>
        </w:rPr>
        <w:t>: Predicted Values for the Shear Modulus (</w:t>
      </w:r>
      <w:proofErr w:type="spellStart"/>
      <w:r w:rsidRPr="000A4838">
        <w:rPr>
          <w:rFonts w:ascii="Arial" w:hAnsi="Arial" w:cs="Arial"/>
          <w:b/>
          <w:i w:val="0"/>
          <w:color w:val="auto"/>
          <w:sz w:val="20"/>
          <w:szCs w:val="20"/>
          <w:lang w:val="en-US"/>
        </w:rPr>
        <w:t>GPa</w:t>
      </w:r>
      <w:proofErr w:type="spellEnd"/>
      <w:r w:rsidRPr="000A4838">
        <w:rPr>
          <w:rFonts w:ascii="Arial" w:hAnsi="Arial" w:cs="Arial"/>
          <w:b/>
          <w:i w:val="0"/>
          <w:color w:val="auto"/>
          <w:sz w:val="20"/>
          <w:szCs w:val="20"/>
          <w:lang w:val="en-US"/>
        </w:rPr>
        <w:t>) versus Real Values.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test base, this training reached almost </w:t>
      </w:r>
      <m:oMath>
        <m:r>
          <w:rPr>
            <w:rFonts w:ascii="Cambria Math" w:hAnsi="Cambria Math" w:cs="Arial"/>
            <w:sz w:val="20"/>
            <w:szCs w:val="20"/>
            <w:lang w:val="en-US"/>
          </w:rPr>
          <m:t>R²=0.80</m:t>
        </m:r>
      </m:oMath>
      <w:r w:rsidRPr="000A4838">
        <w:rPr>
          <w:rFonts w:ascii="Arial" w:hAnsi="Arial" w:cs="Arial"/>
          <w:sz w:val="20"/>
          <w:szCs w:val="20"/>
          <w:lang w:val="en-US"/>
        </w:rPr>
        <w:t>, a good score.</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0A4838">
        <w:rPr>
          <w:b/>
          <w:bCs/>
          <w:lang w:val="en-US"/>
        </w:rPr>
        <w:br w:type="page" w:clear="all"/>
      </w: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83" w:name="_Ref205243755"/>
      <w:bookmarkStart w:id="84" w:name="_Toc214314344"/>
      <w:bookmarkStart w:id="85" w:name="_Toc216021105"/>
      <w:r w:rsidRPr="000A4838">
        <w:rPr>
          <w:rFonts w:ascii="Times New Roman" w:hAnsi="Times New Roman" w:cs="Times New Roman"/>
          <w:color w:val="auto"/>
          <w:sz w:val="24"/>
          <w:szCs w:val="24"/>
          <w:lang w:val="en-US"/>
        </w:rPr>
        <w:lastRenderedPageBreak/>
        <w:t>Melting Point</w:t>
      </w:r>
      <w:bookmarkEnd w:id="83"/>
      <w:bookmarkEnd w:id="84"/>
      <w:bookmarkEnd w:id="85"/>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00E20DA6" wp14:editId="7B3243B6">
            <wp:extent cx="5760720" cy="2880360"/>
            <wp:effectExtent l="0" t="0" r="0" b="0"/>
            <wp:docPr id="1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pic:cNvPicPr>
                  </pic:nvPicPr>
                  <pic:blipFill>
                    <a:blip r:embed="rId23"/>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86" w:name="_Ref214210618"/>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17</w:t>
      </w:r>
      <w:r w:rsidRPr="000A4838">
        <w:rPr>
          <w:rFonts w:ascii="Arial" w:hAnsi="Arial" w:cs="Arial"/>
          <w:b/>
          <w:i w:val="0"/>
          <w:color w:val="auto"/>
          <w:sz w:val="20"/>
          <w:szCs w:val="20"/>
          <w:lang w:val="en-US"/>
        </w:rPr>
        <w:fldChar w:fldCharType="end"/>
      </w:r>
      <w:bookmarkEnd w:id="86"/>
      <w:r w:rsidRPr="000A4838">
        <w:rPr>
          <w:rFonts w:ascii="Arial" w:hAnsi="Arial" w:cs="Arial"/>
          <w:b/>
          <w:i w:val="0"/>
          <w:color w:val="auto"/>
          <w:sz w:val="20"/>
          <w:szCs w:val="20"/>
          <w:lang w:val="en-US"/>
        </w:rPr>
        <w:t>: Features (or Descriptors) Selection for Melting Point (K) as a target.</w:t>
      </w:r>
    </w:p>
    <w:p w:rsidR="007419CB" w:rsidRPr="000A4838" w:rsidRDefault="007419CB" w:rsidP="0021751D">
      <w:pPr>
        <w:spacing w:after="160" w:line="480" w:lineRule="auto"/>
        <w:rPr>
          <w:rFonts w:ascii="Arial" w:hAnsi="Arial" w:cs="Arial"/>
          <w:sz w:val="20"/>
          <w:szCs w:val="20"/>
          <w:lang w:val="en-US"/>
        </w:rPr>
      </w:pPr>
      <w:r w:rsidRPr="0006330A">
        <w:rPr>
          <w:rFonts w:ascii="Arial" w:hAnsi="Arial" w:cs="Arial"/>
          <w:sz w:val="20"/>
          <w:szCs w:val="20"/>
          <w:lang w:val="en-US"/>
        </w:rPr>
        <w:t xml:space="preserve">Red bars indicate features selected by the pipeline. The </w:t>
      </w:r>
      <w:proofErr w:type="spellStart"/>
      <w:r w:rsidRPr="0006330A">
        <w:rPr>
          <w:rFonts w:ascii="Arial" w:hAnsi="Arial" w:cs="Arial"/>
          <w:sz w:val="20"/>
          <w:szCs w:val="20"/>
          <w:lang w:val="en-US"/>
        </w:rPr>
        <w:t>XGBoost</w:t>
      </w:r>
      <w:proofErr w:type="spellEnd"/>
      <w:r w:rsidRPr="0006330A">
        <w:rPr>
          <w:rFonts w:ascii="Arial" w:hAnsi="Arial" w:cs="Arial"/>
          <w:sz w:val="20"/>
          <w:szCs w:val="20"/>
          <w:lang w:val="en-US"/>
        </w:rPr>
        <w:t xml:space="preserve"> procedure is parametrized so that features located before the elbow of the curve (to the left of the dashed line) are systematically included.</w:t>
      </w:r>
      <w:r w:rsidRPr="000A4838">
        <w:rPr>
          <w:rFonts w:ascii="Arial" w:hAnsi="Arial" w:cs="Arial"/>
          <w:sz w:val="20"/>
          <w:szCs w:val="20"/>
          <w:lang w:val="en-US"/>
        </w:rPr>
        <w:t xml:space="preserve"> Logically, the average melting point is the most relevant descriptor for this feature.</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525C95FA" wp14:editId="44F27CC0">
            <wp:extent cx="5760720" cy="5760720"/>
            <wp:effectExtent l="0" t="0" r="0" b="0"/>
            <wp:docPr id="1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icPr>
                  <pic:blipFill>
                    <a:blip r:embed="rId24"/>
                    <a:stretch/>
                  </pic:blipFill>
                  <pic:spPr bwMode="auto">
                    <a:xfrm>
                      <a:off x="0" y="0"/>
                      <a:ext cx="5760720" cy="576072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87" w:name="_Ref214210622"/>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18</w:t>
      </w:r>
      <w:r w:rsidRPr="000A4838">
        <w:rPr>
          <w:rFonts w:ascii="Arial" w:hAnsi="Arial" w:cs="Arial"/>
          <w:b/>
          <w:i w:val="0"/>
          <w:color w:val="auto"/>
          <w:sz w:val="20"/>
          <w:szCs w:val="20"/>
          <w:lang w:val="en-US"/>
        </w:rPr>
        <w:fldChar w:fldCharType="end"/>
      </w:r>
      <w:bookmarkEnd w:id="87"/>
      <w:r w:rsidRPr="000A4838">
        <w:rPr>
          <w:rFonts w:ascii="Arial" w:hAnsi="Arial" w:cs="Arial"/>
          <w:b/>
          <w:i w:val="0"/>
          <w:color w:val="auto"/>
          <w:sz w:val="20"/>
          <w:szCs w:val="20"/>
          <w:lang w:val="en-US"/>
        </w:rPr>
        <w:t>: Predicted Values for the Melting Point (K) versus Real Values.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test base, this training reached almost </w:t>
      </w:r>
      <m:oMath>
        <m:r>
          <w:rPr>
            <w:rFonts w:ascii="Cambria Math" w:hAnsi="Cambria Math" w:cs="Arial"/>
            <w:sz w:val="20"/>
            <w:szCs w:val="20"/>
            <w:lang w:val="en-US"/>
          </w:rPr>
          <m:t>R²=0.90</m:t>
        </m:r>
      </m:oMath>
      <w:r w:rsidRPr="000A4838">
        <w:rPr>
          <w:rFonts w:ascii="Arial" w:hAnsi="Arial" w:cs="Arial"/>
          <w:sz w:val="20"/>
          <w:szCs w:val="20"/>
          <w:lang w:val="en-US"/>
        </w:rPr>
        <w:t xml:space="preserve">, a good score. </w:t>
      </w:r>
    </w:p>
    <w:p w:rsidR="007419CB" w:rsidRPr="000A4838" w:rsidRDefault="007419CB" w:rsidP="0021751D">
      <w:pPr>
        <w:spacing w:after="160" w:line="480" w:lineRule="auto"/>
        <w:rPr>
          <w:rFonts w:ascii="Arial" w:hAnsi="Arial" w:cs="Arial"/>
          <w:sz w:val="20"/>
          <w:szCs w:val="20"/>
          <w:lang w:val="en-US"/>
        </w:rPr>
      </w:pP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br w:type="page" w:clear="all"/>
      </w: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88" w:name="_Ref205243757"/>
      <w:bookmarkStart w:id="89" w:name="_Toc214314345"/>
      <w:bookmarkStart w:id="90" w:name="_Toc216021106"/>
      <w:r w:rsidRPr="000A4838">
        <w:rPr>
          <w:rFonts w:ascii="Times New Roman" w:hAnsi="Times New Roman" w:cs="Times New Roman"/>
          <w:color w:val="auto"/>
          <w:sz w:val="24"/>
          <w:szCs w:val="24"/>
          <w:lang w:val="en-US"/>
        </w:rPr>
        <w:lastRenderedPageBreak/>
        <w:t>Density</w:t>
      </w:r>
      <w:bookmarkEnd w:id="88"/>
      <w:bookmarkEnd w:id="89"/>
      <w:bookmarkEnd w:id="90"/>
    </w:p>
    <w:p w:rsidR="007419CB" w:rsidRPr="000A4838" w:rsidRDefault="007419CB" w:rsidP="0021751D">
      <w:pPr>
        <w:keepNext/>
        <w:spacing w:after="160" w:line="480" w:lineRule="auto"/>
        <w:rPr>
          <w:lang w:val="en-US"/>
        </w:rPr>
      </w:pPr>
      <w:r w:rsidRPr="000A4838">
        <w:rPr>
          <w:noProof/>
          <w:lang w:val="en-US"/>
        </w:rPr>
        <w:drawing>
          <wp:inline distT="0" distB="0" distL="0" distR="0" wp14:anchorId="25A89EEE" wp14:editId="50E5C762">
            <wp:extent cx="5760720" cy="2880360"/>
            <wp:effectExtent l="0" t="0" r="0" b="0"/>
            <wp:docPr id="1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icPr>
                  <pic:blipFill>
                    <a:blip r:embed="rId25"/>
                    <a:stretch/>
                  </pic:blipFill>
                  <pic:spPr bwMode="auto">
                    <a:xfrm>
                      <a:off x="0" y="0"/>
                      <a:ext cx="5760720" cy="288036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91" w:name="_Ref214210631"/>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19</w:t>
      </w:r>
      <w:r w:rsidRPr="000A4838">
        <w:rPr>
          <w:rFonts w:ascii="Arial" w:hAnsi="Arial" w:cs="Arial"/>
          <w:b/>
          <w:i w:val="0"/>
          <w:color w:val="auto"/>
          <w:sz w:val="20"/>
          <w:szCs w:val="20"/>
          <w:lang w:val="en-US"/>
        </w:rPr>
        <w:fldChar w:fldCharType="end"/>
      </w:r>
      <w:bookmarkEnd w:id="91"/>
      <w:r w:rsidRPr="000A4838">
        <w:rPr>
          <w:rFonts w:ascii="Arial" w:hAnsi="Arial" w:cs="Arial"/>
          <w:b/>
          <w:i w:val="0"/>
          <w:color w:val="auto"/>
          <w:sz w:val="20"/>
          <w:szCs w:val="20"/>
          <w:lang w:val="en-US"/>
        </w:rPr>
        <w:t>: Features (or Descriptors) Selection for Density as a target.</w:t>
      </w:r>
    </w:p>
    <w:p w:rsidR="007419CB" w:rsidRPr="000A4838" w:rsidRDefault="007419CB" w:rsidP="0021751D">
      <w:pPr>
        <w:spacing w:after="160" w:line="480" w:lineRule="auto"/>
        <w:rPr>
          <w:rFonts w:ascii="Arial" w:hAnsi="Arial" w:cs="Arial"/>
          <w:sz w:val="20"/>
          <w:szCs w:val="20"/>
          <w:lang w:val="en-US"/>
        </w:rPr>
      </w:pPr>
      <w:r w:rsidRPr="0006330A">
        <w:rPr>
          <w:rFonts w:ascii="Arial" w:hAnsi="Arial" w:cs="Arial"/>
          <w:sz w:val="20"/>
          <w:szCs w:val="20"/>
          <w:lang w:val="en-US"/>
        </w:rPr>
        <w:t xml:space="preserve">Red bars indicate features selected by the pipeline. The </w:t>
      </w:r>
      <w:proofErr w:type="spellStart"/>
      <w:r w:rsidRPr="0006330A">
        <w:rPr>
          <w:rFonts w:ascii="Arial" w:hAnsi="Arial" w:cs="Arial"/>
          <w:sz w:val="20"/>
          <w:szCs w:val="20"/>
          <w:lang w:val="en-US"/>
        </w:rPr>
        <w:t>XGBoost</w:t>
      </w:r>
      <w:proofErr w:type="spellEnd"/>
      <w:r w:rsidRPr="0006330A">
        <w:rPr>
          <w:rFonts w:ascii="Arial" w:hAnsi="Arial" w:cs="Arial"/>
          <w:sz w:val="20"/>
          <w:szCs w:val="20"/>
          <w:lang w:val="en-US"/>
        </w:rPr>
        <w:t xml:space="preserve"> procedure is parametrized so that features located before the elbow of the curve (to the left of the dashed line) are systematically included.</w:t>
      </w: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1A1ED9EA" wp14:editId="2C9A9B49">
            <wp:extent cx="5760720" cy="5760720"/>
            <wp:effectExtent l="0" t="0" r="0" b="0"/>
            <wp:docPr id="1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icPr>
                  <pic:blipFill>
                    <a:blip r:embed="rId26"/>
                    <a:stretch/>
                  </pic:blipFill>
                  <pic:spPr bwMode="auto">
                    <a:xfrm>
                      <a:off x="0" y="0"/>
                      <a:ext cx="5760720" cy="5760720"/>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92" w:name="_Ref214210638"/>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20</w:t>
      </w:r>
      <w:r w:rsidRPr="000A4838">
        <w:rPr>
          <w:rFonts w:ascii="Arial" w:hAnsi="Arial" w:cs="Arial"/>
          <w:b/>
          <w:i w:val="0"/>
          <w:color w:val="auto"/>
          <w:sz w:val="20"/>
          <w:szCs w:val="20"/>
          <w:lang w:val="en-US"/>
        </w:rPr>
        <w:fldChar w:fldCharType="end"/>
      </w:r>
      <w:bookmarkEnd w:id="92"/>
      <w:r w:rsidRPr="000A4838">
        <w:rPr>
          <w:rFonts w:ascii="Arial" w:hAnsi="Arial" w:cs="Arial"/>
          <w:b/>
          <w:i w:val="0"/>
          <w:color w:val="auto"/>
          <w:sz w:val="20"/>
          <w:szCs w:val="20"/>
          <w:lang w:val="en-US"/>
        </w:rPr>
        <w:t>: Predicted Values for the Density versus Real Values.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test base, this training reached almost </w:t>
      </w:r>
      <m:oMath>
        <m:r>
          <w:rPr>
            <w:rFonts w:ascii="Cambria Math" w:hAnsi="Cambria Math" w:cs="Arial"/>
            <w:sz w:val="20"/>
            <w:szCs w:val="20"/>
            <w:lang w:val="en-US"/>
          </w:rPr>
          <m:t>R²=1.00</m:t>
        </m:r>
      </m:oMath>
      <w:r w:rsidRPr="000A4838">
        <w:rPr>
          <w:rFonts w:ascii="Arial" w:hAnsi="Arial" w:cs="Arial"/>
          <w:sz w:val="20"/>
          <w:szCs w:val="20"/>
          <w:lang w:val="en-US"/>
        </w:rPr>
        <w:t xml:space="preserve">, the best score. The quality of training significantly raised when </w:t>
      </w:r>
      <w:proofErr w:type="spellStart"/>
      <w:r w:rsidRPr="000A4838">
        <w:rPr>
          <w:rFonts w:ascii="Courier New" w:hAnsi="Courier New" w:cs="Courier New"/>
          <w:sz w:val="20"/>
          <w:szCs w:val="20"/>
          <w:lang w:val="en-US"/>
        </w:rPr>
        <w:t>d_virt</w:t>
      </w:r>
      <w:proofErr w:type="spellEnd"/>
      <w:r w:rsidRPr="000A4838">
        <w:rPr>
          <w:rFonts w:ascii="Arial" w:hAnsi="Arial" w:cs="Arial"/>
          <w:sz w:val="20"/>
          <w:szCs w:val="20"/>
          <w:lang w:val="en-US"/>
        </w:rPr>
        <w:t>, a proxy to compacity defined as the ratio of the average weight over the cube of the average radius was introduced as a descriptor.</w:t>
      </w: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93" w:name="_Ref205243812"/>
      <w:bookmarkStart w:id="94" w:name="_Toc214314346"/>
      <w:bookmarkStart w:id="95" w:name="_Toc216021107"/>
      <w:r w:rsidRPr="000A4838">
        <w:rPr>
          <w:rFonts w:ascii="Times New Roman" w:hAnsi="Times New Roman" w:cs="Times New Roman"/>
          <w:color w:val="auto"/>
          <w:sz w:val="24"/>
          <w:szCs w:val="24"/>
          <w:lang w:val="en-US"/>
        </w:rPr>
        <w:t>Summary</w:t>
      </w:r>
      <w:bookmarkEnd w:id="93"/>
      <w:bookmarkEnd w:id="94"/>
      <w:bookmarkEnd w:id="95"/>
    </w:p>
    <w:p w:rsidR="007419CB" w:rsidRPr="00753419" w:rsidRDefault="007419CB" w:rsidP="0021751D">
      <w:pPr>
        <w:spacing w:after="160" w:line="480" w:lineRule="auto"/>
        <w:rPr>
          <w:lang w:val="en-US"/>
        </w:rPr>
      </w:pPr>
      <w:r w:rsidRPr="00753419">
        <w:rPr>
          <w:lang w:val="en-US"/>
        </w:rPr>
        <w:t xml:space="preserve">The adopted workflow produced robust and accurate results. Outlier detection and feature-selection procedures systematically improved model stability, yielding </w:t>
      </w:r>
      <m:oMath>
        <m:r>
          <w:rPr>
            <w:rFonts w:ascii="Cambria Math" w:hAnsi="Cambria Math"/>
            <w:lang w:val="en-US"/>
          </w:rPr>
          <m:t>R²</m:t>
        </m:r>
      </m:oMath>
      <w:r w:rsidRPr="00753419">
        <w:rPr>
          <w:lang w:val="en-US"/>
        </w:rPr>
        <w:t xml:space="preserve"> values above 0.9 </w:t>
      </w:r>
      <w:r w:rsidRPr="00753419">
        <w:rPr>
          <w:lang w:val="en-US"/>
        </w:rPr>
        <w:lastRenderedPageBreak/>
        <w:t xml:space="preserve">for most properties. Without outlier handling, test-set performance exhibited significantly higher variance. </w:t>
      </w:r>
      <w:r w:rsidRPr="00753419">
        <w:rPr>
          <w:lang w:val="en-US"/>
        </w:rPr>
        <w:fldChar w:fldCharType="begin"/>
      </w:r>
      <w:r w:rsidRPr="00753419">
        <w:rPr>
          <w:lang w:val="en-US"/>
        </w:rPr>
        <w:instrText xml:space="preserve"> REF _Ref213939024 \h  \* MERGEFORMAT </w:instrText>
      </w:r>
      <w:r w:rsidRPr="00753419">
        <w:rPr>
          <w:lang w:val="en-US"/>
        </w:rPr>
      </w:r>
      <w:r w:rsidRPr="00753419">
        <w:rPr>
          <w:lang w:val="en-US"/>
        </w:rPr>
        <w:fldChar w:fldCharType="separate"/>
      </w:r>
      <w:r w:rsidR="00380C88" w:rsidRPr="00380C88">
        <w:rPr>
          <w:rFonts w:ascii="Arial" w:hAnsi="Arial" w:cs="Arial"/>
          <w:b/>
          <w:sz w:val="20"/>
          <w:szCs w:val="20"/>
          <w:lang w:val="en-US"/>
        </w:rPr>
        <w:t xml:space="preserve">Table </w:t>
      </w:r>
      <w:r w:rsidR="00380C88" w:rsidRPr="00380C88">
        <w:rPr>
          <w:rFonts w:ascii="Arial" w:hAnsi="Arial" w:cs="Arial"/>
          <w:b/>
          <w:noProof/>
          <w:sz w:val="20"/>
          <w:szCs w:val="20"/>
          <w:lang w:val="en-US"/>
        </w:rPr>
        <w:t>1</w:t>
      </w:r>
      <w:r w:rsidRPr="00753419">
        <w:rPr>
          <w:lang w:val="en-US"/>
        </w:rPr>
        <w:fldChar w:fldCharType="end"/>
      </w:r>
      <w:r w:rsidRPr="00753419">
        <w:rPr>
          <w:lang w:val="en-US"/>
        </w:rPr>
        <w:t xml:space="preserve"> summarizes the main outcomes of the training and validation process.</w:t>
      </w:r>
    </w:p>
    <w:p w:rsidR="007419CB" w:rsidRPr="000A4838" w:rsidRDefault="007419CB" w:rsidP="0021751D">
      <w:pPr>
        <w:spacing w:after="160" w:line="480" w:lineRule="auto"/>
        <w:rPr>
          <w:lang w:val="en-US"/>
        </w:rPr>
      </w:pPr>
    </w:p>
    <w:tbl>
      <w:tblPr>
        <w:tblStyle w:val="Tableausimple3"/>
        <w:tblW w:w="9230" w:type="dxa"/>
        <w:tblLook w:val="04A0" w:firstRow="1" w:lastRow="0" w:firstColumn="1" w:lastColumn="0" w:noHBand="0" w:noVBand="1"/>
      </w:tblPr>
      <w:tblGrid>
        <w:gridCol w:w="1749"/>
        <w:gridCol w:w="1413"/>
        <w:gridCol w:w="1375"/>
        <w:gridCol w:w="1741"/>
        <w:gridCol w:w="1514"/>
        <w:gridCol w:w="1438"/>
      </w:tblGrid>
      <w:tr w:rsidR="007419CB" w:rsidRPr="00CC139D" w:rsidTr="00741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bookmarkStart w:id="96" w:name="_Hlk203548909"/>
            <w:r w:rsidRPr="00A04DFE">
              <w:rPr>
                <w:color w:val="auto"/>
                <w:lang w:val="en-US"/>
              </w:rPr>
              <w:t>Target</w:t>
            </w:r>
          </w:p>
        </w:tc>
        <w:tc>
          <w:tcPr>
            <w:tcW w:w="1812" w:type="dxa"/>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p>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Source of Data</w:t>
            </w:r>
          </w:p>
        </w:tc>
        <w:tc>
          <w:tcPr>
            <w:tcW w:w="1812" w:type="dxa"/>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Size of dataset</w:t>
            </w:r>
          </w:p>
        </w:tc>
        <w:tc>
          <w:tcPr>
            <w:tcW w:w="1812" w:type="dxa"/>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Outlier score threshold</w:t>
            </w:r>
          </w:p>
        </w:tc>
        <w:tc>
          <w:tcPr>
            <w:tcW w:w="1813" w:type="dxa"/>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Number of selected features</w:t>
            </w:r>
          </w:p>
        </w:tc>
        <w:tc>
          <w:tcPr>
            <w:tcW w:w="1813" w:type="dxa"/>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m:oMath>
              <m:r>
                <m:rPr>
                  <m:sty m:val="bi"/>
                </m:rPr>
                <w:rPr>
                  <w:rFonts w:ascii="Cambria Math" w:hAnsi="Cambria Math"/>
                  <w:color w:val="auto"/>
                  <w:lang w:val="en-US"/>
                </w:rPr>
                <m:t>R²</m:t>
              </m:r>
            </m:oMath>
            <w:r w:rsidRPr="00A04DFE">
              <w:rPr>
                <w:color w:val="auto"/>
                <w:lang w:val="en-US"/>
              </w:rPr>
              <w:t xml:space="preserve"> reached on test dataset</w:t>
            </w:r>
          </w:p>
        </w:tc>
      </w:tr>
      <w:tr w:rsidR="007419CB" w:rsidRPr="00A04DFE" w:rsidTr="0074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r w:rsidRPr="00A04DFE">
              <w:rPr>
                <w:color w:val="auto"/>
                <w:lang w:val="en-US"/>
              </w:rPr>
              <w:t>Creep (LMP)</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Scientific Literature</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295</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0/4</w:t>
            </w:r>
          </w:p>
        </w:tc>
        <w:tc>
          <w:tcPr>
            <w:tcW w:w="1813"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11</w:t>
            </w:r>
          </w:p>
        </w:tc>
        <w:tc>
          <w:tcPr>
            <w:tcW w:w="1813"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0.99</w:t>
            </w:r>
          </w:p>
        </w:tc>
      </w:tr>
      <w:tr w:rsidR="007419CB" w:rsidRPr="00A04DFE" w:rsidTr="007419CB">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r w:rsidRPr="00A04DFE">
              <w:rPr>
                <w:color w:val="auto"/>
                <w:lang w:val="en-US"/>
              </w:rPr>
              <w:t>HT Oxidation</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Scientific Literature</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172</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0/4</w:t>
            </w:r>
          </w:p>
        </w:tc>
        <w:tc>
          <w:tcPr>
            <w:tcW w:w="1813"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28</w:t>
            </w:r>
          </w:p>
        </w:tc>
        <w:tc>
          <w:tcPr>
            <w:tcW w:w="1813"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0.80</w:t>
            </w:r>
          </w:p>
        </w:tc>
      </w:tr>
      <w:tr w:rsidR="007419CB" w:rsidRPr="00A04DFE" w:rsidTr="0074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r w:rsidRPr="00A04DFE">
              <w:rPr>
                <w:color w:val="auto"/>
                <w:lang w:val="en-US"/>
              </w:rPr>
              <w:t>Formation Enthalpy</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Materials Project (DFT)</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11061</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2/4</w:t>
            </w:r>
          </w:p>
        </w:tc>
        <w:tc>
          <w:tcPr>
            <w:tcW w:w="1813"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23</w:t>
            </w:r>
          </w:p>
        </w:tc>
        <w:tc>
          <w:tcPr>
            <w:tcW w:w="1813"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0.94</w:t>
            </w:r>
          </w:p>
        </w:tc>
      </w:tr>
      <w:tr w:rsidR="007419CB" w:rsidRPr="00A04DFE" w:rsidTr="007419CB">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r w:rsidRPr="00A04DFE">
              <w:rPr>
                <w:color w:val="auto"/>
                <w:lang w:val="en-US"/>
              </w:rPr>
              <w:t>Bulk Modulus</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Materials Project (DFT)</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1898</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1/4</w:t>
            </w:r>
          </w:p>
        </w:tc>
        <w:tc>
          <w:tcPr>
            <w:tcW w:w="1813"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30</w:t>
            </w:r>
          </w:p>
        </w:tc>
        <w:tc>
          <w:tcPr>
            <w:tcW w:w="1813"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0.98</w:t>
            </w:r>
          </w:p>
        </w:tc>
      </w:tr>
      <w:tr w:rsidR="007419CB" w:rsidRPr="00A04DFE" w:rsidTr="0074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r w:rsidRPr="00A04DFE">
              <w:rPr>
                <w:color w:val="auto"/>
                <w:lang w:val="en-US"/>
              </w:rPr>
              <w:t>Shear Modulus</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Materials Project (DFT)</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1749</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0/4</w:t>
            </w:r>
          </w:p>
        </w:tc>
        <w:tc>
          <w:tcPr>
            <w:tcW w:w="1813"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20</w:t>
            </w:r>
          </w:p>
        </w:tc>
        <w:tc>
          <w:tcPr>
            <w:tcW w:w="1813"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0.90</w:t>
            </w:r>
          </w:p>
        </w:tc>
      </w:tr>
      <w:tr w:rsidR="007419CB" w:rsidRPr="00A04DFE" w:rsidTr="007419CB">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r w:rsidRPr="00A04DFE">
              <w:rPr>
                <w:color w:val="auto"/>
                <w:lang w:val="en-US"/>
              </w:rPr>
              <w:t>Melting Point</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proofErr w:type="spellStart"/>
            <w:r w:rsidRPr="00A04DFE">
              <w:rPr>
                <w:lang w:val="en-US"/>
              </w:rPr>
              <w:t>MPContribs</w:t>
            </w:r>
            <w:proofErr w:type="spellEnd"/>
            <w:r w:rsidRPr="00A04DFE">
              <w:rPr>
                <w:lang w:val="en-US"/>
              </w:rPr>
              <w:t xml:space="preserve"> (GNN)</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13880</w:t>
            </w:r>
          </w:p>
        </w:tc>
        <w:tc>
          <w:tcPr>
            <w:tcW w:w="1812"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2/4</w:t>
            </w:r>
          </w:p>
        </w:tc>
        <w:tc>
          <w:tcPr>
            <w:tcW w:w="1813"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23</w:t>
            </w:r>
          </w:p>
        </w:tc>
        <w:tc>
          <w:tcPr>
            <w:tcW w:w="1813"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0.90</w:t>
            </w:r>
          </w:p>
        </w:tc>
      </w:tr>
      <w:tr w:rsidR="007419CB" w:rsidRPr="00A04DFE" w:rsidTr="0074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419CB" w:rsidRPr="00A04DFE" w:rsidRDefault="007419CB" w:rsidP="0021751D">
            <w:pPr>
              <w:spacing w:after="160" w:line="480" w:lineRule="auto"/>
              <w:rPr>
                <w:color w:val="auto"/>
                <w:lang w:val="en-US"/>
              </w:rPr>
            </w:pPr>
            <w:r w:rsidRPr="00A04DFE">
              <w:rPr>
                <w:color w:val="auto"/>
                <w:lang w:val="en-US"/>
              </w:rPr>
              <w:lastRenderedPageBreak/>
              <w:t>Density</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Deep Mind (GNN) &amp; Materials Project (DFT)</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238787</w:t>
            </w:r>
          </w:p>
        </w:tc>
        <w:tc>
          <w:tcPr>
            <w:tcW w:w="1812"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4/4</w:t>
            </w:r>
          </w:p>
        </w:tc>
        <w:tc>
          <w:tcPr>
            <w:tcW w:w="1813"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30</w:t>
            </w:r>
          </w:p>
        </w:tc>
        <w:tc>
          <w:tcPr>
            <w:tcW w:w="1813" w:type="dxa"/>
          </w:tcPr>
          <w:p w:rsidR="007419CB" w:rsidRPr="00A04DFE" w:rsidRDefault="007419CB" w:rsidP="0021751D">
            <w:pPr>
              <w:keepNext/>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1.00</w:t>
            </w:r>
          </w:p>
        </w:tc>
      </w:tr>
    </w:tbl>
    <w:p w:rsidR="007419CB" w:rsidRPr="00B54C5F" w:rsidRDefault="007419CB" w:rsidP="0021751D">
      <w:pPr>
        <w:pStyle w:val="Lgende"/>
        <w:spacing w:after="160" w:line="480" w:lineRule="auto"/>
        <w:rPr>
          <w:rFonts w:ascii="Arial" w:hAnsi="Arial" w:cs="Arial"/>
          <w:b/>
          <w:i w:val="0"/>
          <w:color w:val="auto"/>
          <w:sz w:val="20"/>
          <w:szCs w:val="20"/>
          <w:lang w:val="en-US"/>
        </w:rPr>
      </w:pPr>
      <w:bookmarkStart w:id="97" w:name="_Ref213939024"/>
      <w:bookmarkEnd w:id="96"/>
      <w:r w:rsidRPr="00B54C5F">
        <w:rPr>
          <w:rFonts w:ascii="Arial" w:hAnsi="Arial" w:cs="Arial"/>
          <w:b/>
          <w:i w:val="0"/>
          <w:color w:val="auto"/>
          <w:sz w:val="20"/>
          <w:szCs w:val="20"/>
        </w:rPr>
        <w:t xml:space="preserve">Table </w:t>
      </w:r>
      <w:r w:rsidRPr="00B54C5F">
        <w:rPr>
          <w:rFonts w:ascii="Arial" w:hAnsi="Arial" w:cs="Arial"/>
          <w:b/>
          <w:i w:val="0"/>
          <w:color w:val="auto"/>
          <w:sz w:val="20"/>
          <w:szCs w:val="20"/>
        </w:rPr>
        <w:fldChar w:fldCharType="begin"/>
      </w:r>
      <w:r w:rsidRPr="00B54C5F">
        <w:rPr>
          <w:rFonts w:ascii="Arial" w:hAnsi="Arial" w:cs="Arial"/>
          <w:b/>
          <w:i w:val="0"/>
          <w:color w:val="auto"/>
          <w:sz w:val="20"/>
          <w:szCs w:val="20"/>
        </w:rPr>
        <w:instrText xml:space="preserve"> SEQ Tableau \* ARABIC </w:instrText>
      </w:r>
      <w:r w:rsidRPr="00B54C5F">
        <w:rPr>
          <w:rFonts w:ascii="Arial" w:hAnsi="Arial" w:cs="Arial"/>
          <w:b/>
          <w:i w:val="0"/>
          <w:color w:val="auto"/>
          <w:sz w:val="20"/>
          <w:szCs w:val="20"/>
        </w:rPr>
        <w:fldChar w:fldCharType="separate"/>
      </w:r>
      <w:r w:rsidR="00380C88">
        <w:rPr>
          <w:rFonts w:ascii="Arial" w:hAnsi="Arial" w:cs="Arial"/>
          <w:b/>
          <w:i w:val="0"/>
          <w:noProof/>
          <w:color w:val="auto"/>
          <w:sz w:val="20"/>
          <w:szCs w:val="20"/>
        </w:rPr>
        <w:t>1</w:t>
      </w:r>
      <w:r w:rsidRPr="00B54C5F">
        <w:rPr>
          <w:rFonts w:ascii="Arial" w:hAnsi="Arial" w:cs="Arial"/>
          <w:b/>
          <w:i w:val="0"/>
          <w:color w:val="auto"/>
          <w:sz w:val="20"/>
          <w:szCs w:val="20"/>
        </w:rPr>
        <w:fldChar w:fldCharType="end"/>
      </w:r>
      <w:bookmarkEnd w:id="97"/>
      <w:r w:rsidRPr="00B54C5F">
        <w:rPr>
          <w:rFonts w:ascii="Arial" w:hAnsi="Arial" w:cs="Arial"/>
          <w:b/>
          <w:i w:val="0"/>
          <w:color w:val="auto"/>
          <w:sz w:val="20"/>
          <w:szCs w:val="20"/>
        </w:rPr>
        <w:t xml:space="preserve">: </w:t>
      </w:r>
      <w:proofErr w:type="spellStart"/>
      <w:r w:rsidRPr="00B54C5F">
        <w:rPr>
          <w:rFonts w:ascii="Arial" w:hAnsi="Arial" w:cs="Arial"/>
          <w:b/>
          <w:i w:val="0"/>
          <w:color w:val="auto"/>
          <w:sz w:val="20"/>
          <w:szCs w:val="20"/>
        </w:rPr>
        <w:t>Target</w:t>
      </w:r>
      <w:r>
        <w:rPr>
          <w:rFonts w:ascii="Arial" w:hAnsi="Arial" w:cs="Arial"/>
          <w:b/>
          <w:i w:val="0"/>
          <w:color w:val="auto"/>
          <w:sz w:val="20"/>
          <w:szCs w:val="20"/>
        </w:rPr>
        <w:t>s</w:t>
      </w:r>
      <w:proofErr w:type="spellEnd"/>
      <w:r w:rsidRPr="00B54C5F">
        <w:rPr>
          <w:rFonts w:ascii="Arial" w:hAnsi="Arial" w:cs="Arial"/>
          <w:b/>
          <w:i w:val="0"/>
          <w:color w:val="auto"/>
          <w:sz w:val="20"/>
          <w:szCs w:val="20"/>
        </w:rPr>
        <w:t xml:space="preserve"> Learning </w:t>
      </w:r>
      <w:proofErr w:type="spellStart"/>
      <w:r w:rsidRPr="00B54C5F">
        <w:rPr>
          <w:rFonts w:ascii="Arial" w:hAnsi="Arial" w:cs="Arial"/>
          <w:b/>
          <w:i w:val="0"/>
          <w:color w:val="auto"/>
          <w:sz w:val="20"/>
          <w:szCs w:val="20"/>
        </w:rPr>
        <w:t>Summary</w:t>
      </w:r>
      <w:proofErr w:type="spellEnd"/>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rFonts w:eastAsiaTheme="majorEastAsia"/>
          <w:b/>
          <w:bCs/>
          <w:sz w:val="28"/>
          <w:szCs w:val="28"/>
          <w:lang w:val="en-US"/>
        </w:rPr>
      </w:pPr>
      <w:r w:rsidRPr="000A4838">
        <w:rPr>
          <w:lang w:val="en-US"/>
        </w:rPr>
        <w:br w:type="page" w:clear="all"/>
      </w:r>
    </w:p>
    <w:p w:rsidR="007419CB" w:rsidRPr="000A4838" w:rsidRDefault="007419CB" w:rsidP="00F949EF">
      <w:pPr>
        <w:pStyle w:val="Titre1"/>
        <w:numPr>
          <w:ilvl w:val="0"/>
          <w:numId w:val="40"/>
        </w:numPr>
        <w:spacing w:before="0" w:after="160" w:line="480" w:lineRule="auto"/>
        <w:rPr>
          <w:rFonts w:ascii="Times New Roman" w:hAnsi="Times New Roman" w:cs="Times New Roman"/>
          <w:color w:val="auto"/>
          <w:lang w:val="en-US"/>
        </w:rPr>
      </w:pPr>
      <w:bookmarkStart w:id="98" w:name="_Ref205243857"/>
      <w:bookmarkStart w:id="99" w:name="_Ref205243902"/>
      <w:bookmarkStart w:id="100" w:name="_Toc214314347"/>
      <w:bookmarkStart w:id="101" w:name="_Toc216021108"/>
      <w:r w:rsidRPr="000A4838">
        <w:rPr>
          <w:rFonts w:ascii="Times New Roman" w:hAnsi="Times New Roman" w:cs="Times New Roman"/>
          <w:color w:val="auto"/>
          <w:lang w:val="en-US"/>
        </w:rPr>
        <w:lastRenderedPageBreak/>
        <w:t>STOCHASTIC BRUTE-FORCE SCREENING OF 5-ELEMENTS HEA</w:t>
      </w:r>
      <w:bookmarkEnd w:id="98"/>
      <w:bookmarkEnd w:id="99"/>
      <w:bookmarkEnd w:id="100"/>
      <w:bookmarkEnd w:id="101"/>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02" w:name="_Ref203459251"/>
      <w:bookmarkStart w:id="103" w:name="_Ref203459286"/>
      <w:bookmarkStart w:id="104" w:name="_Ref203459310"/>
      <w:bookmarkStart w:id="105" w:name="_Ref203459315"/>
      <w:bookmarkStart w:id="106" w:name="_Ref203459326"/>
      <w:bookmarkStart w:id="107" w:name="_Toc214314348"/>
      <w:bookmarkStart w:id="108" w:name="_Toc216021109"/>
      <w:r w:rsidRPr="000A4838">
        <w:rPr>
          <w:rFonts w:ascii="Times New Roman" w:hAnsi="Times New Roman" w:cs="Times New Roman"/>
          <w:color w:val="auto"/>
          <w:sz w:val="24"/>
          <w:szCs w:val="24"/>
          <w:lang w:val="en-US"/>
        </w:rPr>
        <w:t>Generation of HEA: Composition Space and Randomization</w:t>
      </w:r>
      <w:bookmarkEnd w:id="102"/>
      <w:bookmarkEnd w:id="103"/>
      <w:bookmarkEnd w:id="104"/>
      <w:bookmarkEnd w:id="105"/>
      <w:bookmarkEnd w:id="106"/>
      <w:bookmarkEnd w:id="107"/>
      <w:bookmarkEnd w:id="108"/>
    </w:p>
    <w:p w:rsidR="007419CB" w:rsidRPr="000A4838" w:rsidRDefault="007419CB" w:rsidP="0021751D">
      <w:pPr>
        <w:spacing w:after="160" w:line="480" w:lineRule="auto"/>
        <w:rPr>
          <w:lang w:val="en-US"/>
        </w:rPr>
      </w:pPr>
      <w:r w:rsidRPr="000A4838">
        <w:rPr>
          <w:lang w:val="en-US"/>
        </w:rPr>
        <w:t>High-entropy alloys (HEAs) constitute a paradigm shift in alloy design, mixing five or more principal elements at equal or near-equal compositions to form single crystalline phases stabilized by high configurational entropy and favorable enthalpic interactions. Despite the vast chemical space – 658</w:t>
      </w:r>
      <w:r>
        <w:rPr>
          <w:lang w:val="en-US"/>
        </w:rPr>
        <w:t xml:space="preserve"> </w:t>
      </w:r>
      <w:r w:rsidRPr="000A4838">
        <w:rPr>
          <w:lang w:val="en-US"/>
        </w:rPr>
        <w:t>008 possible equimolar quinary alloys drawn from a set of 40 common metallic elements – only a few dozen have been experimentally realized, largely clustered around body-centered cubic (BCC) structures. Accelerating discovery in this domain thus requires efficient computational screening to identify promising compositions and to elucidate the thermodynamic drivers of phase stability.</w:t>
      </w:r>
    </w:p>
    <w:p w:rsidR="007419CB" w:rsidRPr="000A4838" w:rsidRDefault="007419CB" w:rsidP="00040A85">
      <w:pPr>
        <w:spacing w:after="160" w:line="480" w:lineRule="auto"/>
        <w:rPr>
          <w:lang w:val="en-US"/>
        </w:rPr>
      </w:pPr>
      <w:r w:rsidRPr="000A4838">
        <w:rPr>
          <w:lang w:val="en-US"/>
        </w:rPr>
        <w:t xml:space="preserve">Chen et al. unveil the chemistries that are likely to form high-entropy alloys </w:t>
      </w:r>
      <w:r w:rsidRPr="000A4838">
        <w:rPr>
          <w:lang w:val="en-US"/>
        </w:rPr>
        <w:fldChar w:fldCharType="begin"/>
      </w:r>
      <w:r w:rsidR="00B77C17">
        <w:rPr>
          <w:lang w:val="en-US"/>
        </w:rPr>
        <w:instrText xml:space="preserve"> ADDIN ZOTERO_ITEM CSL_CITATION {"citationID":"B6gMfjpD","properties":{"formattedCitation":"\\super 27\\nosupersub{}","plainCitation":"27","noteIndex":0},"citationItems":[{"id":178,"uris":["http://zotero.org/users/local/hYny5ca1/items/DZJP4BUU"],"itemData":{"id":178,"type":"article-journal","abstract":"High-entropy alloys have exhibited unusual materials properties. The stability of equimolar single-phase solid solution of five or more elements is supposedly rare and identifying the existence of such alloys has been challenging because of the vast chemical space of possible combinations. Herein, based on high-throughput density-functional theory calculations, we construct a chemical map of single-phase equimolar high-entropy alloys by investigating over 658,000 equimolar quinary alloys through a binary regular solid-solution model. We identify 30,201 potential single-phase equimolar alloys (5% of the possible combinations) forming mainly in body-centered cubic structures. We unveil the chemistries that are likely to form high-entropy alloys, and identify the complex interplay among mixing enthalpy, intermetallics formation, and melting point that drives the formation of these solid solutions. We demonstrate the power of our method by predicting the existence of two new high-entropy alloys, i.e. the body-centered cubic AlCoMnNiV and the face-centered cubic CoFeMnNiZn, which are successfully synthesized.","container-title":"Nature Communications","DOI":"10.1038/s41467-023-38423-7","ISSN":"2041-1723","issue":"1","journalAbbreviation":"Nature Communications","page":"2856","title":"A map of single-phase high-entropy alloys","volume":"14","author":[{"family":"Chen","given":"Wei"},{"family":"Hilhorst","given":"Antoine"},{"family":"Bokas","given":"Georgios"},{"family":"Gorsse","given":"Stéphane"},{"family":"Jacques","given":"Pascal J."},{"family":"Hautier","given":"Geoffroy"}],"issued":{"date-parts":[["2023",5,19]]}}}],"schema":"https://github.com/citation-style-language/schema/raw/master/csl-citation.json"}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27</w:t>
      </w:r>
      <w:r w:rsidRPr="000A4838">
        <w:rPr>
          <w:lang w:val="en-US"/>
        </w:rPr>
        <w:fldChar w:fldCharType="end"/>
      </w:r>
      <w:r w:rsidRPr="000A4838">
        <w:rPr>
          <w:lang w:val="en-US"/>
        </w:rPr>
        <w:t xml:space="preserve">. </w:t>
      </w:r>
    </w:p>
    <w:p w:rsidR="007419CB" w:rsidRPr="000A4838" w:rsidRDefault="007419CB" w:rsidP="0021751D">
      <w:pPr>
        <w:spacing w:after="160" w:line="480" w:lineRule="auto"/>
        <w:rPr>
          <w:lang w:val="en-US"/>
        </w:rPr>
      </w:pPr>
      <w:r w:rsidRPr="0038707B">
        <w:rPr>
          <w:lang w:val="en-US"/>
        </w:rPr>
        <w:t xml:space="preserve">Moderate deviations from </w:t>
      </w:r>
      <w:proofErr w:type="spellStart"/>
      <w:r w:rsidRPr="0038707B">
        <w:rPr>
          <w:lang w:val="en-US"/>
        </w:rPr>
        <w:t>equimolarity</w:t>
      </w:r>
      <w:proofErr w:type="spellEnd"/>
      <w:r w:rsidRPr="0038707B">
        <w:rPr>
          <w:lang w:val="en-US"/>
        </w:rPr>
        <w:t xml:space="preserve"> can still yield single-phase HEAs, provided a few simple thermodynamic and geometric criteria are satisfied:</w:t>
      </w:r>
    </w:p>
    <w:p w:rsidR="007419CB" w:rsidRPr="000A4838" w:rsidRDefault="007419CB" w:rsidP="00F949EF">
      <w:pPr>
        <w:pStyle w:val="Paragraphedeliste"/>
        <w:numPr>
          <w:ilvl w:val="0"/>
          <w:numId w:val="2"/>
        </w:numPr>
        <w:spacing w:after="160" w:line="480" w:lineRule="auto"/>
        <w:contextualSpacing w:val="0"/>
        <w:rPr>
          <w:lang w:val="en-US"/>
        </w:rPr>
      </w:pPr>
      <w:r w:rsidRPr="000A4838">
        <w:rPr>
          <w:lang w:val="en-US"/>
        </w:rPr>
        <w:t>Maintain high configurational entropy</w:t>
      </w:r>
    </w:p>
    <w:p w:rsidR="007419CB" w:rsidRPr="000A4838" w:rsidRDefault="007419CB" w:rsidP="0021751D">
      <w:pPr>
        <w:pStyle w:val="Paragraphedeliste"/>
        <w:spacing w:after="160" w:line="480" w:lineRule="auto"/>
        <w:ind w:left="0"/>
        <w:contextualSpacing w:val="0"/>
        <w:rPr>
          <w:lang w:val="en-US"/>
        </w:rPr>
      </w:pPr>
      <w:r w:rsidRPr="000A4838">
        <w:rPr>
          <w:lang w:val="en-US"/>
        </w:rPr>
        <w:t xml:space="preserve">Although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oMath>
      <w:r w:rsidRPr="000A4838">
        <w:rPr>
          <w:lang w:val="en-US"/>
        </w:rPr>
        <w:t xml:space="preserve"> is maximized at equimolarity, modest off‐equimolar </w:t>
      </w:r>
      <w:r w:rsidRPr="005468D5">
        <w:rPr>
          <w:lang w:val="en-US"/>
        </w:rPr>
        <w:t xml:space="preserve">compositions can still provide sufficient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oMath>
      <w:r w:rsidRPr="005468D5">
        <w:rPr>
          <w:lang w:val="en-US"/>
        </w:rPr>
        <w:t xml:space="preserve"> to stabilize a random solid solution at high temperature. In this work, compositions are therefore required to satisfy</w:t>
      </w:r>
      <w:r>
        <w:rPr>
          <w:lang w:val="en-US"/>
        </w:rPr>
        <w:t xml:space="preserve"> </w:t>
      </w:r>
      <m:oMath>
        <m:r>
          <w:rPr>
            <w:rFonts w:ascii="Cambria Math" w:eastAsia="Cambria Math" w:hAnsi="Cambria Math"/>
            <w:lang w:val="en-US"/>
          </w:rPr>
          <m:t>1.31&lt;</m:t>
        </m:r>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r>
          <w:rPr>
            <w:rFonts w:ascii="Cambria Math" w:hAnsi="Cambria Math"/>
            <w:lang w:val="en-US"/>
          </w:rPr>
          <m:t>&lt;2.32</m:t>
        </m:r>
      </m:oMath>
      <w:r w:rsidRPr="005468D5">
        <w:rPr>
          <w:lang w:val="en-US"/>
        </w:rPr>
        <w:t>, a ra</w:t>
      </w:r>
      <w:proofErr w:type="spellStart"/>
      <w:r w:rsidRPr="005468D5">
        <w:rPr>
          <w:lang w:val="en-US"/>
        </w:rPr>
        <w:t>nge</w:t>
      </w:r>
      <w:proofErr w:type="spellEnd"/>
      <w:r w:rsidRPr="005468D5">
        <w:rPr>
          <w:lang w:val="en-US"/>
        </w:rPr>
        <w:t xml:space="preserve"> reported to favor solid-solution formation in HEAs </w:t>
      </w:r>
      <w:r w:rsidRPr="000A4838">
        <w:rPr>
          <w:lang w:val="en-US"/>
        </w:rPr>
        <w:fldChar w:fldCharType="begin"/>
      </w:r>
      <w:r w:rsidR="00B77C17">
        <w:rPr>
          <w:lang w:val="en-US"/>
        </w:rPr>
        <w:instrText xml:space="preserve"> ADDIN ZOTERO_ITEM CSL_CITATION {"citationID":"oVU8H17j","properties":{"formattedCitation":"\\super 28\\nosupersub{}","plainCitation":"28","noteIndex":0},"citationItems":[{"id":179,"uris":["http://zotero.org/users/local/hYny5ca1/items/HYKFDBAI"],"itemData":{"id":179,"type":"article-journal","abstract":"High-entropy alloys (HEAs) composed of multiprincipal elements with near-equiatomic ratio have gained numerous attention in recent years. The design concept and unique microstructure make them exhibit a wide range of attractive properties, promoting them suitable for most structural and functional applications. HEAs have four core effects: severe lattice distortion, high entropy, sluggish diffusion, and cocktail effects, which are all interconnected. Among these core effects, severe lattice distortion is seen as the most key factor in determining the properties of HEAs. Recent findings prove that phase selection in HEAs cannot be described by the maximized entropy theory alone. As such, the phase formation principles in terms of single-phase and multiphase formation criteria are summarized. Severe lattice distortion affecting the mechanical properties and polymorphism of HEAs is reviewed. Several strategies, which have recently been successfully applied in overcoming the ?strength?ductility trade-off? in HEAs, are discussed. Some key unsolved questions concerning the lattice distortion in HEAs which could be interesting research topics in the future are suggested.","container-title":"Advanced Engineering Materials","DOI":"10.1002/adem.202000466","ISSN":"1438-1656","issue":"11","journalAbbreviation":"Advanced Engineering Materials","note":"publisher: John Wiley &amp; Sons, Ltd","page":"2000466","title":"Phase Selection, Lattice Distortions, and Mechanical Properties in High-Entropy Alloys","volume":"22","author":[{"family":"Nutor","given":"Raymond Kwesi"},{"family":"Cao","given":"Qingping"},{"family":"Wang","given":"Xiaodong"},{"family":"Zhang","given":"Dongxian"},{"family":"Fang","given":"Yunzhang"},{"family":"Zhang","given":"Yong"},{"family":"Jiang","given":"Jian-Zhong"}],"issued":{"date-parts":[["2020",11,1]]}}}],"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28</w:t>
      </w:r>
      <w:r w:rsidRPr="000A4838">
        <w:rPr>
          <w:lang w:val="en-US"/>
        </w:rPr>
        <w:fldChar w:fldCharType="end"/>
      </w:r>
      <w:r w:rsidRPr="005468D5">
        <w:rPr>
          <w:lang w:val="en-US"/>
        </w:rPr>
        <w:t>.</w:t>
      </w:r>
    </w:p>
    <w:p w:rsidR="007419CB" w:rsidRPr="000A4838" w:rsidRDefault="007419CB" w:rsidP="00F949EF">
      <w:pPr>
        <w:pStyle w:val="Paragraphedeliste"/>
        <w:numPr>
          <w:ilvl w:val="0"/>
          <w:numId w:val="2"/>
        </w:numPr>
        <w:spacing w:after="160" w:line="480" w:lineRule="auto"/>
        <w:contextualSpacing w:val="0"/>
        <w:rPr>
          <w:lang w:val="en-US"/>
        </w:rPr>
      </w:pPr>
      <w:r w:rsidRPr="000A4838">
        <w:rPr>
          <w:lang w:val="en-US"/>
        </w:rPr>
        <w:t>Keep mixing enthalpy moderate</w:t>
      </w:r>
    </w:p>
    <w:p w:rsidR="007419CB" w:rsidRPr="000A4838" w:rsidRDefault="007419CB" w:rsidP="0021751D">
      <w:pPr>
        <w:pStyle w:val="Paragraphedeliste"/>
        <w:spacing w:after="160" w:line="480" w:lineRule="auto"/>
        <w:ind w:left="0"/>
        <w:contextualSpacing w:val="0"/>
        <w:rPr>
          <w:lang w:val="en-US"/>
        </w:rPr>
      </w:pPr>
      <w:r w:rsidRPr="000A4838">
        <w:rPr>
          <w:lang w:val="en-US"/>
        </w:rPr>
        <w:t xml:space="preserve">The free‐energy criterion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G</m:t>
            </m:r>
          </m:e>
          <m:sub>
            <m:r>
              <m:rPr>
                <m:sty m:val="p"/>
              </m:rPr>
              <w:rPr>
                <w:rFonts w:ascii="Cambria Math" w:hAnsi="Cambria Math"/>
                <w:lang w:val="en-US"/>
              </w:rPr>
              <m:t>mix</m:t>
            </m:r>
          </m:sub>
        </m:sSub>
        <m:r>
          <w:rPr>
            <w:rFonts w:ascii="Cambria Math" w:hAnsi="Cambria Math"/>
            <w:lang w:val="en-US"/>
          </w:rPr>
          <m:t>=</m:t>
        </m:r>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H</m:t>
            </m:r>
          </m:e>
          <m:sub>
            <m:r>
              <m:rPr>
                <m:sty m:val="p"/>
              </m:rPr>
              <w:rPr>
                <w:rFonts w:ascii="Cambria Math" w:hAnsi="Cambria Math"/>
                <w:lang w:val="en-US"/>
              </w:rPr>
              <m:t>mix</m:t>
            </m:r>
          </m:sub>
        </m:sSub>
        <m:r>
          <w:rPr>
            <w:rFonts w:ascii="Cambria Math" w:hAnsi="Cambria Math"/>
            <w:lang w:val="en-US"/>
          </w:rPr>
          <m:t>-T</m:t>
        </m:r>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oMath>
      <w:r w:rsidRPr="000A4838">
        <w:rPr>
          <w:lang w:val="en-US"/>
        </w:rPr>
        <w:t xml:space="preserve"> must remain negative with respect to any competing intermetallics</w:t>
      </w:r>
      <w:r>
        <w:rPr>
          <w:lang w:val="en-US"/>
        </w:rPr>
        <w:t xml:space="preserve">: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G</m:t>
            </m:r>
          </m:e>
          <m:sub>
            <m:r>
              <m:rPr>
                <m:sty m:val="p"/>
              </m:rPr>
              <w:rPr>
                <w:rFonts w:ascii="Cambria Math" w:hAnsi="Cambria Math"/>
                <w:lang w:val="en-US"/>
              </w:rPr>
              <m:t>mix</m:t>
            </m:r>
          </m:sub>
        </m:sSub>
        <m:r>
          <w:rPr>
            <w:rFonts w:ascii="Cambria Math" w:eastAsia="Cambria Math" w:hAnsi="Cambria Math"/>
            <w:lang w:val="en-US"/>
          </w:rPr>
          <m:t>&lt;0</m:t>
        </m:r>
      </m:oMath>
      <w:r w:rsidRPr="000A4838">
        <w:rPr>
          <w:lang w:val="en-US"/>
        </w:rPr>
        <w:t>.</w:t>
      </w:r>
    </w:p>
    <w:p w:rsidR="007419CB" w:rsidRPr="000A4838" w:rsidRDefault="007419CB" w:rsidP="00F949EF">
      <w:pPr>
        <w:pStyle w:val="Paragraphedeliste"/>
        <w:numPr>
          <w:ilvl w:val="0"/>
          <w:numId w:val="2"/>
        </w:numPr>
        <w:spacing w:after="160" w:line="480" w:lineRule="auto"/>
        <w:contextualSpacing w:val="0"/>
        <w:rPr>
          <w:lang w:val="en-US"/>
        </w:rPr>
      </w:pPr>
      <w:r w:rsidRPr="000A4838">
        <w:rPr>
          <w:lang w:val="en-US"/>
        </w:rPr>
        <w:lastRenderedPageBreak/>
        <w:t>Limit atomic‐size mismatch (</w:t>
      </w:r>
      <m:oMath>
        <m:r>
          <w:rPr>
            <w:rFonts w:ascii="Cambria Math" w:hAnsi="Cambria Math"/>
            <w:lang w:val="en-US"/>
          </w:rPr>
          <m:t>δ</m:t>
        </m:r>
      </m:oMath>
      <w:r w:rsidRPr="000A4838">
        <w:rPr>
          <w:lang w:val="en-US"/>
        </w:rPr>
        <w:t>)</w:t>
      </w:r>
    </w:p>
    <w:p w:rsidR="007419CB" w:rsidRPr="000A4838" w:rsidRDefault="007419CB" w:rsidP="0021751D">
      <w:pPr>
        <w:pStyle w:val="Paragraphedeliste"/>
        <w:spacing w:after="160" w:line="480" w:lineRule="auto"/>
        <w:ind w:left="0"/>
        <w:contextualSpacing w:val="0"/>
        <w:rPr>
          <w:lang w:val="en-US"/>
        </w:rPr>
      </w:pPr>
      <w:r w:rsidRPr="000A4838">
        <w:rPr>
          <w:lang w:val="en-US"/>
        </w:rPr>
        <w:t>According to Hume-</w:t>
      </w:r>
      <w:proofErr w:type="spellStart"/>
      <w:r w:rsidRPr="000A4838">
        <w:rPr>
          <w:lang w:val="en-US"/>
        </w:rPr>
        <w:t>Rothery</w:t>
      </w:r>
      <w:proofErr w:type="spellEnd"/>
      <w:r w:rsidRPr="000A4838">
        <w:rPr>
          <w:lang w:val="en-US"/>
        </w:rPr>
        <w:t xml:space="preserve"> rules, the relative atomic‐size variance </w:t>
      </w:r>
      <m:oMath>
        <m:r>
          <w:rPr>
            <w:rFonts w:ascii="Cambria Math" w:hAnsi="Cambria Math"/>
            <w:lang w:val="en-US"/>
          </w:rPr>
          <m:t>δ=</m:t>
        </m:r>
        <m:rad>
          <m:radPr>
            <m:degHide m:val="1"/>
            <m:ctrlPr>
              <w:rPr>
                <w:rFonts w:ascii="Cambria Math" w:eastAsia="Cambria Math" w:hAnsi="Cambria Math"/>
                <w:i/>
                <w:lang w:val="en-US"/>
              </w:rPr>
            </m:ctrlPr>
          </m:radPr>
          <m:deg/>
          <m:e>
            <m:nary>
              <m:naryPr>
                <m:chr m:val="∑"/>
                <m:limLoc m:val="subSup"/>
                <m:supHide m:val="1"/>
                <m:ctrlPr>
                  <w:rPr>
                    <w:rFonts w:ascii="Cambria Math" w:eastAsia="Cambria Math" w:hAnsi="Cambria Math"/>
                    <w:i/>
                    <w:lang w:val="en-US"/>
                  </w:rPr>
                </m:ctrlPr>
              </m:naryPr>
              <m:sub>
                <m:r>
                  <w:rPr>
                    <w:rFonts w:ascii="Cambria Math" w:hAnsi="Cambria Math"/>
                    <w:lang w:val="en-US"/>
                  </w:rPr>
                  <m:t>i</m:t>
                </m:r>
              </m:sub>
              <m:sup/>
              <m:e>
                <m:sSup>
                  <m:sSupPr>
                    <m:ctrlPr>
                      <w:rPr>
                        <w:rFonts w:ascii="Cambria Math" w:eastAsia="Cambria Math" w:hAnsi="Cambria Math"/>
                        <w:i/>
                        <w:lang w:val="en-US"/>
                      </w:rPr>
                    </m:ctrlPr>
                  </m:sSupPr>
                  <m:e>
                    <m:sSub>
                      <m:sSubPr>
                        <m:ctrlPr>
                          <w:rPr>
                            <w:rFonts w:ascii="Cambria Math" w:eastAsia="Cambria Math" w:hAnsi="Cambria Math"/>
                            <w:i/>
                            <w:lang w:val="en-US"/>
                          </w:rPr>
                        </m:ctrlPr>
                      </m:sSubPr>
                      <m:e>
                        <m:r>
                          <w:rPr>
                            <w:rFonts w:ascii="Cambria Math" w:hAnsi="Cambria Math"/>
                            <w:lang w:val="en-US"/>
                          </w:rPr>
                          <m:t>x</m:t>
                        </m:r>
                      </m:e>
                      <m:sub>
                        <m:r>
                          <w:rPr>
                            <w:rFonts w:ascii="Cambria Math" w:hAnsi="Cambria Math"/>
                            <w:lang w:val="en-US"/>
                          </w:rPr>
                          <m:t>i</m:t>
                        </m:r>
                      </m:sub>
                    </m:sSub>
                    <m:d>
                      <m:dPr>
                        <m:ctrlPr>
                          <w:rPr>
                            <w:rFonts w:ascii="Cambria Math" w:eastAsia="Cambria Math" w:hAnsi="Cambria Math"/>
                            <w:i/>
                            <w:lang w:val="en-US"/>
                          </w:rPr>
                        </m:ctrlPr>
                      </m:dPr>
                      <m:e>
                        <m:r>
                          <w:rPr>
                            <w:rFonts w:ascii="Cambria Math" w:hAnsi="Cambria Math"/>
                            <w:lang w:val="en-US"/>
                          </w:rPr>
                          <m:t>1-</m:t>
                        </m:r>
                        <m:f>
                          <m:fPr>
                            <m:type m:val="lin"/>
                            <m:ctrlPr>
                              <w:rPr>
                                <w:rFonts w:ascii="Cambria Math" w:eastAsia="Cambria Math" w:hAnsi="Cambria Math"/>
                                <w:i/>
                                <w:lang w:val="en-US"/>
                              </w:rPr>
                            </m:ctrlPr>
                          </m:fPr>
                          <m:num>
                            <m:sSub>
                              <m:sSubPr>
                                <m:ctrlPr>
                                  <w:rPr>
                                    <w:rFonts w:ascii="Cambria Math" w:eastAsia="Cambria Math" w:hAnsi="Cambria Math"/>
                                    <w:i/>
                                    <w:lang w:val="en-US"/>
                                  </w:rPr>
                                </m:ctrlPr>
                              </m:sSubPr>
                              <m:e>
                                <m:r>
                                  <w:rPr>
                                    <w:rFonts w:ascii="Cambria Math" w:hAnsi="Cambria Math"/>
                                    <w:lang w:val="en-US"/>
                                  </w:rPr>
                                  <m:t>r</m:t>
                                </m:r>
                              </m:e>
                              <m:sub>
                                <m:r>
                                  <w:rPr>
                                    <w:rFonts w:ascii="Cambria Math" w:hAnsi="Cambria Math"/>
                                    <w:lang w:val="en-US"/>
                                  </w:rPr>
                                  <m:t>i</m:t>
                                </m:r>
                              </m:sub>
                            </m:sSub>
                          </m:num>
                          <m:den>
                            <m:acc>
                              <m:accPr>
                                <m:chr m:val="̅"/>
                                <m:ctrlPr>
                                  <w:rPr>
                                    <w:rFonts w:ascii="Cambria Math" w:eastAsia="Cambria Math" w:hAnsi="Cambria Math"/>
                                    <w:i/>
                                    <w:lang w:val="en-US"/>
                                  </w:rPr>
                                </m:ctrlPr>
                              </m:accPr>
                              <m:e>
                                <m:r>
                                  <w:rPr>
                                    <w:rFonts w:ascii="Cambria Math" w:hAnsi="Cambria Math"/>
                                    <w:lang w:val="en-US"/>
                                  </w:rPr>
                                  <m:t>r</m:t>
                                </m:r>
                              </m:e>
                            </m:acc>
                          </m:den>
                        </m:f>
                      </m:e>
                    </m:d>
                  </m:e>
                  <m:sup>
                    <m:r>
                      <w:rPr>
                        <w:rFonts w:ascii="Cambria Math" w:hAnsi="Cambria Math"/>
                        <w:lang w:val="en-US"/>
                      </w:rPr>
                      <m:t>2</m:t>
                    </m:r>
                  </m:sup>
                </m:sSup>
              </m:e>
            </m:nary>
          </m:e>
        </m:rad>
      </m:oMath>
      <w:r w:rsidRPr="000A4838">
        <w:rPr>
          <w:lang w:val="en-US"/>
        </w:rPr>
        <w:t xml:space="preserve">​ must typically remain below ~6 % to prevent elastic‐strain–induced phase separation </w:t>
      </w:r>
      <w:r w:rsidRPr="000A4838">
        <w:rPr>
          <w:lang w:val="en-US"/>
        </w:rPr>
        <w:fldChar w:fldCharType="begin"/>
      </w:r>
      <w:r w:rsidR="00B77C17">
        <w:rPr>
          <w:lang w:val="en-US"/>
        </w:rPr>
        <w:instrText xml:space="preserve"> ADDIN ZOTERO_ITEM CSL_CITATION {"citationID":"9PRaRrOk","properties":{"formattedCitation":"\\super 29\\uc0\\u8211{}32\\nosupersub{}","plainCitation":"29–32","noteIndex":0},"citationItems":[{"id":"WO14yun4/X8CK5Gjp","uris":["http://zotero.org/users/17063511/items/LQMXKF8M"],"itemData":{"id":204,"type":"article-journal","abstract":"The present study combines density functional theory (DFT) based calculations and experimental techniques to investigate the formation of equiatomic quaternary “low-activation\" high entropy alloys (HEAs) for nuclear fission/fusion applications. DFT based techniques are adopted to screen the formation of possible single-phase ternary and quaternary alloys in chemical space consisting of the low-activation elements (Ti, V, Cr, Mn, Fe, Ta and W). The results indicate that TaTiVW and CrFeMnV can be formed in a single body centred cubic phase (BCC). Based on the DFT based screening, HEAs are fabricated by a vacuum arc melting process. Further characterisation by X-ray diffraction, energy dispersive X-Ray analysis, X-ray fluorescence and scanning electron microscopy confirms the formation of TaTiVW in a BCC single phase. Microstructures of CrTiVW and CrTaVW in as-cast conditions, consist of two BCC phases with very similar lattice parameters. CrTaTiW and CrTaTiV showed evidence of C15 Laves formation comprising of TaCr2 and TiV2, respectively.","container-title":"Journal of Alloys and Compounds","DOI":"10.1016/j.jallcom.2022.164526","journalAbbreviation":"Journal of Alloys and Compounds","page":"164526","source":"ResearchGate","title":"Design Principles of low-activation High Entropy Alloys","volume":"907","author":[{"family":"Tan","given":"Liangzhi"},{"family":"Ali","given":"Kawsar"},{"family":"Ghosh","given":"Partha"},{"family":"Arya","given":"Ashok"},{"family":"Zhou","given":"Ying"},{"family":"Smith","given":"Roger"},{"family":"Goddard","given":"Pooja"},{"family":"Patel","given":"Dhinisa"},{"family":"Shahmir","given":"Hamed"},{"family":"Gandy","given":"Amy"}],"issued":{"date-parts":[["2022",3,1]]}},"label":"page"},{"id":"WO14yun4/XBzqRkAk","uris":["http://zotero.org/users/17063511/items/U3CGREXV"],"itemData":{"id":201,"type":"article-journal","abstract":"In high-entropy alloys (HEAs), the thermodynamics govern alloy formation, phase stability, and overall phase-transition characteristics. Over the past decade, many thermodynamic parameters have been proposed for predicting the stability of HEA systems. Herein, analysis of these parameters are carried out carefully with the available data from the literature. It is found that all these parameters are not fully independent from each other and there exists a bridge of interconnection between them. Herein, inter-dependency relationships between the thermodynamic parameters are derived for predicting the stability of solid solution in HEAs. It is found that parameters with large and complex equations are not essentially required; instead the simple parameters ϕ, Ω, and δ are sufficient for predicting the stability of HEA systems.","container-title":"Advanced Engineering Materials","DOI":"10.1002/adem.201900251","ISSN":"1527-2648","issue":"9","language":"en","license":"© 2019 WILEY-VCH Verlag GmbH &amp; Co. KGaA, Weinheim","note":"_eprint: https://onlinelibrary.wiley.com/doi/pdf/10.1002/adem.201900251","page":"1900251","source":"Wiley Online Library","title":"Inter-Dependency Relationships in High-Entropy Alloys: Phase Stability Criteria","title-short":"Inter-Dependency Relationships in High-Entropy Alloys","volume":"21","author":[{"family":"Chauhan","given":"Pranjal"},{"family":"Chopra","given":"Swamini"},{"family":"Thangaraju","given":"Shanmugasundaram"}],"issued":{"date-parts":[["2019"]]}},"label":"page"},{"id":"WO14yun4/oPBlOdrL","uris":["http://zotero.org/users/17063511/items/JUYTZ74F"],"itemData":{"id":202,"type":"article-journal","abstract":"High-entropy alloys (HEAs) composed of multiprincipal elements with near-equiatomic ratio have gained numerous attention in recent years. The design concept and unique microstructure make them exhibit a wide range of attractive properties, promoting them suitable for most structural and functional applications. HEAs have four core effects: severe lattice distortion, high entropy, sluggish diffusion, and cocktail effects, which are all interconnected. Among these core effects, severe lattice distortion is seen as the most key factor in determining the properties of HEAs. Recent findings prove that phase selection in HEAs cannot be described by the maximized entropy theory alone. As such, the phase formation principles in terms of single-phase and multiphase formation criteria are summarized. Severe lattice distortion affecting the mechanical properties and polymorphism of HEAs is reviewed. Several strategies, which have recently been successfully applied in overcoming the “strength–ductility trade-off” in HEAs, are discussed. Some key unsolved questions concerning the lattice distortion in HEAs which could be interesting research topics in the future are suggested.","container-title":"Advanced Engineering Materials","DOI":"10.1002/adem.202000466","ISSN":"1527-2648","issue":"11","language":"en","license":"© 2020 WILEY-VCH Verlag GmbH &amp; Co. KGaA, Weinheim","note":"_eprint: https://onlinelibrary.wiley.com/doi/pdf/10.1002/adem.202000466","page":"2000466","source":"Wiley Online Library","title":"Phase Selection, Lattice Distortions, and Mechanical Properties in High-Entropy Alloys","volume":"22","author":[{"family":"Nutor","given":"Raymond Kwesi"},{"family":"Cao","given":"Qingping"},{"family":"Wang","given":"Xiaodong"},{"family":"Zhang","given":"Dongxian"},{"family":"Fang","given":"Yunzhang"},{"family":"Zhang","given":"Yong"},{"family":"Jiang","given":"Jian-Zhong"}],"issued":{"date-parts":[["2020"]]}},"label":"page"},{"id":"WO14yun4/Nttx5ziZ","uris":["http://zotero.org/users/17063511/items/2AUR3VPL"],"itemData":{"id":199,"type":"article-journal","abstract":"Phase formation for the multi-component alloys has been predicted by calculating parameter Ω and δ for typical multi-component alloys reported. Here, Ω is defined as a parameter of the entropy of mixing timing the average melting temperature of the elements over the enthalpy of mixing, δ is the mean square deviation of the atomic size of elements. It shows that the high-entropy (HE) stabilized solid-solution is located at Ω≥1.1 and δ≤6.6%.","container-title":"Materials Chemistry and Physics","DOI":"10.1016/j.matchemphys.2011.11.021","ISSN":"0254-0584","issue":"2","journalAbbreviation":"Materials Chemistry and Physics","page":"233-238","source":"ScienceDirect","title":"Prediction of high-entropy stabilized solid-solution in multi-component alloys","volume":"132","author":[{"family":"Yang","given":"X."},{"family":"Zhang","given":"Y."}],"issued":{"date-parts":[["2012",2,15]]}},"label":"page"}],"schema":"https://github.com/citation-style-language/schema/raw/master/csl-citation.json"}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29–32</w:t>
      </w:r>
      <w:r w:rsidRPr="000A4838">
        <w:rPr>
          <w:lang w:val="en-US"/>
        </w:rPr>
        <w:fldChar w:fldCharType="end"/>
      </w:r>
      <w:r w:rsidRPr="000A4838">
        <w:rPr>
          <w:lang w:val="en-US"/>
        </w:rPr>
        <w:t>. Off-equimolar changes should therefore not introduce extreme size mismatch.</w:t>
      </w:r>
    </w:p>
    <w:p w:rsidR="007419CB" w:rsidRPr="000A4838" w:rsidRDefault="007419CB" w:rsidP="00F949EF">
      <w:pPr>
        <w:pStyle w:val="Paragraphedeliste"/>
        <w:numPr>
          <w:ilvl w:val="0"/>
          <w:numId w:val="2"/>
        </w:numPr>
        <w:spacing w:after="160" w:line="480" w:lineRule="auto"/>
        <w:contextualSpacing w:val="0"/>
        <w:rPr>
          <w:lang w:val="en-US"/>
        </w:rPr>
      </w:pPr>
      <w:r w:rsidRPr="000A4838">
        <w:rPr>
          <w:lang w:val="en-US"/>
        </w:rPr>
        <w:t xml:space="preserve">Ensure a high </w:t>
      </w:r>
      <m:oMath>
        <m:f>
          <m:fPr>
            <m:type m:val="lin"/>
            <m:ctrlPr>
              <w:rPr>
                <w:rFonts w:ascii="Cambria Math" w:eastAsia="Cambria Math" w:hAnsi="Cambria Math"/>
                <w:lang w:val="en-US"/>
              </w:rPr>
            </m:ctrlPr>
          </m:fPr>
          <m:num>
            <m:sSub>
              <m:sSubPr>
                <m:ctrlPr>
                  <w:rPr>
                    <w:rFonts w:ascii="Cambria Math" w:eastAsia="Cambria Math" w:hAnsi="Cambria Math"/>
                    <w:lang w:val="en-US"/>
                  </w:rPr>
                </m:ctrlPr>
              </m:sSubPr>
              <m:e>
                <m:r>
                  <m:rPr>
                    <m:sty m:val="p"/>
                  </m:rPr>
                  <w:rPr>
                    <w:rFonts w:ascii="Cambria Math" w:hAnsi="Cambria Math"/>
                    <w:lang w:val="en-US"/>
                  </w:rPr>
                  <m:t>Ω=</m:t>
                </m:r>
                <m:r>
                  <w:rPr>
                    <w:rFonts w:ascii="Cambria Math" w:hAnsi="Cambria Math"/>
                    <w:lang w:val="en-US"/>
                  </w:rPr>
                  <m:t>T</m:t>
                </m:r>
              </m:e>
              <m:sub>
                <m:r>
                  <w:rPr>
                    <w:rFonts w:ascii="Cambria Math" w:hAnsi="Cambria Math"/>
                    <w:lang w:val="en-US"/>
                  </w:rPr>
                  <m:t>m</m:t>
                </m:r>
              </m:sub>
            </m:sSub>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num>
          <m:den>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H</m:t>
                </m:r>
              </m:e>
              <m:sub>
                <m:r>
                  <m:rPr>
                    <m:sty m:val="p"/>
                  </m:rPr>
                  <w:rPr>
                    <w:rFonts w:ascii="Cambria Math" w:hAnsi="Cambria Math"/>
                    <w:lang w:val="en-US"/>
                  </w:rPr>
                  <m:t>mix</m:t>
                </m:r>
              </m:sub>
            </m:sSub>
          </m:den>
        </m:f>
      </m:oMath>
      <w:r w:rsidRPr="000A4838">
        <w:rPr>
          <w:lang w:val="en-US"/>
        </w:rPr>
        <w:t xml:space="preserve"> parameter</w:t>
      </w:r>
    </w:p>
    <w:p w:rsidR="007419CB" w:rsidRPr="000A4838" w:rsidRDefault="007419CB" w:rsidP="0021751D">
      <w:pPr>
        <w:pStyle w:val="Paragraphedeliste"/>
        <w:spacing w:after="160" w:line="480" w:lineRule="auto"/>
        <w:ind w:left="0"/>
        <w:contextualSpacing w:val="0"/>
        <w:rPr>
          <w:lang w:val="en-US"/>
        </w:rPr>
      </w:pPr>
      <w:r>
        <w:rPr>
          <w:lang w:val="en-US"/>
        </w:rPr>
        <w:t xml:space="preserve">The condition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G</m:t>
            </m:r>
          </m:e>
          <m:sub>
            <m:r>
              <m:rPr>
                <m:sty m:val="p"/>
              </m:rPr>
              <w:rPr>
                <w:rFonts w:ascii="Cambria Math" w:hAnsi="Cambria Math"/>
                <w:lang w:val="en-US"/>
              </w:rPr>
              <m:t>mix</m:t>
            </m:r>
          </m:sub>
        </m:sSub>
        <m:r>
          <w:rPr>
            <w:rFonts w:ascii="Cambria Math" w:eastAsia="Cambria Math" w:hAnsi="Cambria Math"/>
            <w:lang w:val="en-US"/>
          </w:rPr>
          <m:t>&lt;0</m:t>
        </m:r>
      </m:oMath>
      <w:r>
        <w:rPr>
          <w:rFonts w:eastAsiaTheme="minorEastAsia"/>
          <w:lang w:val="en-US"/>
        </w:rPr>
        <w:t xml:space="preserve"> ensures </w:t>
      </w:r>
      <m:oMath>
        <m:r>
          <m:rPr>
            <m:sty m:val="p"/>
          </m:rPr>
          <w:rPr>
            <w:rFonts w:ascii="Cambria Math" w:hAnsi="Cambria Math"/>
            <w:lang w:val="en-US"/>
          </w:rPr>
          <m:t>Ω</m:t>
        </m:r>
        <m:r>
          <w:rPr>
            <w:rFonts w:ascii="Cambria Math" w:hAnsi="Cambria Math"/>
            <w:lang w:val="en-US"/>
          </w:rPr>
          <m:t>&gt; 1</m:t>
        </m:r>
      </m:oMath>
      <w:r>
        <w:rPr>
          <w:lang w:val="en-US"/>
        </w:rPr>
        <w:t xml:space="preserve">. </w:t>
      </w:r>
      <w:r w:rsidRPr="000A4838">
        <w:rPr>
          <w:lang w:val="en-US"/>
        </w:rPr>
        <w:t xml:space="preserve">A value </w:t>
      </w:r>
      <m:oMath>
        <m:r>
          <m:rPr>
            <m:sty m:val="p"/>
          </m:rPr>
          <w:rPr>
            <w:rFonts w:ascii="Cambria Math" w:hAnsi="Cambria Math"/>
            <w:lang w:val="en-US"/>
          </w:rPr>
          <m:t>Ω</m:t>
        </m:r>
        <m:r>
          <w:rPr>
            <w:rFonts w:ascii="Cambria Math" w:hAnsi="Cambria Math"/>
            <w:lang w:val="en-US"/>
          </w:rPr>
          <m:t>&gt; 1.1</m:t>
        </m:r>
      </m:oMath>
      <w:r w:rsidRPr="000A4838">
        <w:rPr>
          <w:lang w:val="en-US"/>
        </w:rPr>
        <w:t xml:space="preserve"> at the synthesis temperature (often </w:t>
      </w:r>
      <m:oMath>
        <m:r>
          <w:rPr>
            <w:rFonts w:ascii="Cambria Math" w:hAnsi="Cambria Math"/>
            <w:lang w:val="en-US"/>
          </w:rPr>
          <m:t>≳ 0.9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oMath>
      <w:r w:rsidRPr="000A4838">
        <w:rPr>
          <w:lang w:val="en-US"/>
        </w:rPr>
        <w:t xml:space="preserve">) guarantees that entropy outweighs enthalpy, thus favoring a disordered solid solution </w:t>
      </w:r>
      <w:r w:rsidRPr="000A4838">
        <w:rPr>
          <w:lang w:val="en-US"/>
        </w:rPr>
        <w:fldChar w:fldCharType="begin"/>
      </w:r>
      <w:r w:rsidR="00B77C17">
        <w:rPr>
          <w:lang w:val="en-US"/>
        </w:rPr>
        <w:instrText xml:space="preserve"> ADDIN ZOTERO_ITEM CSL_CITATION {"citationID":"33VCRjYh","properties":{"formattedCitation":"\\super 29\\uc0\\u8211{}32\\nosupersub{}","plainCitation":"29–32","noteIndex":0},"citationItems":[{"id":"WO14yun4/X8CK5Gjp","uris":["http://zotero.org/users/17063511/items/LQMXKF8M"],"itemData":{"id":204,"type":"article-journal","abstract":"The present study combines density functional theory (DFT) based calculations and experimental techniques to investigate the formation of equiatomic quaternary “low-activation\" high entropy alloys (HEAs) for nuclear fission/fusion applications. DFT based techniques are adopted to screen the formation of possible single-phase ternary and quaternary alloys in chemical space consisting of the low-activation elements (Ti, V, Cr, Mn, Fe, Ta and W). The results indicate that TaTiVW and CrFeMnV can be formed in a single body centred cubic phase (BCC). Based on the DFT based screening, HEAs are fabricated by a vacuum arc melting process. Further characterisation by X-ray diffraction, energy dispersive X-Ray analysis, X-ray fluorescence and scanning electron microscopy confirms the formation of TaTiVW in a BCC single phase. Microstructures of CrTiVW and CrTaVW in as-cast conditions, consist of two BCC phases with very similar lattice parameters. CrTaTiW and CrTaTiV showed evidence of C15 Laves formation comprising of TaCr2 and TiV2, respectively.","container-title":"Journal of Alloys and Compounds","DOI":"10.1016/j.jallcom.2022.164526","journalAbbreviation":"Journal of Alloys and Compounds","page":"164526","source":"ResearchGate","title":"Design Principles of low-activation High Entropy Alloys","volume":"907","author":[{"family":"Tan","given":"Liangzhi"},{"family":"Ali","given":"Kawsar"},{"family":"Ghosh","given":"Partha"},{"family":"Arya","given":"Ashok"},{"family":"Zhou","given":"Ying"},{"family":"Smith","given":"Roger"},{"family":"Goddard","given":"Pooja"},{"family":"Patel","given":"Dhinisa"},{"family":"Shahmir","given":"Hamed"},{"family":"Gandy","given":"Amy"}],"issued":{"date-parts":[["2022",3,1]]}},"label":"page"},{"id":"WO14yun4/XBzqRkAk","uris":["http://zotero.org/users/17063511/items/U3CGREXV"],"itemData":{"id":201,"type":"article-journal","abstract":"In high-entropy alloys (HEAs), the thermodynamics govern alloy formation, phase stability, and overall phase-transition characteristics. Over the past decade, many thermodynamic parameters have been proposed for predicting the stability of HEA systems. Herein, analysis of these parameters are carried out carefully with the available data from the literature. It is found that all these parameters are not fully independent from each other and there exists a bridge of interconnection between them. Herein, inter-dependency relationships between the thermodynamic parameters are derived for predicting the stability of solid solution in HEAs. It is found that parameters with large and complex equations are not essentially required; instead the simple parameters ϕ, Ω, and δ are sufficient for predicting the stability of HEA systems.","container-title":"Advanced Engineering Materials","DOI":"10.1002/adem.201900251","ISSN":"1527-2648","issue":"9","language":"en","license":"© 2019 WILEY-VCH Verlag GmbH &amp; Co. KGaA, Weinheim","note":"_eprint: https://onlinelibrary.wiley.com/doi/pdf/10.1002/adem.201900251","page":"1900251","source":"Wiley Online Library","title":"Inter-Dependency Relationships in High-Entropy Alloys: Phase Stability Criteria","title-short":"Inter-Dependency Relationships in High-Entropy Alloys","volume":"21","author":[{"family":"Chauhan","given":"Pranjal"},{"family":"Chopra","given":"Swamini"},{"family":"Thangaraju","given":"Shanmugasundaram"}],"issued":{"date-parts":[["2019"]]}},"label":"page"},{"id":"WO14yun4/oPBlOdrL","uris":["http://zotero.org/users/17063511/items/JUYTZ74F"],"itemData":{"id":202,"type":"article-journal","abstract":"High-entropy alloys (HEAs) composed of multiprincipal elements with near-equiatomic ratio have gained numerous attention in recent years. The design concept and unique microstructure make them exhibit a wide range of attractive properties, promoting them suitable for most structural and functional applications. HEAs have four core effects: severe lattice distortion, high entropy, sluggish diffusion, and cocktail effects, which are all interconnected. Among these core effects, severe lattice distortion is seen as the most key factor in determining the properties of HEAs. Recent findings prove that phase selection in HEAs cannot be described by the maximized entropy theory alone. As such, the phase formation principles in terms of single-phase and multiphase formation criteria are summarized. Severe lattice distortion affecting the mechanical properties and polymorphism of HEAs is reviewed. Several strategies, which have recently been successfully applied in overcoming the “strength–ductility trade-off” in HEAs, are discussed. Some key unsolved questions concerning the lattice distortion in HEAs which could be interesting research topics in the future are suggested.","container-title":"Advanced Engineering Materials","DOI":"10.1002/adem.202000466","ISSN":"1527-2648","issue":"11","language":"en","license":"© 2020 WILEY-VCH Verlag GmbH &amp; Co. KGaA, Weinheim","note":"_eprint: https://onlinelibrary.wiley.com/doi/pdf/10.1002/adem.202000466","page":"2000466","source":"Wiley Online Library","title":"Phase Selection, Lattice Distortions, and Mechanical Properties in High-Entropy Alloys","volume":"22","author":[{"family":"Nutor","given":"Raymond Kwesi"},{"family":"Cao","given":"Qingping"},{"family":"Wang","given":"Xiaodong"},{"family":"Zhang","given":"Dongxian"},{"family":"Fang","given":"Yunzhang"},{"family":"Zhang","given":"Yong"},{"family":"Jiang","given":"Jian-Zhong"}],"issued":{"date-parts":[["2020"]]}},"label":"page"},{"id":"WO14yun4/Nttx5ziZ","uris":["http://zotero.org/users/17063511/items/2AUR3VPL"],"itemData":{"id":199,"type":"article-journal","abstract":"Phase formation for the multi-component alloys has been predicted by calculating parameter Ω and δ for typical multi-component alloys reported. Here, Ω is defined as a parameter of the entropy of mixing timing the average melting temperature of the elements over the enthalpy of mixing, δ is the mean square deviation of the atomic size of elements. It shows that the high-entropy (HE) stabilized solid-solution is located at Ω≥1.1 and δ≤6.6%.","container-title":"Materials Chemistry and Physics","DOI":"10.1016/j.matchemphys.2011.11.021","ISSN":"0254-0584","issue":"2","journalAbbreviation":"Materials Chemistry and Physics","page":"233-238","source":"ScienceDirect","title":"Prediction of high-entropy stabilized solid-solution in multi-component alloys","volume":"132","author":[{"family":"Yang","given":"X."},{"family":"Zhang","given":"Y."}],"issued":{"date-parts":[["2012",2,15]]}},"label":"page"}],"schema":"https://github.com/citation-style-language/schema/raw/master/csl-citation.json"} </w:instrText>
      </w:r>
      <w:r w:rsidRPr="000A4838">
        <w:rPr>
          <w:lang w:val="en-US"/>
        </w:rPr>
        <w:fldChar w:fldCharType="separate"/>
      </w:r>
      <w:r w:rsidR="00B77C17" w:rsidRPr="00B77C17">
        <w:rPr>
          <w:rFonts w:cs="Times New Roman"/>
          <w:szCs w:val="24"/>
          <w:vertAlign w:val="superscript"/>
        </w:rPr>
        <w:t>29–32</w:t>
      </w:r>
      <w:r w:rsidRPr="000A4838">
        <w:rPr>
          <w:lang w:val="en-US"/>
        </w:rPr>
        <w:fldChar w:fldCharType="end"/>
      </w:r>
      <w:r w:rsidRPr="000A4838">
        <w:rPr>
          <w:lang w:val="en-US"/>
        </w:rPr>
        <w:t>.</w:t>
      </w:r>
    </w:p>
    <w:p w:rsidR="007419CB" w:rsidRPr="000A4838" w:rsidRDefault="007419CB" w:rsidP="00F949EF">
      <w:pPr>
        <w:pStyle w:val="Paragraphedeliste"/>
        <w:numPr>
          <w:ilvl w:val="0"/>
          <w:numId w:val="2"/>
        </w:numPr>
        <w:spacing w:after="160" w:line="480" w:lineRule="auto"/>
        <w:contextualSpacing w:val="0"/>
        <w:rPr>
          <w:lang w:val="en-US"/>
        </w:rPr>
      </w:pPr>
      <w:r w:rsidRPr="000A4838">
        <w:rPr>
          <w:lang w:val="en-US"/>
        </w:rPr>
        <w:t>Check valence‐electron concentration (VEC) for structure control</w:t>
      </w:r>
    </w:p>
    <w:p w:rsidR="007419CB" w:rsidRPr="000A4838" w:rsidRDefault="007419CB" w:rsidP="0021751D">
      <w:pPr>
        <w:pStyle w:val="Paragraphedeliste"/>
        <w:spacing w:after="160" w:line="480" w:lineRule="auto"/>
        <w:ind w:left="0"/>
        <w:contextualSpacing w:val="0"/>
        <w:rPr>
          <w:lang w:val="en-US"/>
        </w:rPr>
      </w:pPr>
      <w:r w:rsidRPr="000A4838">
        <w:rPr>
          <w:lang w:val="en-US"/>
        </w:rPr>
        <w:t xml:space="preserve">While not part of the core thermodynamic model, monitoring VEC can help predict whether the phase will adopt BCC (VEC ≲ 6.8) or FCC (VEC ≳ 8.0) symmetry, facilitating targeted microstructural design </w:t>
      </w:r>
      <w:r w:rsidRPr="000A4838">
        <w:rPr>
          <w:lang w:val="en-US"/>
        </w:rPr>
        <w:fldChar w:fldCharType="begin"/>
      </w:r>
      <w:r w:rsidR="00B77C17">
        <w:rPr>
          <w:lang w:val="en-US"/>
        </w:rPr>
        <w:instrText xml:space="preserve"> ADDIN ZOTERO_ITEM CSL_CITATION {"citationID":"Q4fzaKgB","properties":{"formattedCitation":"\\super 29\\uc0\\u8211{}32\\nosupersub{}","plainCitation":"29–32","noteIndex":0},"citationItems":[{"id":"WO14yun4/X8CK5Gjp","uris":["http://zotero.org/users/17063511/items/LQMXKF8M"],"itemData":{"id":204,"type":"article-journal","abstract":"The present study combines density functional theory (DFT) based calculations and experimental techniques to investigate the formation of equiatomic quaternary “low-activation\" high entropy alloys (HEAs) for nuclear fission/fusion applications. DFT based techniques are adopted to screen the formation of possible single-phase ternary and quaternary alloys in chemical space consisting of the low-activation elements (Ti, V, Cr, Mn, Fe, Ta and W). The results indicate that TaTiVW and CrFeMnV can be formed in a single body centred cubic phase (BCC). Based on the DFT based screening, HEAs are fabricated by a vacuum arc melting process. Further characterisation by X-ray diffraction, energy dispersive X-Ray analysis, X-ray fluorescence and scanning electron microscopy confirms the formation of TaTiVW in a BCC single phase. Microstructures of CrTiVW and CrTaVW in as-cast conditions, consist of two BCC phases with very similar lattice parameters. CrTaTiW and CrTaTiV showed evidence of C15 Laves formation comprising of TaCr2 and TiV2, respectively.","container-title":"Journal of Alloys and Compounds","DOI":"10.1016/j.jallcom.2022.164526","journalAbbreviation":"Journal of Alloys and Compounds","page":"164526","source":"ResearchGate","title":"Design Principles of low-activation High Entropy Alloys","volume":"907","author":[{"family":"Tan","given":"Liangzhi"},{"family":"Ali","given":"Kawsar"},{"family":"Ghosh","given":"Partha"},{"family":"Arya","given":"Ashok"},{"family":"Zhou","given":"Ying"},{"family":"Smith","given":"Roger"},{"family":"Goddard","given":"Pooja"},{"family":"Patel","given":"Dhinisa"},{"family":"Shahmir","given":"Hamed"},{"family":"Gandy","given":"Amy"}],"issued":{"date-parts":[["2022",3,1]]}},"label":"page"},{"id":"WO14yun4/XBzqRkAk","uris":["http://zotero.org/users/17063511/items/U3CGREXV"],"itemData":{"id":201,"type":"article-journal","abstract":"In high-entropy alloys (HEAs), the thermodynamics govern alloy formation, phase stability, and overall phase-transition characteristics. Over the past decade, many thermodynamic parameters have been proposed for predicting the stability of HEA systems. Herein, analysis of these parameters are carried out carefully with the available data from the literature. It is found that all these parameters are not fully independent from each other and there exists a bridge of interconnection between them. Herein, inter-dependency relationships between the thermodynamic parameters are derived for predicting the stability of solid solution in HEAs. It is found that parameters with large and complex equations are not essentially required; instead the simple parameters ϕ, Ω, and δ are sufficient for predicting the stability of HEA systems.","container-title":"Advanced Engineering Materials","DOI":"10.1002/adem.201900251","ISSN":"1527-2648","issue":"9","language":"en","license":"© 2019 WILEY-VCH Verlag GmbH &amp; Co. KGaA, Weinheim","note":"_eprint: https://onlinelibrary.wiley.com/doi/pdf/10.1002/adem.201900251","page":"1900251","source":"Wiley Online Library","title":"Inter-Dependency Relationships in High-Entropy Alloys: Phase Stability Criteria","title-short":"Inter-Dependency Relationships in High-Entropy Alloys","volume":"21","author":[{"family":"Chauhan","given":"Pranjal"},{"family":"Chopra","given":"Swamini"},{"family":"Thangaraju","given":"Shanmugasundaram"}],"issued":{"date-parts":[["2019"]]}},"label":"page"},{"id":"WO14yun4/oPBlOdrL","uris":["http://zotero.org/users/17063511/items/JUYTZ74F"],"itemData":{"id":202,"type":"article-journal","abstract":"High-entropy alloys (HEAs) composed of multiprincipal elements with near-equiatomic ratio have gained numerous attention in recent years. The design concept and unique microstructure make them exhibit a wide range of attractive properties, promoting them suitable for most structural and functional applications. HEAs have four core effects: severe lattice distortion, high entropy, sluggish diffusion, and cocktail effects, which are all interconnected. Among these core effects, severe lattice distortion is seen as the most key factor in determining the properties of HEAs. Recent findings prove that phase selection in HEAs cannot be described by the maximized entropy theory alone. As such, the phase formation principles in terms of single-phase and multiphase formation criteria are summarized. Severe lattice distortion affecting the mechanical properties and polymorphism of HEAs is reviewed. Several strategies, which have recently been successfully applied in overcoming the “strength–ductility trade-off” in HEAs, are discussed. Some key unsolved questions concerning the lattice distortion in HEAs which could be interesting research topics in the future are suggested.","container-title":"Advanced Engineering Materials","DOI":"10.1002/adem.202000466","ISSN":"1527-2648","issue":"11","language":"en","license":"© 2020 WILEY-VCH Verlag GmbH &amp; Co. KGaA, Weinheim","note":"_eprint: https://onlinelibrary.wiley.com/doi/pdf/10.1002/adem.202000466","page":"2000466","source":"Wiley Online Library","title":"Phase Selection, Lattice Distortions, and Mechanical Properties in High-Entropy Alloys","volume":"22","author":[{"family":"Nutor","given":"Raymond Kwesi"},{"family":"Cao","given":"Qingping"},{"family":"Wang","given":"Xiaodong"},{"family":"Zhang","given":"Dongxian"},{"family":"Fang","given":"Yunzhang"},{"family":"Zhang","given":"Yong"},{"family":"Jiang","given":"Jian-Zhong"}],"issued":{"date-parts":[["2020"]]}},"label":"page"},{"id":"WO14yun4/Nttx5ziZ","uris":["http://zotero.org/users/17063511/items/2AUR3VPL"],"itemData":{"id":199,"type":"article-journal","abstract":"Phase formation for the multi-component alloys has been predicted by calculating parameter Ω and δ for typical multi-component alloys reported. Here, Ω is defined as a parameter of the entropy of mixing timing the average melting temperature of the elements over the enthalpy of mixing, δ is the mean square deviation of the atomic size of elements. It shows that the high-entropy (HE) stabilized solid-solution is located at Ω≥1.1 and δ≤6.6%.","container-title":"Materials Chemistry and Physics","DOI":"10.1016/j.matchemphys.2011.11.021","ISSN":"0254-0584","issue":"2","journalAbbreviation":"Materials Chemistry and Physics","page":"233-238","source":"ScienceDirect","title":"Prediction of high-entropy stabilized solid-solution in multi-component alloys","volume":"132","author":[{"family":"Yang","given":"X."},{"family":"Zhang","given":"Y."}],"issued":{"date-parts":[["2012",2,15]]}},"label":"page"}],"schema":"https://github.com/citation-style-language/schema/raw/master/csl-citation.json"}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29–32</w:t>
      </w:r>
      <w:r w:rsidRPr="000A4838">
        <w:rPr>
          <w:lang w:val="en-US"/>
        </w:rPr>
        <w:fldChar w:fldCharType="end"/>
      </w:r>
      <w:r w:rsidRPr="000A4838">
        <w:rPr>
          <w:lang w:val="en-US"/>
        </w:rPr>
        <w:t>.</w:t>
      </w:r>
    </w:p>
    <w:p w:rsidR="007419CB" w:rsidRPr="000A4838" w:rsidRDefault="007419CB" w:rsidP="0021751D">
      <w:pPr>
        <w:pStyle w:val="Paragraphedeliste"/>
        <w:spacing w:after="160" w:line="480" w:lineRule="auto"/>
        <w:contextualSpacing w:val="0"/>
        <w:rPr>
          <w:lang w:val="en-US"/>
        </w:rPr>
      </w:pPr>
    </w:p>
    <w:p w:rsidR="007419CB" w:rsidRDefault="007419CB" w:rsidP="0021751D">
      <w:pPr>
        <w:pStyle w:val="Paragraphedeliste"/>
        <w:spacing w:after="160" w:line="480" w:lineRule="auto"/>
        <w:ind w:left="0"/>
        <w:contextualSpacing w:val="0"/>
        <w:rPr>
          <w:lang w:val="en-US"/>
        </w:rPr>
      </w:pPr>
      <w:r w:rsidRPr="009B1B62">
        <w:rPr>
          <w:lang w:val="en-US"/>
        </w:rPr>
        <w:t>To explore off-equimolar regions around the 30 201 candidates quinary HEA compositions, the procedure follows two main steps: semi-random stoichiometry generation and an initial thermogeometric filtering stage.</w:t>
      </w:r>
    </w:p>
    <w:p w:rsidR="007419CB" w:rsidRPr="00092C88" w:rsidRDefault="007419CB" w:rsidP="0021751D">
      <w:pPr>
        <w:pStyle w:val="Paragraphedeliste"/>
        <w:spacing w:after="160" w:line="480" w:lineRule="auto"/>
        <w:ind w:left="0"/>
        <w:contextualSpacing w:val="0"/>
        <w:rPr>
          <w:highlight w:val="yellow"/>
          <w:lang w:val="en-US"/>
        </w:rPr>
      </w:pPr>
    </w:p>
    <w:p w:rsidR="007419CB" w:rsidRPr="000A4838" w:rsidRDefault="007419CB" w:rsidP="00F949EF">
      <w:pPr>
        <w:pStyle w:val="Paragraphedeliste"/>
        <w:numPr>
          <w:ilvl w:val="0"/>
          <w:numId w:val="5"/>
        </w:numPr>
        <w:spacing w:after="160" w:line="480" w:lineRule="auto"/>
        <w:contextualSpacing w:val="0"/>
        <w:rPr>
          <w:lang w:val="en-US"/>
        </w:rPr>
      </w:pPr>
      <w:r w:rsidRPr="000A4838">
        <w:rPr>
          <w:lang w:val="en-US"/>
        </w:rPr>
        <w:t>Semi-random stoichiometry generation</w:t>
      </w:r>
    </w:p>
    <w:p w:rsidR="007419CB" w:rsidRPr="000A4838" w:rsidRDefault="007419CB" w:rsidP="0021751D">
      <w:pPr>
        <w:pStyle w:val="Paragraphedeliste"/>
        <w:spacing w:after="160" w:line="480" w:lineRule="auto"/>
        <w:ind w:left="0"/>
        <w:contextualSpacing w:val="0"/>
        <w:rPr>
          <w:lang w:val="en-US"/>
        </w:rPr>
      </w:pPr>
      <m:oMath>
        <m:r>
          <w:rPr>
            <w:rFonts w:ascii="Cambria Math" w:hAnsi="Cambria Math"/>
            <w:lang w:val="en-US"/>
          </w:rPr>
          <m:t>X</m:t>
        </m:r>
      </m:oMath>
      <w:r w:rsidRPr="009B1B62">
        <w:rPr>
          <w:lang w:val="en-US"/>
        </w:rPr>
        <w:t xml:space="preserve"> denotes a uniform random variable on </w:t>
      </w:r>
      <m:oMath>
        <m:r>
          <w:rPr>
            <w:rFonts w:ascii="Cambria Math" w:hAnsi="Cambria Math"/>
            <w:lang w:val="en-US"/>
          </w:rPr>
          <m:t>[0, 1]</m:t>
        </m:r>
      </m:oMath>
      <w:r w:rsidRPr="009B1B62">
        <w:rPr>
          <w:lang w:val="en-US"/>
        </w:rPr>
        <w:t>. For each of the 30 201 base compositions:</w:t>
      </w:r>
    </w:p>
    <w:p w:rsidR="007419CB" w:rsidRPr="000A4838" w:rsidRDefault="007419CB" w:rsidP="00F949EF">
      <w:pPr>
        <w:pStyle w:val="Paragraphedeliste"/>
        <w:numPr>
          <w:ilvl w:val="0"/>
          <w:numId w:val="3"/>
        </w:numPr>
        <w:spacing w:after="160" w:line="480" w:lineRule="auto"/>
        <w:contextualSpacing w:val="0"/>
        <w:rPr>
          <w:lang w:val="en-US"/>
        </w:rPr>
      </w:pPr>
      <w:r w:rsidRPr="000A4838">
        <w:rPr>
          <w:lang w:val="en-US"/>
        </w:rPr>
        <w:t xml:space="preserve">Ten “baseline” series were generated by assigning each of the five elements a raw stoichiometry of </w:t>
      </w:r>
      <m:oMath>
        <m:r>
          <w:rPr>
            <w:rFonts w:ascii="Cambria Math" w:hAnsi="Cambria Math"/>
            <w:lang w:val="en-US"/>
          </w:rPr>
          <m:t>X</m:t>
        </m:r>
      </m:oMath>
      <w:r w:rsidRPr="000A4838">
        <w:rPr>
          <w:lang w:val="en-US"/>
        </w:rPr>
        <w:t>, prior to normalization.</w:t>
      </w:r>
    </w:p>
    <w:p w:rsidR="007419CB" w:rsidRPr="000A4838" w:rsidRDefault="007419CB" w:rsidP="00F949EF">
      <w:pPr>
        <w:pStyle w:val="Paragraphedeliste"/>
        <w:numPr>
          <w:ilvl w:val="0"/>
          <w:numId w:val="3"/>
        </w:numPr>
        <w:spacing w:after="160" w:line="480" w:lineRule="auto"/>
        <w:contextualSpacing w:val="0"/>
        <w:rPr>
          <w:lang w:val="en-US"/>
        </w:rPr>
      </w:pPr>
      <w:r w:rsidRPr="000A4838">
        <w:rPr>
          <w:lang w:val="en-US"/>
        </w:rPr>
        <w:t xml:space="preserve">Twenty system-focused series were generated to probe Al–Fe and </w:t>
      </w:r>
      <w:proofErr w:type="spellStart"/>
      <w:r w:rsidRPr="000A4838">
        <w:rPr>
          <w:lang w:val="en-US"/>
        </w:rPr>
        <w:t>Ti</w:t>
      </w:r>
      <w:proofErr w:type="spellEnd"/>
      <w:r w:rsidRPr="000A4838">
        <w:rPr>
          <w:lang w:val="en-US"/>
        </w:rPr>
        <w:t>-rich variants:</w:t>
      </w:r>
    </w:p>
    <w:p w:rsidR="007419CB" w:rsidRPr="00685B45" w:rsidRDefault="007419CB" w:rsidP="00F949EF">
      <w:pPr>
        <w:pStyle w:val="Paragraphedeliste"/>
        <w:numPr>
          <w:ilvl w:val="2"/>
          <w:numId w:val="4"/>
        </w:numPr>
        <w:spacing w:after="160" w:line="480" w:lineRule="auto"/>
        <w:contextualSpacing w:val="0"/>
        <w:rPr>
          <w:lang w:val="en-US"/>
        </w:rPr>
      </w:pPr>
      <w:r w:rsidRPr="000A4838">
        <w:rPr>
          <w:lang w:val="en-US"/>
        </w:rPr>
        <w:lastRenderedPageBreak/>
        <w:t xml:space="preserve">For Al–Fe, ten series in which Al and Fe receive raw stoichiometries of </w:t>
      </w:r>
      <m:oMath>
        <m:r>
          <w:rPr>
            <w:rFonts w:ascii="Cambria Math" w:hAnsi="Cambria Math"/>
            <w:lang w:val="en-US"/>
          </w:rPr>
          <m:t>2 + X</m:t>
        </m:r>
      </m:oMath>
      <w:r w:rsidRPr="000A4838">
        <w:rPr>
          <w:lang w:val="en-US"/>
        </w:rPr>
        <w:t>, w</w:t>
      </w:r>
      <w:proofErr w:type="spellStart"/>
      <w:r w:rsidRPr="00685B45">
        <w:rPr>
          <w:lang w:val="en-US"/>
        </w:rPr>
        <w:t>hile</w:t>
      </w:r>
      <w:proofErr w:type="spellEnd"/>
      <w:r w:rsidRPr="00685B45">
        <w:rPr>
          <w:lang w:val="en-US"/>
        </w:rPr>
        <w:t xml:space="preserve"> the remaining three elements each receive </w:t>
      </w:r>
      <m:oMath>
        <m:r>
          <w:rPr>
            <w:rFonts w:ascii="Cambria Math" w:hAnsi="Cambria Math"/>
            <w:lang w:val="en-US"/>
          </w:rPr>
          <m:t>X</m:t>
        </m:r>
      </m:oMath>
      <w:r w:rsidRPr="00685B45">
        <w:rPr>
          <w:lang w:val="en-US"/>
        </w:rPr>
        <w:t>.</w:t>
      </w:r>
    </w:p>
    <w:p w:rsidR="007419CB" w:rsidRPr="00685B45" w:rsidRDefault="007419CB" w:rsidP="00F949EF">
      <w:pPr>
        <w:pStyle w:val="Paragraphedeliste"/>
        <w:numPr>
          <w:ilvl w:val="2"/>
          <w:numId w:val="4"/>
        </w:numPr>
        <w:spacing w:after="160" w:line="480" w:lineRule="auto"/>
        <w:contextualSpacing w:val="0"/>
        <w:rPr>
          <w:lang w:val="en-US"/>
        </w:rPr>
      </w:pPr>
      <w:r w:rsidRPr="00685B45">
        <w:rPr>
          <w:lang w:val="en-US"/>
        </w:rPr>
        <w:t xml:space="preserve">For </w:t>
      </w:r>
      <w:proofErr w:type="spellStart"/>
      <w:r w:rsidRPr="00685B45">
        <w:rPr>
          <w:lang w:val="en-US"/>
        </w:rPr>
        <w:t>Ti</w:t>
      </w:r>
      <w:proofErr w:type="spellEnd"/>
      <w:r w:rsidRPr="00685B45">
        <w:rPr>
          <w:lang w:val="en-US"/>
        </w:rPr>
        <w:t xml:space="preserve">, ten series in which </w:t>
      </w:r>
      <w:proofErr w:type="spellStart"/>
      <w:r w:rsidRPr="00685B45">
        <w:rPr>
          <w:lang w:val="en-US"/>
        </w:rPr>
        <w:t>Ti</w:t>
      </w:r>
      <w:proofErr w:type="spellEnd"/>
      <w:r w:rsidRPr="00685B45">
        <w:rPr>
          <w:lang w:val="en-US"/>
        </w:rPr>
        <w:t xml:space="preserve"> receives </w:t>
      </w:r>
      <m:oMath>
        <m:r>
          <w:rPr>
            <w:rFonts w:ascii="Cambria Math" w:hAnsi="Cambria Math"/>
            <w:lang w:val="en-US"/>
          </w:rPr>
          <m:t>3 + X</m:t>
        </m:r>
      </m:oMath>
      <w:r w:rsidRPr="00685B45">
        <w:rPr>
          <w:lang w:val="en-US"/>
        </w:rPr>
        <w:t xml:space="preserve"> and all other elements receive </w:t>
      </w:r>
      <m:oMath>
        <m:r>
          <w:rPr>
            <w:rFonts w:ascii="Cambria Math" w:hAnsi="Cambria Math"/>
            <w:lang w:val="en-US"/>
          </w:rPr>
          <m:t>X</m:t>
        </m:r>
      </m:oMath>
      <w:r w:rsidRPr="00685B45">
        <w:rPr>
          <w:lang w:val="en-US"/>
        </w:rPr>
        <w:t>.</w:t>
      </w:r>
    </w:p>
    <w:p w:rsidR="007419CB" w:rsidRPr="000A4838" w:rsidRDefault="007419CB" w:rsidP="00F949EF">
      <w:pPr>
        <w:pStyle w:val="Paragraphedeliste"/>
        <w:numPr>
          <w:ilvl w:val="0"/>
          <w:numId w:val="3"/>
        </w:numPr>
        <w:spacing w:after="160" w:line="480" w:lineRule="auto"/>
        <w:contextualSpacing w:val="0"/>
        <w:rPr>
          <w:lang w:val="en-US"/>
        </w:rPr>
      </w:pPr>
      <w:r w:rsidRPr="00685B45">
        <w:rPr>
          <w:lang w:val="en-US"/>
        </w:rPr>
        <w:t xml:space="preserve">One hundred “uniformly biased” series were generated by assigning every element a raw stoichiometry of </w:t>
      </w:r>
      <m:oMath>
        <m:r>
          <w:rPr>
            <w:rFonts w:ascii="Cambria Math" w:hAnsi="Cambria Math"/>
            <w:lang w:val="en-US"/>
          </w:rPr>
          <m:t>1 + X</m:t>
        </m:r>
      </m:oMath>
      <w:r w:rsidRPr="00685B45">
        <w:rPr>
          <w:lang w:val="en-US"/>
        </w:rPr>
        <w:t xml:space="preserve">. Since </w:t>
      </w:r>
      <m:oMath>
        <m:r>
          <w:rPr>
            <w:rFonts w:ascii="Cambria Math" w:hAnsi="Cambria Math"/>
            <w:lang w:val="en-US"/>
          </w:rPr>
          <m:t>1 + X ≥ 1</m:t>
        </m:r>
      </m:oMath>
      <w:r w:rsidRPr="00685B45">
        <w:rPr>
          <w:lang w:val="en-US"/>
        </w:rPr>
        <w:t>, this guarantees</w:t>
      </w:r>
      <w:r w:rsidRPr="000A4838">
        <w:rPr>
          <w:lang w:val="en-US"/>
        </w:rPr>
        <w:t xml:space="preserve"> that after normalization each element’s atomic fraction </w:t>
      </w:r>
      <m:oMath>
        <m:r>
          <w:rPr>
            <w:rFonts w:ascii="Cambria Math" w:hAnsi="Cambria Math"/>
            <w:lang w:val="en-US"/>
          </w:rPr>
          <m:t>xᵢ ≥ 0.1</m:t>
        </m:r>
      </m:oMath>
      <w:r w:rsidRPr="000A4838">
        <w:rPr>
          <w:lang w:val="en-US"/>
        </w:rPr>
        <w:t xml:space="preserve"> (10 at. %).</w:t>
      </w:r>
    </w:p>
    <w:p w:rsidR="007419CB" w:rsidRPr="000A4838" w:rsidRDefault="007419CB" w:rsidP="0021751D">
      <w:pPr>
        <w:pStyle w:val="Paragraphedeliste"/>
        <w:spacing w:after="160" w:line="480" w:lineRule="auto"/>
        <w:ind w:left="708"/>
        <w:contextualSpacing w:val="0"/>
        <w:rPr>
          <w:lang w:val="en-US"/>
        </w:rPr>
      </w:pPr>
    </w:p>
    <w:p w:rsidR="007419CB" w:rsidRPr="000A4838" w:rsidRDefault="007419CB" w:rsidP="0021751D">
      <w:pPr>
        <w:pStyle w:val="Paragraphedeliste"/>
        <w:spacing w:after="160" w:line="480" w:lineRule="auto"/>
        <w:ind w:left="-12"/>
        <w:contextualSpacing w:val="0"/>
        <w:rPr>
          <w:lang w:val="en-US"/>
        </w:rPr>
      </w:pPr>
      <w:r w:rsidRPr="000A4838">
        <w:rPr>
          <w:lang w:val="en-US"/>
        </w:rPr>
        <w:t>In each case, the five raw stoichiometries were normalized to sum to unity to produce a valid composition vector. This procedure yields a diverse library of about 3 million semi-random, off-equimolar quinary alloys clustered around both global and system-specific compositional neighborhoods.</w:t>
      </w:r>
    </w:p>
    <w:p w:rsidR="007419CB" w:rsidRPr="000A4838" w:rsidRDefault="007419CB" w:rsidP="0021751D">
      <w:pPr>
        <w:pStyle w:val="Paragraphedeliste"/>
        <w:spacing w:after="160" w:line="480" w:lineRule="auto"/>
        <w:ind w:left="-12"/>
        <w:contextualSpacing w:val="0"/>
        <w:rPr>
          <w:lang w:val="en-US"/>
        </w:rPr>
      </w:pPr>
    </w:p>
    <w:p w:rsidR="007419CB" w:rsidRPr="00685B45" w:rsidRDefault="007419CB" w:rsidP="00F949EF">
      <w:pPr>
        <w:pStyle w:val="Paragraphedeliste"/>
        <w:numPr>
          <w:ilvl w:val="0"/>
          <w:numId w:val="5"/>
        </w:numPr>
        <w:spacing w:after="160" w:line="480" w:lineRule="auto"/>
        <w:contextualSpacing w:val="0"/>
        <w:rPr>
          <w:lang w:val="en-US"/>
        </w:rPr>
      </w:pPr>
      <w:r w:rsidRPr="00685B45">
        <w:rPr>
          <w:bCs/>
          <w:lang w:val="en-US"/>
        </w:rPr>
        <w:t>First-pass rough thermogeometric filtering</w:t>
      </w:r>
    </w:p>
    <w:p w:rsidR="007419CB" w:rsidRPr="0027149B" w:rsidRDefault="007419CB" w:rsidP="0021751D">
      <w:pPr>
        <w:pStyle w:val="Paragraphedeliste"/>
        <w:spacing w:after="160" w:line="480" w:lineRule="auto"/>
        <w:ind w:left="0"/>
        <w:rPr>
          <w:lang w:val="en-US"/>
        </w:rPr>
      </w:pPr>
      <w:r w:rsidRPr="00E20059">
        <w:rPr>
          <w:lang w:val="en-US"/>
        </w:rPr>
        <w:t xml:space="preserve">To focus on </w:t>
      </w:r>
      <w:r w:rsidRPr="0027149B">
        <w:rPr>
          <w:lang w:val="en-US"/>
        </w:rPr>
        <w:t>compositions most likely to form single-phase HEAs, four simple exclusion criteria were applied:</w:t>
      </w:r>
    </w:p>
    <w:p w:rsidR="007419CB" w:rsidRPr="0027149B" w:rsidRDefault="007419CB" w:rsidP="00F949EF">
      <w:pPr>
        <w:pStyle w:val="Paragraphedeliste"/>
        <w:numPr>
          <w:ilvl w:val="0"/>
          <w:numId w:val="42"/>
        </w:numPr>
        <w:spacing w:after="160" w:line="480" w:lineRule="auto"/>
        <w:rPr>
          <w:lang w:val="en-US"/>
        </w:rPr>
      </w:pPr>
      <w:r w:rsidRPr="0027149B">
        <w:rPr>
          <w:lang w:val="en-US"/>
        </w:rPr>
        <w:t xml:space="preserve">Any composition containing </w:t>
      </w:r>
      <w:proofErr w:type="spellStart"/>
      <w:r w:rsidRPr="0027149B">
        <w:rPr>
          <w:lang w:val="en-US"/>
        </w:rPr>
        <w:t>Os</w:t>
      </w:r>
      <w:proofErr w:type="spellEnd"/>
      <w:r w:rsidRPr="0027149B">
        <w:rPr>
          <w:lang w:val="en-US"/>
        </w:rPr>
        <w:t xml:space="preserve"> was discarded on practical grounds: </w:t>
      </w:r>
      <w:proofErr w:type="spellStart"/>
      <w:r w:rsidRPr="0027149B">
        <w:rPr>
          <w:lang w:val="en-US"/>
        </w:rPr>
        <w:t>Os</w:t>
      </w:r>
      <w:proofErr w:type="spellEnd"/>
      <w:r w:rsidRPr="0027149B">
        <w:rPr>
          <w:lang w:val="en-US"/>
        </w:rPr>
        <w:t xml:space="preserve"> is extremely scarce and expensive, and it raises handling and environmental-toxicity concerns.</w:t>
      </w:r>
    </w:p>
    <w:p w:rsidR="007419CB" w:rsidRPr="0027149B" w:rsidRDefault="007419CB" w:rsidP="00F949EF">
      <w:pPr>
        <w:pStyle w:val="Paragraphedeliste"/>
        <w:numPr>
          <w:ilvl w:val="0"/>
          <w:numId w:val="42"/>
        </w:numPr>
        <w:spacing w:after="160" w:line="480" w:lineRule="auto"/>
        <w:rPr>
          <w:lang w:val="en-US"/>
        </w:rPr>
      </w:pPr>
      <w:r w:rsidRPr="0027149B">
        <w:rPr>
          <w:lang w:val="en-US"/>
        </w:rPr>
        <w:t xml:space="preserve">Compositions with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r>
          <w:rPr>
            <w:rFonts w:ascii="Cambria Math" w:hAnsi="Cambria Math"/>
            <w:lang w:val="en-US"/>
          </w:rPr>
          <m:t>&lt;1.2</m:t>
        </m:r>
      </m:oMath>
      <w:r w:rsidRPr="0027149B">
        <w:rPr>
          <w:lang w:val="en-US"/>
        </w:rPr>
        <w:t xml:space="preserve">  were removed.</w:t>
      </w:r>
    </w:p>
    <w:p w:rsidR="007419CB" w:rsidRPr="0027149B" w:rsidRDefault="007419CB" w:rsidP="00F949EF">
      <w:pPr>
        <w:pStyle w:val="Paragraphedeliste"/>
        <w:numPr>
          <w:ilvl w:val="0"/>
          <w:numId w:val="42"/>
        </w:numPr>
        <w:spacing w:after="160" w:line="480" w:lineRule="auto"/>
        <w:rPr>
          <w:lang w:val="en-US"/>
        </w:rPr>
      </w:pPr>
      <w:r w:rsidRPr="0027149B">
        <w:rPr>
          <w:lang w:val="en-US"/>
        </w:rPr>
        <w:t xml:space="preserve">The weighted average VEC </w:t>
      </w:r>
      <m:oMath>
        <m:nary>
          <m:naryPr>
            <m:chr m:val="∑"/>
            <m:limLoc m:val="undOvr"/>
            <m:ctrlPr>
              <w:rPr>
                <w:rFonts w:ascii="Cambria Math" w:eastAsia="Cambria Math" w:hAnsi="Cambria Math"/>
                <w:i/>
                <w:lang w:val="en-US"/>
              </w:rPr>
            </m:ctrlPr>
          </m:naryPr>
          <m:sub>
            <m:r>
              <w:rPr>
                <w:rFonts w:ascii="Cambria Math" w:hAnsi="Cambria Math"/>
                <w:lang w:val="en-US"/>
              </w:rPr>
              <m:t>i=1</m:t>
            </m:r>
          </m:sub>
          <m:sup>
            <m:r>
              <w:rPr>
                <w:rFonts w:ascii="Cambria Math" w:hAnsi="Cambria Math"/>
                <w:lang w:val="en-US"/>
              </w:rPr>
              <m:t>5</m:t>
            </m:r>
          </m:sup>
          <m:e>
            <m:sSub>
              <m:sSubPr>
                <m:ctrlPr>
                  <w:rPr>
                    <w:rFonts w:ascii="Cambria Math" w:eastAsia="Cambria Math" w:hAnsi="Cambria Math"/>
                    <w:i/>
                    <w:lang w:val="en-US"/>
                  </w:rPr>
                </m:ctrlPr>
              </m:sSubPr>
              <m:e>
                <m:r>
                  <w:rPr>
                    <w:rFonts w:ascii="Cambria Math" w:hAnsi="Cambria Math"/>
                    <w:lang w:val="en-US"/>
                  </w:rPr>
                  <m:t>c</m:t>
                </m:r>
              </m:e>
              <m:sub>
                <m:r>
                  <w:rPr>
                    <w:rFonts w:ascii="Cambria Math" w:hAnsi="Cambria Math"/>
                    <w:lang w:val="en-US"/>
                  </w:rPr>
                  <m:t>i</m:t>
                </m:r>
              </m:sub>
            </m:sSub>
            <m:sSub>
              <m:sSubPr>
                <m:ctrlPr>
                  <w:rPr>
                    <w:rFonts w:ascii="Cambria Math" w:eastAsia="Cambria Math" w:hAnsi="Cambria Math"/>
                    <w:i/>
                    <w:lang w:val="en-US"/>
                  </w:rPr>
                </m:ctrlPr>
              </m:sSubPr>
              <m:e>
                <m:r>
                  <w:rPr>
                    <w:rFonts w:ascii="Cambria Math" w:hAnsi="Cambria Math"/>
                    <w:lang w:val="en-US"/>
                  </w:rPr>
                  <m:t>VEC</m:t>
                </m:r>
              </m:e>
              <m:sub>
                <m:r>
                  <w:rPr>
                    <w:rFonts w:ascii="Cambria Math" w:hAnsi="Cambria Math"/>
                    <w:lang w:val="en-US"/>
                  </w:rPr>
                  <m:t>i</m:t>
                </m:r>
              </m:sub>
            </m:sSub>
          </m:e>
        </m:nary>
      </m:oMath>
      <w:r w:rsidRPr="0027149B">
        <w:rPr>
          <w:rFonts w:eastAsiaTheme="minorEastAsia"/>
          <w:lang w:val="en-US"/>
        </w:rPr>
        <w:t xml:space="preserve"> </w:t>
      </w:r>
      <w:r w:rsidRPr="0027149B">
        <w:rPr>
          <w:lang w:val="en-US"/>
        </w:rPr>
        <w:t xml:space="preserve">was required to lie within </w:t>
      </w:r>
      <m:oMath>
        <m:r>
          <w:rPr>
            <w:rFonts w:ascii="Cambria Math" w:hAnsi="Cambria Math"/>
            <w:lang w:val="en-US"/>
          </w:rPr>
          <m:t>[6, 9]</m:t>
        </m:r>
      </m:oMath>
      <w:r w:rsidRPr="0027149B">
        <w:rPr>
          <w:lang w:val="en-US"/>
        </w:rPr>
        <w:t>.</w:t>
      </w:r>
    </w:p>
    <w:p w:rsidR="007419CB" w:rsidRPr="0027149B" w:rsidRDefault="007419CB" w:rsidP="00F949EF">
      <w:pPr>
        <w:pStyle w:val="Paragraphedeliste"/>
        <w:numPr>
          <w:ilvl w:val="0"/>
          <w:numId w:val="42"/>
        </w:numPr>
        <w:spacing w:after="160" w:line="480" w:lineRule="auto"/>
        <w:rPr>
          <w:lang w:val="en-US"/>
        </w:rPr>
      </w:pPr>
      <w:r w:rsidRPr="0027149B">
        <w:rPr>
          <w:lang w:val="en-US"/>
        </w:rPr>
        <w:t xml:space="preserve">Compositions with </w:t>
      </w:r>
      <m:oMath>
        <m:r>
          <w:rPr>
            <w:rFonts w:ascii="Cambria Math" w:hAnsi="Cambria Math"/>
            <w:lang w:val="en-US"/>
          </w:rPr>
          <m:t>δ &gt; 0.07</m:t>
        </m:r>
      </m:oMath>
      <w:r w:rsidRPr="0027149B">
        <w:rPr>
          <w:bCs/>
          <w:lang w:val="en-US"/>
        </w:rPr>
        <w:t xml:space="preserve"> </w:t>
      </w:r>
      <w:r w:rsidRPr="0027149B">
        <w:rPr>
          <w:lang w:val="en-US"/>
        </w:rPr>
        <w:t xml:space="preserve"> were excluded to avoid excessive elastic strain and phase separation.</w:t>
      </w:r>
    </w:p>
    <w:p w:rsidR="007419CB" w:rsidRPr="0027149B" w:rsidRDefault="007419CB" w:rsidP="0021751D">
      <w:pPr>
        <w:pStyle w:val="Paragraphedeliste"/>
        <w:spacing w:after="160" w:line="480" w:lineRule="auto"/>
        <w:rPr>
          <w:lang w:val="en-US"/>
        </w:rPr>
      </w:pPr>
    </w:p>
    <w:p w:rsidR="007419CB" w:rsidRPr="0027149B" w:rsidRDefault="007419CB" w:rsidP="0021751D">
      <w:pPr>
        <w:pStyle w:val="Paragraphedeliste"/>
        <w:spacing w:after="160" w:line="480" w:lineRule="auto"/>
        <w:ind w:left="0"/>
        <w:rPr>
          <w:lang w:val="en-US"/>
        </w:rPr>
      </w:pPr>
      <w:r w:rsidRPr="0027149B">
        <w:rPr>
          <w:lang w:val="en-US"/>
        </w:rPr>
        <w:t>After this filtering, the remaining subset:</w:t>
      </w:r>
    </w:p>
    <w:p w:rsidR="007419CB" w:rsidRPr="0027149B" w:rsidRDefault="007419CB" w:rsidP="00F949EF">
      <w:pPr>
        <w:pStyle w:val="Paragraphedeliste"/>
        <w:numPr>
          <w:ilvl w:val="0"/>
          <w:numId w:val="43"/>
        </w:numPr>
        <w:spacing w:after="160" w:line="480" w:lineRule="auto"/>
        <w:rPr>
          <w:lang w:val="en-US"/>
        </w:rPr>
      </w:pPr>
      <w:r w:rsidRPr="0027149B">
        <w:rPr>
          <w:lang w:val="en-US"/>
        </w:rPr>
        <w:lastRenderedPageBreak/>
        <w:t>contains fewer than one million alloys (which is necessary for practical computation),</w:t>
      </w:r>
    </w:p>
    <w:p w:rsidR="007419CB" w:rsidRPr="0027149B" w:rsidRDefault="007419CB" w:rsidP="00F949EF">
      <w:pPr>
        <w:pStyle w:val="Paragraphedeliste"/>
        <w:numPr>
          <w:ilvl w:val="0"/>
          <w:numId w:val="43"/>
        </w:numPr>
        <w:spacing w:after="160" w:line="480" w:lineRule="auto"/>
        <w:rPr>
          <w:lang w:val="en-US"/>
        </w:rPr>
      </w:pPr>
      <w:r w:rsidRPr="0027149B">
        <w:rPr>
          <w:lang w:val="en-US"/>
        </w:rPr>
        <w:t>excludes osmium,</w:t>
      </w:r>
    </w:p>
    <w:p w:rsidR="007419CB" w:rsidRPr="0027149B" w:rsidRDefault="007419CB" w:rsidP="00F949EF">
      <w:pPr>
        <w:pStyle w:val="Paragraphedeliste"/>
        <w:numPr>
          <w:ilvl w:val="0"/>
          <w:numId w:val="43"/>
        </w:numPr>
        <w:spacing w:after="160" w:line="480" w:lineRule="auto"/>
        <w:rPr>
          <w:lang w:val="en-US"/>
        </w:rPr>
      </w:pPr>
      <w:r w:rsidRPr="0027149B">
        <w:rPr>
          <w:lang w:val="en-US"/>
        </w:rPr>
        <w:t>preserves sufficiently high configurational entropy,</w:t>
      </w:r>
    </w:p>
    <w:p w:rsidR="007419CB" w:rsidRPr="0027149B" w:rsidRDefault="007419CB" w:rsidP="00F949EF">
      <w:pPr>
        <w:pStyle w:val="Paragraphedeliste"/>
        <w:numPr>
          <w:ilvl w:val="0"/>
          <w:numId w:val="43"/>
        </w:numPr>
        <w:spacing w:after="160" w:line="480" w:lineRule="auto"/>
        <w:rPr>
          <w:lang w:val="en-US"/>
        </w:rPr>
      </w:pPr>
      <w:r w:rsidRPr="0027149B">
        <w:rPr>
          <w:lang w:val="en-US"/>
        </w:rPr>
        <w:t>lies within a favorable VEC window, and</w:t>
      </w:r>
    </w:p>
    <w:p w:rsidR="007419CB" w:rsidRPr="0027149B" w:rsidRDefault="007419CB" w:rsidP="00F949EF">
      <w:pPr>
        <w:pStyle w:val="Paragraphedeliste"/>
        <w:numPr>
          <w:ilvl w:val="0"/>
          <w:numId w:val="43"/>
        </w:numPr>
        <w:spacing w:after="160" w:line="480" w:lineRule="auto"/>
        <w:rPr>
          <w:lang w:val="en-US"/>
        </w:rPr>
      </w:pPr>
      <w:r w:rsidRPr="0027149B">
        <w:rPr>
          <w:lang w:val="en-US"/>
        </w:rPr>
        <w:t>maintains acceptable atomic-size mismatch.</w:t>
      </w:r>
    </w:p>
    <w:p w:rsidR="007419CB" w:rsidRPr="0027149B" w:rsidRDefault="007419CB" w:rsidP="0021751D">
      <w:pPr>
        <w:pStyle w:val="Paragraphedeliste"/>
        <w:spacing w:after="160" w:line="480" w:lineRule="auto"/>
        <w:ind w:left="0"/>
        <w:rPr>
          <w:lang w:val="en-US"/>
        </w:rPr>
      </w:pPr>
    </w:p>
    <w:p w:rsidR="007419CB" w:rsidRPr="0027149B" w:rsidRDefault="007419CB" w:rsidP="0021751D">
      <w:pPr>
        <w:pStyle w:val="Paragraphedeliste"/>
        <w:spacing w:after="160" w:line="480" w:lineRule="auto"/>
        <w:ind w:left="-12"/>
        <w:contextualSpacing w:val="0"/>
        <w:rPr>
          <w:lang w:val="en-US"/>
        </w:rPr>
      </w:pPr>
      <w:r w:rsidRPr="0027149B">
        <w:rPr>
          <w:lang w:val="en-US"/>
        </w:rPr>
        <w:t xml:space="preserve">Under these conditions, the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G</m:t>
            </m:r>
          </m:e>
          <m:sub>
            <m:r>
              <m:rPr>
                <m:sty m:val="p"/>
              </m:rPr>
              <w:rPr>
                <w:rFonts w:ascii="Cambria Math" w:hAnsi="Cambria Math"/>
                <w:lang w:val="en-US"/>
              </w:rPr>
              <m:t>mix</m:t>
            </m:r>
          </m:sub>
        </m:sSub>
      </m:oMath>
      <w:r w:rsidRPr="0027149B">
        <w:rPr>
          <w:lang w:val="en-US"/>
        </w:rPr>
        <w:t>-based model predicts the formation of single-phase HEAs. A more stringent filtering could have been applied at this stage. However, retaining some lower-quality candidates is beneficial for training: restricting the learning set to only the very b</w:t>
      </w:r>
      <w:proofErr w:type="spellStart"/>
      <w:r w:rsidRPr="0027149B">
        <w:rPr>
          <w:lang w:val="en-US"/>
        </w:rPr>
        <w:t>est</w:t>
      </w:r>
      <w:proofErr w:type="spellEnd"/>
      <w:r w:rsidRPr="0027149B">
        <w:rPr>
          <w:lang w:val="en-US"/>
        </w:rPr>
        <w:t xml:space="preserve"> alloys would introduce a strong selection bias.</w:t>
      </w: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09" w:name="_Ref205244010"/>
      <w:bookmarkStart w:id="110" w:name="_Toc214314349"/>
      <w:bookmarkStart w:id="111" w:name="_Toc216021110"/>
      <w:r w:rsidRPr="000A4838">
        <w:rPr>
          <w:rFonts w:ascii="Times New Roman" w:hAnsi="Times New Roman" w:cs="Times New Roman"/>
          <w:color w:val="auto"/>
          <w:sz w:val="24"/>
          <w:szCs w:val="24"/>
          <w:lang w:val="en-US"/>
        </w:rPr>
        <w:t>Scoring &amp; Pareto Front</w:t>
      </w:r>
      <w:bookmarkEnd w:id="109"/>
      <w:bookmarkEnd w:id="110"/>
      <w:bookmarkEnd w:id="111"/>
    </w:p>
    <w:p w:rsidR="007419CB" w:rsidRPr="000A4838" w:rsidRDefault="007419CB" w:rsidP="0021751D">
      <w:pPr>
        <w:spacing w:after="160" w:line="480" w:lineRule="auto"/>
        <w:rPr>
          <w:lang w:val="en-US"/>
        </w:rPr>
      </w:pPr>
      <w:r w:rsidRPr="000A4838">
        <w:rPr>
          <w:lang w:val="en-US"/>
        </w:rPr>
        <w:t>The roughly filtered dataset contains about 600</w:t>
      </w:r>
      <w:r>
        <w:rPr>
          <w:lang w:val="en-US"/>
        </w:rPr>
        <w:t xml:space="preserve"> </w:t>
      </w:r>
      <w:r w:rsidRPr="000A4838">
        <w:rPr>
          <w:lang w:val="en-US"/>
        </w:rPr>
        <w:t>000 presumed HEAs. Naturally, the way it was generated led to a different distribution of elements compared to the list of compositions provided by Chen et al. The frequency of presence of elements in the filtered dataset is presented in the graph below</w:t>
      </w:r>
      <w:r>
        <w:rPr>
          <w:lang w:val="en-US"/>
        </w:rPr>
        <w:t xml:space="preserve"> (</w:t>
      </w:r>
      <w:r w:rsidRPr="00BC22BD">
        <w:rPr>
          <w:lang w:val="en-US"/>
        </w:rPr>
        <w:fldChar w:fldCharType="begin"/>
      </w:r>
      <w:r w:rsidRPr="00BC22BD">
        <w:rPr>
          <w:lang w:val="en-US"/>
        </w:rPr>
        <w:instrText xml:space="preserve"> REF _Ref214210780 \h  \* MERGEFORMAT </w:instrText>
      </w:r>
      <w:r w:rsidRPr="00BC22BD">
        <w:rPr>
          <w:lang w:val="en-US"/>
        </w:rPr>
      </w:r>
      <w:r w:rsidRPr="00BC22BD">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21</w:t>
      </w:r>
      <w:r w:rsidRPr="00BC22BD">
        <w:rPr>
          <w:lang w:val="en-US"/>
        </w:rPr>
        <w:fldChar w:fldCharType="end"/>
      </w:r>
      <w:r>
        <w:rPr>
          <w:lang w:val="en-US"/>
        </w:rPr>
        <w:t>)</w:t>
      </w:r>
      <w:r w:rsidRPr="000A4838">
        <w:rPr>
          <w:lang w:val="en-US"/>
        </w:rPr>
        <w:t>.</w:t>
      </w: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4243F89D" wp14:editId="44A5889C">
            <wp:extent cx="6163310" cy="6938010"/>
            <wp:effectExtent l="0" t="0" r="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6163310" cy="6938010"/>
                    </a:xfrm>
                    <a:prstGeom prst="rect">
                      <a:avLst/>
                    </a:prstGeom>
                    <a:noFill/>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12" w:name="_Ref214210780"/>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21</w:t>
      </w:r>
      <w:r w:rsidRPr="000A4838">
        <w:rPr>
          <w:rFonts w:ascii="Arial" w:hAnsi="Arial" w:cs="Arial"/>
          <w:b/>
          <w:i w:val="0"/>
          <w:color w:val="auto"/>
          <w:sz w:val="20"/>
          <w:szCs w:val="20"/>
          <w:lang w:val="en-US"/>
        </w:rPr>
        <w:fldChar w:fldCharType="end"/>
      </w:r>
      <w:bookmarkEnd w:id="112"/>
      <w:r w:rsidRPr="000A4838">
        <w:rPr>
          <w:rFonts w:ascii="Arial" w:hAnsi="Arial" w:cs="Arial"/>
          <w:b/>
          <w:i w:val="0"/>
          <w:color w:val="auto"/>
          <w:sz w:val="20"/>
          <w:szCs w:val="20"/>
          <w:lang w:val="en-US"/>
        </w:rPr>
        <w:t>: Frequency of occurrence of elements in the roughly filtered dataset.</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For each element, the value represents the fraction of HEAs in the dataset that contain this element.</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0A4838">
        <w:rPr>
          <w:lang w:val="en-US"/>
        </w:rPr>
        <w:lastRenderedPageBreak/>
        <w:t xml:space="preserve">A few comments can be made about these frequencies. Fe is the prevalent element at 33%. More generally, the compositions are close to the Cantor‐alloy family (Co-Cr-Fe-Mn-Ni): Ni (26%), Mn (22%), Cr (20%) and Co (19%). This 3d‐transition‐metal backbone composition is rather in line with the composition of legacy super alloys. </w:t>
      </w:r>
    </w:p>
    <w:p w:rsidR="007419CB" w:rsidRPr="00685B45" w:rsidRDefault="007419CB" w:rsidP="0021751D">
      <w:pPr>
        <w:spacing w:after="160" w:line="480" w:lineRule="auto"/>
        <w:rPr>
          <w:lang w:val="en-US"/>
        </w:rPr>
      </w:pPr>
      <w:r w:rsidRPr="000A4838">
        <w:rPr>
          <w:lang w:val="en-US"/>
        </w:rPr>
        <w:t xml:space="preserve">Platinum-Group Metals (PGM) are highly frequent: Pt (30%), </w:t>
      </w:r>
      <w:proofErr w:type="spellStart"/>
      <w:r w:rsidRPr="000A4838">
        <w:rPr>
          <w:lang w:val="en-US"/>
        </w:rPr>
        <w:t>Ir</w:t>
      </w:r>
      <w:proofErr w:type="spellEnd"/>
      <w:r w:rsidRPr="000A4838">
        <w:rPr>
          <w:lang w:val="en-US"/>
        </w:rPr>
        <w:t xml:space="preserve"> (28%), Ru (26%), Rh (24%) and Re (27%), above heavier refractory metals like </w:t>
      </w:r>
      <w:proofErr w:type="spellStart"/>
      <w:r w:rsidRPr="000A4838">
        <w:rPr>
          <w:lang w:val="en-US"/>
        </w:rPr>
        <w:t>Nb</w:t>
      </w:r>
      <w:proofErr w:type="spellEnd"/>
      <w:r w:rsidRPr="000A4838">
        <w:rPr>
          <w:lang w:val="en-US"/>
        </w:rPr>
        <w:t xml:space="preserve"> (24%) or W (23%). No doubt this ranking will be turned upside down when considering prices, carbon footprint or supply risk. On the contrary, cheap, light elements such as Si (2.2%), Mg (0.5%), </w:t>
      </w:r>
      <w:proofErr w:type="spellStart"/>
      <w:r w:rsidRPr="000A4838">
        <w:rPr>
          <w:lang w:val="en-US"/>
        </w:rPr>
        <w:t>Ti</w:t>
      </w:r>
      <w:proofErr w:type="spellEnd"/>
      <w:r w:rsidRPr="000A4838">
        <w:rPr>
          <w:lang w:val="en-US"/>
        </w:rPr>
        <w:t xml:space="preserve"> (17%) and Al (19%) remain at low grades, in spite of their advantage for cost‐sensitive or weight‐sensitive applications. In Ni‐based classic super alloys, Al and </w:t>
      </w:r>
      <w:proofErr w:type="spellStart"/>
      <w:r w:rsidRPr="000A4838">
        <w:rPr>
          <w:lang w:val="en-US"/>
        </w:rPr>
        <w:t>Ti</w:t>
      </w:r>
      <w:proofErr w:type="spellEnd"/>
      <w:r w:rsidRPr="000A4838">
        <w:rPr>
          <w:lang w:val="en-US"/>
        </w:rPr>
        <w:t xml:space="preserve"> are minor (a few at. % each) additions to a Ni‐rich matrix. Here, with Ni only ~26%, true </w:t>
      </w:r>
      <m:oMath>
        <m:r>
          <w:rPr>
            <w:rFonts w:ascii="Cambria Math" w:hAnsi="Cambria Math"/>
            <w:lang w:val="en-US"/>
          </w:rPr>
          <m:t>γ'</m:t>
        </m:r>
      </m:oMath>
      <w:r w:rsidRPr="000A4838">
        <w:rPr>
          <w:lang w:val="en-US"/>
        </w:rPr>
        <w:t xml:space="preserve"> chemistries (Ni–Al–Ti) are not realized. </w:t>
      </w:r>
      <w:r w:rsidRPr="00685B45">
        <w:rPr>
          <w:lang w:val="en-US"/>
        </w:rPr>
        <w:t>A non‐equimolar sweep (e.g. Ni &gt; 50%) would be required to mimic superalloy compositions.</w:t>
      </w:r>
    </w:p>
    <w:p w:rsidR="007419CB" w:rsidRPr="00685B45"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685B45">
        <w:rPr>
          <w:lang w:val="en-US"/>
        </w:rPr>
        <w:t xml:space="preserve">Working with this cleaned HEA composition database, the set of atomistic descriptors is computed – in a chunked, parallelized fashion. Simultaneously, </w:t>
      </w:r>
      <w:r>
        <w:rPr>
          <w:lang w:val="en-US"/>
        </w:rPr>
        <w:t>the</w:t>
      </w:r>
      <w:r w:rsidRPr="00685B45">
        <w:rPr>
          <w:lang w:val="en-US"/>
        </w:rPr>
        <w:t xml:space="preserve"> eight pre‐trained regression models (pickle files) to predict key physical properties</w:t>
      </w:r>
      <w:r>
        <w:rPr>
          <w:lang w:val="en-US"/>
        </w:rPr>
        <w:t xml:space="preserve"> are loaded</w:t>
      </w:r>
      <w:r w:rsidRPr="00685B45">
        <w:rPr>
          <w:lang w:val="en-US"/>
        </w:rPr>
        <w:t>: formation energy (</w:t>
      </w:r>
      <m:oMath>
        <m:sSub>
          <m:sSubPr>
            <m:ctrlPr>
              <w:rPr>
                <w:rFonts w:ascii="Cambria Math" w:eastAsia="Cambria Math" w:hAnsi="Cambria Math"/>
                <w:i/>
                <w:lang w:val="en-US"/>
              </w:rPr>
            </m:ctrlPr>
          </m:sSubPr>
          <m:e>
            <m:r>
              <w:rPr>
                <w:rFonts w:ascii="Cambria Math" w:hAnsi="Cambria Math"/>
                <w:lang w:val="en-US"/>
              </w:rPr>
              <m:t>E</m:t>
            </m:r>
          </m:e>
          <m:sub>
            <m:r>
              <w:rPr>
                <w:rFonts w:ascii="Cambria Math" w:hAnsi="Cambria Math"/>
                <w:lang w:val="en-US"/>
              </w:rPr>
              <m:t>f</m:t>
            </m:r>
          </m:sub>
        </m:sSub>
      </m:oMath>
      <w:r w:rsidRPr="00685B45">
        <w:rPr>
          <w:lang w:val="en-US"/>
        </w:rPr>
        <w:t>), bulk modulus (</w:t>
      </w:r>
      <m:oMath>
        <m:r>
          <w:rPr>
            <w:rFonts w:ascii="Cambria Math" w:hAnsi="Cambria Math"/>
            <w:lang w:val="en-US"/>
          </w:rPr>
          <m:t>B</m:t>
        </m:r>
      </m:oMath>
      <w:r w:rsidRPr="00685B45">
        <w:rPr>
          <w:lang w:val="en-US"/>
        </w:rPr>
        <w:t>), shear modulus (</w:t>
      </w:r>
      <m:oMath>
        <m:r>
          <w:rPr>
            <w:rFonts w:ascii="Cambria Math" w:hAnsi="Cambria Math"/>
            <w:lang w:val="en-US"/>
          </w:rPr>
          <m:t>G</m:t>
        </m:r>
      </m:oMath>
      <w:r w:rsidRPr="00685B45">
        <w:rPr>
          <w:lang w:val="en-US"/>
        </w:rPr>
        <w:t>), density (</w:t>
      </w:r>
      <m:oMath>
        <m:r>
          <w:rPr>
            <w:rFonts w:ascii="Cambria Math" w:hAnsi="Cambria Math"/>
            <w:lang w:val="en-US"/>
          </w:rPr>
          <m:t>ρ</m:t>
        </m:r>
      </m:oMath>
      <w:r w:rsidRPr="00685B45">
        <w:rPr>
          <w:lang w:val="en-US"/>
        </w:rPr>
        <w:t>), melting poi</w:t>
      </w:r>
      <w:proofErr w:type="spellStart"/>
      <w:r w:rsidRPr="00685B45">
        <w:rPr>
          <w:lang w:val="en-US"/>
        </w:rPr>
        <w:t>nt</w:t>
      </w:r>
      <w:proofErr w:type="spellEnd"/>
      <w:r w:rsidRPr="00685B45">
        <w:rPr>
          <w:lang w:val="en-US"/>
        </w:rPr>
        <w:t xml:space="preserve"> (</w:t>
      </w:r>
      <m:oMath>
        <m:sSub>
          <m:sSubPr>
            <m:ctrlPr>
              <w:rPr>
                <w:rFonts w:ascii="Cambria Math" w:eastAsia="Cambria Math" w:hAnsi="Cambria Math"/>
                <w:i/>
                <w:lang w:val="en-US"/>
              </w:rPr>
            </m:ctrlPr>
          </m:sSubPr>
          <m:e>
            <m:r>
              <w:rPr>
                <w:rFonts w:ascii="Cambria Math" w:hAnsi="Cambria Math"/>
                <w:lang w:val="en-US"/>
              </w:rPr>
              <m:t>T</m:t>
            </m:r>
          </m:e>
          <m:sub>
            <m:r>
              <w:rPr>
                <w:rFonts w:ascii="Cambria Math" w:hAnsi="Cambria Math"/>
                <w:lang w:val="en-US"/>
              </w:rPr>
              <m:t>m</m:t>
            </m:r>
          </m:sub>
        </m:sSub>
      </m:oMath>
      <w:r w:rsidRPr="00685B45">
        <w:rPr>
          <w:lang w:val="en-US"/>
        </w:rPr>
        <w:t>), creep resistance (LMP) at 100 MPa, and the decimal logarithm of the parabolic constant (</w:t>
      </w:r>
      <m:oMath>
        <m:func>
          <m:funcPr>
            <m:ctrlPr>
              <w:rPr>
                <w:rFonts w:ascii="Cambria Math" w:eastAsia="Cambria Math" w:hAnsi="Cambria Math"/>
                <w:i/>
                <w:lang w:val="en-US"/>
              </w:rPr>
            </m:ctrlPr>
          </m:funcPr>
          <m:fName>
            <m:sSub>
              <m:sSubPr>
                <m:ctrlPr>
                  <w:rPr>
                    <w:rFonts w:ascii="Cambria Math" w:eastAsia="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eastAsia="Cambria Math" w:hAnsi="Cambria Math"/>
                    <w:i/>
                    <w:lang w:val="en-US"/>
                  </w:rPr>
                </m:ctrlPr>
              </m:sSubPr>
              <m:e>
                <m:r>
                  <w:rPr>
                    <w:rFonts w:ascii="Cambria Math" w:hAnsi="Cambria Math"/>
                    <w:lang w:val="en-US"/>
                  </w:rPr>
                  <m:t>K</m:t>
                </m:r>
              </m:e>
              <m:sub>
                <m:r>
                  <w:rPr>
                    <w:rFonts w:ascii="Cambria Math" w:hAnsi="Cambria Math"/>
                    <w:lang w:val="en-US"/>
                  </w:rPr>
                  <m:t>A</m:t>
                </m:r>
              </m:sub>
            </m:sSub>
          </m:e>
        </m:func>
      </m:oMath>
      <w:r w:rsidRPr="00685B45">
        <w:rPr>
          <w:rFonts w:eastAsiaTheme="minorEastAsia"/>
          <w:lang w:val="en-US"/>
        </w:rPr>
        <w:t>) for high-temperature oxidation at normal oxygen pressure (1 atm. with 20% O</w:t>
      </w:r>
      <w:r w:rsidRPr="00685B45">
        <w:rPr>
          <w:rFonts w:eastAsiaTheme="minorEastAsia"/>
          <w:vertAlign w:val="subscript"/>
          <w:lang w:val="en-US"/>
        </w:rPr>
        <w:t>2</w:t>
      </w:r>
      <w:r w:rsidRPr="00685B45">
        <w:rPr>
          <w:rFonts w:eastAsiaTheme="minorEastAsia"/>
          <w:lang w:val="en-US"/>
        </w:rPr>
        <w:t>)</w:t>
      </w:r>
      <w:r w:rsidRPr="00685B45">
        <w:rPr>
          <w:lang w:val="en-US"/>
        </w:rPr>
        <w:t xml:space="preserve">. From these, two additional quantities mentioned previously are derived: the </w:t>
      </w:r>
      <m:oMath>
        <m:r>
          <w:rPr>
            <w:rFonts w:ascii="Cambria Math" w:hAnsi="Cambria Math"/>
            <w:lang w:val="en-US"/>
          </w:rPr>
          <m:t>G/B</m:t>
        </m:r>
      </m:oMath>
      <w:r w:rsidRPr="00685B45">
        <w:rPr>
          <w:lang w:val="en-US"/>
        </w:rPr>
        <w:t xml:space="preserve"> ratio and the dimensionless </w:t>
      </w:r>
      <m:oMath>
        <m:r>
          <m:rPr>
            <m:sty m:val="p"/>
          </m:rPr>
          <w:rPr>
            <w:rFonts w:ascii="Cambria Math" w:hAnsi="Cambria Math"/>
            <w:lang w:val="en-US"/>
          </w:rPr>
          <m:t>Ω</m:t>
        </m:r>
      </m:oMath>
      <w:r w:rsidRPr="00685B45">
        <w:rPr>
          <w:lang w:val="en-US"/>
        </w:rPr>
        <w:t xml:space="preserve"> parameter. </w:t>
      </w:r>
      <w:r w:rsidRPr="000A4838">
        <w:rPr>
          <w:lang w:val="en-US"/>
        </w:rPr>
        <w:t>The database was enriched with these values.</w:t>
      </w:r>
    </w:p>
    <w:p w:rsidR="007419CB" w:rsidRPr="000A4838" w:rsidRDefault="007419CB" w:rsidP="0021751D">
      <w:pPr>
        <w:spacing w:after="160" w:line="480" w:lineRule="auto"/>
        <w:rPr>
          <w:lang w:val="en-US"/>
        </w:rPr>
      </w:pPr>
      <w:r>
        <w:rPr>
          <w:lang w:val="en-US"/>
        </w:rPr>
        <w:t>T</w:t>
      </w:r>
      <w:r w:rsidRPr="000A4838">
        <w:rPr>
          <w:lang w:val="en-US"/>
        </w:rPr>
        <w:t>hen ten heuristic “g–scores</w:t>
      </w:r>
      <w:r>
        <w:rPr>
          <w:lang w:val="en-US"/>
        </w:rPr>
        <w:t xml:space="preserve">” are </w:t>
      </w:r>
      <w:r w:rsidRPr="000A4838">
        <w:rPr>
          <w:lang w:val="en-US"/>
        </w:rPr>
        <w:t xml:space="preserve">evaluated, each in </w:t>
      </w:r>
      <m:oMath>
        <m:r>
          <w:rPr>
            <w:rFonts w:ascii="Cambria Math" w:hAnsi="Cambria Math"/>
            <w:lang w:val="en-US"/>
          </w:rPr>
          <m:t>[0,1]</m:t>
        </m:r>
      </m:oMath>
      <w:r w:rsidRPr="000A4838">
        <w:rPr>
          <w:lang w:val="en-US"/>
        </w:rPr>
        <w:t xml:space="preserve"> (see </w:t>
      </w:r>
      <w:r w:rsidRPr="000A4838">
        <w:rPr>
          <w:lang w:val="en-US"/>
        </w:rPr>
        <w:fldChar w:fldCharType="begin"/>
      </w:r>
      <w:r w:rsidRPr="000A4838">
        <w:rPr>
          <w:lang w:val="en-US"/>
        </w:rPr>
        <w:instrText xml:space="preserve"> REF _Ref205592375 \h  \* MERGEFORMAT </w:instrText>
      </w:r>
      <w:r w:rsidRPr="000A4838">
        <w:rPr>
          <w:lang w:val="en-US"/>
        </w:rPr>
      </w:r>
      <w:r w:rsidRPr="000A4838">
        <w:rPr>
          <w:lang w:val="en-US"/>
        </w:rPr>
        <w:fldChar w:fldCharType="separate"/>
      </w:r>
      <w:r w:rsidR="00380C88" w:rsidRPr="00380C88">
        <w:rPr>
          <w:rFonts w:ascii="Arial" w:hAnsi="Arial" w:cs="Arial"/>
          <w:b/>
          <w:sz w:val="20"/>
          <w:szCs w:val="20"/>
          <w:lang w:val="en-US"/>
        </w:rPr>
        <w:t xml:space="preserve">Table </w:t>
      </w:r>
      <w:r w:rsidR="00380C88" w:rsidRPr="00380C88">
        <w:rPr>
          <w:rFonts w:ascii="Arial" w:hAnsi="Arial" w:cs="Arial"/>
          <w:b/>
          <w:noProof/>
          <w:sz w:val="20"/>
          <w:szCs w:val="20"/>
          <w:lang w:val="en-US"/>
        </w:rPr>
        <w:t>2</w:t>
      </w:r>
      <w:r w:rsidRPr="000A4838">
        <w:rPr>
          <w:lang w:val="en-US"/>
        </w:rPr>
        <w:fldChar w:fldCharType="end"/>
      </w:r>
      <w:r w:rsidRPr="000A4838">
        <w:rPr>
          <w:lang w:val="en-US"/>
        </w:rPr>
        <w:t xml:space="preserve"> and </w:t>
      </w:r>
      <w:r w:rsidRPr="000A4838">
        <w:rPr>
          <w:lang w:val="en-US"/>
        </w:rPr>
        <w:fldChar w:fldCharType="begin"/>
      </w:r>
      <w:r w:rsidRPr="000A4838">
        <w:rPr>
          <w:lang w:val="en-US"/>
        </w:rPr>
        <w:instrText xml:space="preserve"> REF _Ref205593038 \h  \* MERGEFORMAT </w:instrText>
      </w:r>
      <w:r w:rsidRPr="000A4838">
        <w:rPr>
          <w:lang w:val="en-US"/>
        </w:rPr>
      </w:r>
      <w:r w:rsidRPr="000A4838">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22</w:t>
      </w:r>
      <w:r w:rsidRPr="000A4838">
        <w:rPr>
          <w:lang w:val="en-US"/>
        </w:rPr>
        <w:fldChar w:fldCharType="end"/>
      </w:r>
      <w:r w:rsidRPr="000A4838">
        <w:rPr>
          <w:lang w:val="en-US"/>
        </w:rPr>
        <w:t>), intended to gauge a material’s suitability across multiple criteria:</w:t>
      </w:r>
    </w:p>
    <w:bookmarkStart w:id="113" w:name="_Hlk203548893"/>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oMath>
      <w:r w:rsidR="007419CB" w:rsidRPr="000A4838">
        <w:rPr>
          <w:lang w:val="en-US"/>
        </w:rPr>
        <w:t xml:space="preserve"> (creep resistance) via sigmoid filter centered between 20–26 LMP units.</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oMath>
      <w:r w:rsidR="007419CB" w:rsidRPr="000A4838">
        <w:rPr>
          <w:lang w:val="en-US"/>
        </w:rPr>
        <w:t xml:space="preserve"> (high </w:t>
      </w:r>
      <m:oMath>
        <m:r>
          <w:rPr>
            <w:rFonts w:ascii="Cambria Math" w:hAnsi="Cambria Math"/>
            <w:lang w:val="en-US"/>
          </w:rPr>
          <m:t>Tₘ</m:t>
        </m:r>
      </m:oMath>
      <w:r w:rsidR="007419CB" w:rsidRPr="000A4838">
        <w:rPr>
          <w:lang w:val="en-US"/>
        </w:rPr>
        <w:t>) via sigmoid between 1200–1800 K.</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3</m:t>
            </m:r>
          </m:sub>
        </m:sSub>
      </m:oMath>
      <w:r w:rsidR="007419CB" w:rsidRPr="000A4838">
        <w:rPr>
          <w:lang w:val="en-US"/>
        </w:rPr>
        <w:t xml:space="preserve"> (low density) via sig</w:t>
      </w:r>
      <w:proofErr w:type="spellStart"/>
      <w:r w:rsidR="007419CB" w:rsidRPr="000A4838">
        <w:rPr>
          <w:lang w:val="en-US"/>
        </w:rPr>
        <w:t>moid</w:t>
      </w:r>
      <w:proofErr w:type="spellEnd"/>
      <w:r w:rsidR="007419CB" w:rsidRPr="000A4838">
        <w:rPr>
          <w:lang w:val="en-US"/>
        </w:rPr>
        <w:t xml:space="preserve"> between 6 and 9 on </w:t>
      </w:r>
      <m:oMath>
        <m:r>
          <w:rPr>
            <w:rFonts w:ascii="Cambria Math" w:hAnsi="Cambria Math"/>
            <w:lang w:val="en-US"/>
          </w:rPr>
          <m:t>ρ</m:t>
        </m:r>
      </m:oMath>
      <w:r w:rsidR="007419CB" w:rsidRPr="000A4838">
        <w:rPr>
          <w:lang w:val="en-US"/>
        </w:rPr>
        <w:t>.</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4</m:t>
            </m:r>
          </m:sub>
        </m:sSub>
      </m:oMath>
      <w:r w:rsidR="007419CB" w:rsidRPr="000A4838">
        <w:rPr>
          <w:lang w:val="en-US"/>
        </w:rPr>
        <w:t xml:space="preserve"> (BCC‐favoring VEC) via Gaussian window over </w:t>
      </w:r>
      <m:oMath>
        <m:acc>
          <m:accPr>
            <m:chr m:val="̅"/>
            <m:ctrlPr>
              <w:rPr>
                <w:rFonts w:ascii="Cambria Math" w:eastAsia="Cambria Math" w:hAnsi="Cambria Math"/>
                <w:i/>
                <w:lang w:val="en-US"/>
              </w:rPr>
            </m:ctrlPr>
          </m:accPr>
          <m:e>
            <m:r>
              <w:rPr>
                <w:rFonts w:ascii="Cambria Math" w:hAnsi="Cambria Math"/>
                <w:lang w:val="en-US"/>
              </w:rPr>
              <m:t>VEC</m:t>
            </m:r>
          </m:e>
        </m:acc>
        <m:r>
          <w:rPr>
            <w:rFonts w:ascii="Cambria Math" w:hAnsi="Cambria Math"/>
            <w:lang w:val="en-US"/>
          </w:rPr>
          <m:t xml:space="preserve"> ∈[6.87,8</m:t>
        </m:r>
      </m:oMath>
      <w:r w:rsidR="007419CB" w:rsidRPr="000A4838">
        <w:rPr>
          <w:lang w:val="en-US"/>
        </w:rPr>
        <w:t>] valence electron per atom.</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5</m:t>
            </m:r>
          </m:sub>
        </m:sSub>
      </m:oMath>
      <w:r w:rsidR="007419CB" w:rsidRPr="000A4838">
        <w:rPr>
          <w:lang w:val="en-US"/>
        </w:rPr>
        <w:t xml:space="preserve"> (ductility) via Gaussian on </w:t>
      </w:r>
      <m:oMath>
        <m:r>
          <w:rPr>
            <w:rFonts w:ascii="Cambria Math" w:hAnsi="Cambria Math"/>
            <w:lang w:val="en-US"/>
          </w:rPr>
          <m:t>δ</m:t>
        </m:r>
      </m:oMath>
      <w:r w:rsidR="007419CB" w:rsidRPr="000A4838">
        <w:rPr>
          <w:lang w:val="en-US"/>
        </w:rPr>
        <w:t xml:space="preserve">‐mismatch in </w:t>
      </w:r>
      <m:oMath>
        <m:r>
          <w:rPr>
            <w:rFonts w:ascii="Cambria Math" w:hAnsi="Cambria Math"/>
            <w:lang w:val="en-US"/>
          </w:rPr>
          <m:t>[0.03,0.066]</m:t>
        </m:r>
      </m:oMath>
      <w:r w:rsidR="007419CB" w:rsidRPr="000A4838">
        <w:rPr>
          <w:lang w:val="en-US"/>
        </w:rPr>
        <w:t>.</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6</m:t>
            </m:r>
          </m:sub>
        </m:sSub>
      </m:oMath>
      <w:r w:rsidR="007419CB" w:rsidRPr="000A4838">
        <w:rPr>
          <w:lang w:val="en-US"/>
        </w:rPr>
        <w:t xml:space="preserve"> (ductile </w:t>
      </w:r>
      <m:oMath>
        <m:r>
          <w:rPr>
            <w:rFonts w:ascii="Cambria Math" w:hAnsi="Cambria Math"/>
            <w:lang w:val="en-US"/>
          </w:rPr>
          <m:t>G/B</m:t>
        </m:r>
      </m:oMath>
      <w:r w:rsidR="007419CB" w:rsidRPr="000A4838">
        <w:rPr>
          <w:lang w:val="en-US"/>
        </w:rPr>
        <w:t xml:space="preserve"> behavior) via sigmoid between 0.5 and 0.6 on </w:t>
      </w:r>
      <m:oMath>
        <m:r>
          <w:rPr>
            <w:rFonts w:ascii="Cambria Math" w:hAnsi="Cambria Math"/>
            <w:lang w:val="en-US"/>
          </w:rPr>
          <m:t>G/B</m:t>
        </m:r>
      </m:oMath>
      <w:r w:rsidR="007419CB" w:rsidRPr="000A4838">
        <w:rPr>
          <w:lang w:val="en-US"/>
        </w:rPr>
        <w:t>.</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7</m:t>
            </m:r>
          </m:sub>
        </m:sSub>
      </m:oMath>
      <w:r w:rsidR="007419CB" w:rsidRPr="000A4838">
        <w:rPr>
          <w:lang w:val="en-US"/>
        </w:rPr>
        <w:t xml:space="preserve"> (resistance to intermetallic formation) via Gaussian on </w:t>
      </w:r>
      <m:oMath>
        <m:sSub>
          <m:sSubPr>
            <m:ctrlPr>
              <w:rPr>
                <w:rFonts w:ascii="Cambria Math" w:eastAsiaTheme="minorEastAsia" w:hAnsi="Cambria Math"/>
                <w:i/>
                <w:lang w:val="en-US"/>
              </w:rPr>
            </m:ctrlPr>
          </m:sSubPr>
          <m:e>
            <m:r>
              <w:rPr>
                <w:rFonts w:eastAsiaTheme="minorEastAsia"/>
                <w:lang w:val="en-US"/>
              </w:rPr>
              <m:t>E</m:t>
            </m:r>
          </m:e>
          <m:sub>
            <m:r>
              <w:rPr>
                <w:rFonts w:eastAsiaTheme="minorEastAsia"/>
                <w:lang w:val="en-US"/>
              </w:rPr>
              <m:t>f</m:t>
            </m:r>
          </m:sub>
        </m:sSub>
        <m:r>
          <w:rPr>
            <w:rFonts w:ascii="Cambria Math" w:hAnsi="Cambria Math"/>
            <w:lang w:val="en-US"/>
          </w:rPr>
          <m:t>∈[–0.156,0.052]</m:t>
        </m:r>
      </m:oMath>
      <w:r w:rsidR="007419CB" w:rsidRPr="000A4838">
        <w:rPr>
          <w:lang w:val="en-US"/>
        </w:rPr>
        <w:t xml:space="preserve"> eV/atom </w:t>
      </w:r>
      <w:r w:rsidR="007419CB" w:rsidRPr="000A4838">
        <w:rPr>
          <w:lang w:val="en-US"/>
        </w:rPr>
        <w:fldChar w:fldCharType="begin"/>
      </w:r>
      <w:r w:rsidR="00B77C17">
        <w:rPr>
          <w:lang w:val="en-US"/>
        </w:rPr>
        <w:instrText xml:space="preserve"> ADDIN ZOTERO_ITEM CSL_CITATION {"citationID":"Bgz0hLmj","properties":{"formattedCitation":"\\super 33\\nosupersub{}","plainCitation":"33","noteIndex":0},"citationItems":[{"id":180,"uris":["http://zotero.org/users/local/hYny5ca1/items/32RTC2I9","http://zotero.org/users/local/hYny5ca1/items/7HMW5CVS"],"itemData":{"id":180,"type":"article-journal","abstract":"The present study combines density functional theory (DFT) based calculations and experimental techniques to investigate the formation of equiatomic quaternary “low-activation\" high entropy alloys (HEAs) for nuclear fission/fusion applications. DFT based techniques are adopted to screen the formation of possible single-phase ternary and quaternary alloys in chemical space consisting of the low-activation elements (Ti, V, Cr, Mn, Fe, Ta and W). The results indicate that TaTiVW and CrFeMnV can be formed in a single body centred cubic phase (BCC). Based on the DFT based screening, HEAs are fabricated by a vacuum arc melting process. Further characterisation by X-ray diffraction, energy dispersive X-Ray analysis, X-ray fluorescence and scanning electron microscopy confirms the formation of TaTiVW in a BCC single phase. Microstructures of CrTiVW and CrTaVW in as-cast conditions, consist of two BCC phases with very similar lattice parameters. CrTaTiW and CrTaTiV showed evidence of C15 Laves formation comprising of TaCr2 and TiV2, respectively.","container-title":"Journal of Alloys and Compounds","DOI":"10.1016/j.jallcom.2022.164526","ISSN":"0925-8388","journalAbbreviation":"Journal of Alloys and Compounds","page":"164526","title":"Design principles of low-activation high entropy alloys","volume":"907","author":[{"family":"Tan","given":"Liangzhi"},{"family":"Ali","given":"Kawsar"},{"family":"Ghosh","given":"Partha Sarathi"},{"family":"Arya","given":"Ashok"},{"family":"Zhou","given":"Ying"},{"family":"Smith","given":"Roger"},{"family":"Goddard","given":"Pooja"},{"family":"Patel","given":"Dhinisa"},{"family":"Shahmir","given":"Hamed"},{"family":"Gandy","given":"Amy"}],"issued":{"date-parts":[["2022",6,25]]}}}],"schema":"https://github.com/citation-style-language/schema/raw/master/csl-citation.json"} </w:instrText>
      </w:r>
      <w:r w:rsidR="007419CB" w:rsidRPr="000A4838">
        <w:rPr>
          <w:lang w:val="en-US"/>
        </w:rPr>
        <w:fldChar w:fldCharType="separate"/>
      </w:r>
      <w:r w:rsidR="00B77C17" w:rsidRPr="00B77C17">
        <w:rPr>
          <w:rFonts w:cs="Times New Roman"/>
          <w:szCs w:val="24"/>
          <w:vertAlign w:val="superscript"/>
          <w:lang w:val="en-US"/>
        </w:rPr>
        <w:t>33</w:t>
      </w:r>
      <w:r w:rsidR="007419CB" w:rsidRPr="000A4838">
        <w:rPr>
          <w:lang w:val="en-US"/>
        </w:rPr>
        <w:fldChar w:fldCharType="end"/>
      </w:r>
      <w:r w:rsidR="007419CB" w:rsidRPr="000A4838">
        <w:rPr>
          <w:lang w:val="en-US"/>
        </w:rPr>
        <w:t>.</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8</m:t>
            </m:r>
          </m:sub>
        </m:sSub>
      </m:oMath>
      <w:r w:rsidR="007419CB" w:rsidRPr="000A4838">
        <w:rPr>
          <w:lang w:val="en-US"/>
        </w:rPr>
        <w:t xml:space="preserve"> (</w:t>
      </w:r>
      <m:oMath>
        <m:r>
          <m:rPr>
            <m:sty m:val="p"/>
          </m:rPr>
          <w:rPr>
            <w:rFonts w:ascii="Cambria Math" w:hAnsi="Cambria Math"/>
            <w:lang w:val="en-US"/>
          </w:rPr>
          <m:t>Ω</m:t>
        </m:r>
      </m:oMath>
      <w:r w:rsidR="007419CB" w:rsidRPr="000A4838">
        <w:rPr>
          <w:lang w:val="en-US"/>
        </w:rPr>
        <w:t xml:space="preserve"> for solid‐solution stabilization) via sigmoid between 1.0–1.2.</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9</m:t>
            </m:r>
          </m:sub>
        </m:sSub>
      </m:oMath>
      <w:r w:rsidR="007419CB" w:rsidRPr="000A4838">
        <w:rPr>
          <w:lang w:val="en-US"/>
        </w:rPr>
        <w:t xml:space="preserve"> (high configurational entropy) via Gaussian on </w:t>
      </w:r>
      <m:oMath>
        <m:sSub>
          <m:sSubPr>
            <m:ctrlPr>
              <w:rPr>
                <w:rFonts w:ascii="Cambria Math" w:eastAsia="Cambria Math" w:hAnsi="Cambria Math"/>
                <w:i/>
                <w:lang w:val="en-US"/>
              </w:rPr>
            </m:ctrlPr>
          </m:sSubPr>
          <m:e>
            <m:r>
              <m:rPr>
                <m:sty m:val="p"/>
              </m:rPr>
              <w:rPr>
                <w:rFonts w:ascii="Cambria Math" w:hAnsi="Cambria Math"/>
                <w:lang w:val="en-US"/>
              </w:rPr>
              <m:t>Δ</m:t>
            </m:r>
            <m:r>
              <w:rPr>
                <w:rFonts w:ascii="Cambria Math" w:hAnsi="Cambria Math"/>
                <w:lang w:val="en-US"/>
              </w:rPr>
              <m:t>S</m:t>
            </m:r>
          </m:e>
          <m:sub>
            <m:r>
              <m:rPr>
                <m:sty m:val="p"/>
              </m:rPr>
              <w:rPr>
                <w:rFonts w:ascii="Cambria Math" w:hAnsi="Cambria Math"/>
                <w:lang w:val="en-US"/>
              </w:rPr>
              <m:t>mix</m:t>
            </m:r>
          </m:sub>
        </m:sSub>
        <m:r>
          <w:rPr>
            <w:rFonts w:ascii="Cambria Math" w:hAnsi="Cambria Math"/>
            <w:lang w:val="en-US"/>
          </w:rPr>
          <m:t>∈[1.31,2.32] R</m:t>
        </m:r>
      </m:oMath>
      <w:r w:rsidR="007419CB" w:rsidRPr="000A4838">
        <w:rPr>
          <w:lang w:val="en-US"/>
        </w:rPr>
        <w:t>.</w:t>
      </w:r>
    </w:p>
    <w:p w:rsidR="007419CB" w:rsidRPr="000A4838" w:rsidRDefault="00CC139D" w:rsidP="00F949EF">
      <w:pPr>
        <w:pStyle w:val="Paragraphedeliste"/>
        <w:numPr>
          <w:ilvl w:val="0"/>
          <w:numId w:val="6"/>
        </w:numPr>
        <w:spacing w:after="160" w:line="480" w:lineRule="auto"/>
        <w:contextualSpacing w:val="0"/>
        <w:rPr>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10</m:t>
            </m:r>
          </m:sub>
        </m:sSub>
      </m:oMath>
      <w:r w:rsidR="007419CB" w:rsidRPr="000A4838">
        <w:rPr>
          <w:lang w:val="en-US"/>
        </w:rPr>
        <w:t xml:space="preserve"> (resistance to oxidation at high-temperature) via sigmoid between -0.25 and 0.25 – this value derives from a logarithm of the growth rate of the oxidation layer: the smaller is the better.</w:t>
      </w:r>
    </w:p>
    <w:bookmarkEnd w:id="113"/>
    <w:p w:rsidR="007419CB" w:rsidRPr="000A4838" w:rsidRDefault="007419CB" w:rsidP="0021751D">
      <w:pPr>
        <w:pStyle w:val="Paragraphedeliste"/>
        <w:spacing w:after="160" w:line="480" w:lineRule="auto"/>
        <w:ind w:left="0"/>
        <w:contextualSpacing w:val="0"/>
        <w:rPr>
          <w:lang w:val="en-US"/>
        </w:rPr>
      </w:pPr>
    </w:p>
    <w:p w:rsidR="007419CB" w:rsidRPr="00685B45" w:rsidRDefault="007419CB" w:rsidP="0021751D">
      <w:pPr>
        <w:pStyle w:val="Paragraphedeliste"/>
        <w:spacing w:after="160" w:line="480" w:lineRule="auto"/>
        <w:ind w:left="0"/>
        <w:contextualSpacing w:val="0"/>
        <w:rPr>
          <w:lang w:val="en-US"/>
        </w:rPr>
      </w:pPr>
      <w:r w:rsidRPr="000A4838">
        <w:rPr>
          <w:lang w:val="en-US"/>
        </w:rPr>
        <w:t xml:space="preserve">Oxidation at high-temperature is often characterized by the “parabolic constant” </w:t>
      </w:r>
      <m:oMath>
        <m:r>
          <w:rPr>
            <w:rFonts w:ascii="Cambria Math" w:hAnsi="Cambria Math"/>
            <w:lang w:val="en-US"/>
          </w:rPr>
          <m:t>K</m:t>
        </m:r>
      </m:oMath>
      <w:r w:rsidRPr="000A4838">
        <w:rPr>
          <w:lang w:val="en-US"/>
        </w:rPr>
        <w:t xml:space="preserve"> (in mg</w:t>
      </w:r>
      <w:r w:rsidRPr="000A4838">
        <w:rPr>
          <w:vertAlign w:val="superscript"/>
          <w:lang w:val="en-US"/>
        </w:rPr>
        <w:t>2</w:t>
      </w:r>
      <w:r w:rsidRPr="000A4838">
        <w:rPr>
          <w:lang w:val="en-US"/>
        </w:rPr>
        <w:t>cm</w:t>
      </w:r>
      <w:r w:rsidRPr="000A4838">
        <w:rPr>
          <w:vertAlign w:val="superscript"/>
          <w:lang w:val="en-US"/>
        </w:rPr>
        <w:t>-4</w:t>
      </w:r>
      <w:r w:rsidRPr="000A4838">
        <w:rPr>
          <w:lang w:val="en-US"/>
        </w:rPr>
        <w:t>h</w:t>
      </w:r>
      <w:r w:rsidRPr="000A4838">
        <w:rPr>
          <w:vertAlign w:val="superscript"/>
          <w:lang w:val="en-US"/>
        </w:rPr>
        <w:t>-1</w:t>
      </w:r>
      <w:r w:rsidRPr="000A4838">
        <w:rPr>
          <w:lang w:val="en-US"/>
        </w:rPr>
        <w:t xml:space="preserve">) or its logarithm, roughly proportional to the inverse of the temperature in kelvin </w:t>
      </w:r>
      <w:r w:rsidRPr="000A4838">
        <w:rPr>
          <w:lang w:val="en-US"/>
        </w:rPr>
        <w:fldChar w:fldCharType="begin"/>
      </w:r>
      <w:r w:rsidR="00B77C17">
        <w:rPr>
          <w:lang w:val="en-US"/>
        </w:rPr>
        <w:instrText xml:space="preserve"> ADDIN ZOTERO_ITEM CSL_CITATION {"citationID":"DYi8IM2o","properties":{"formattedCitation":"\\super 34\\nosupersub{}","plainCitation":"34","noteIndex":0},"citationItems":[{"id":218,"uris":["http://zotero.org/users/local/hYny5ca1/items/9FH2M3CX"],"itemData":{"id":218,"type":"document","title":"5_Oxidation of pure metals.pdf","URL":"https://home.agh.edu.pl/~grzesik/FHTC/5_Oxidation%20of%20pure%20metals.pdf","accessed":{"date-parts":[["2025",5,14]]}}}],"schema":"https://github.com/citation-style-language/schema/raw/master/csl-citation.json"}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34</w:t>
      </w:r>
      <w:r w:rsidRPr="000A4838">
        <w:rPr>
          <w:lang w:val="en-US"/>
        </w:rPr>
        <w:fldChar w:fldCharType="end"/>
      </w:r>
      <w:r w:rsidRPr="000A4838">
        <w:rPr>
          <w:lang w:val="en-US"/>
        </w:rPr>
        <w:t xml:space="preserve">. In a recent paper </w:t>
      </w:r>
      <w:r w:rsidRPr="000A4838">
        <w:rPr>
          <w:lang w:val="en-US"/>
        </w:rPr>
        <w:fldChar w:fldCharType="begin"/>
      </w:r>
      <w:r w:rsidR="00B77C17">
        <w:rPr>
          <w:lang w:val="en-US"/>
        </w:rPr>
        <w:instrText xml:space="preserve"> ADDIN ZOTERO_ITEM CSL_CITATION {"citationID":"tMGwEMFW","properties":{"formattedCitation":"\\super 35\\nosupersub{}","plainCitation":"35","noteIndex":0},"citationItems":[{"id":325,"uris":["http://zotero.org/users/local/hYny5ca1/items/7TBUDLXF"],"itemData":{"id":325,"type":"article-journal","abstract":"Parabolic rate constants, kp, were collected from published reports and calculated from corrosion product data (sample mass gain or corrosion product thickness) and tabulated for 75 alloys exposed to temperatures between ~800 and 2000 K (~500–1700 oC; 900–3000 oF). Data were collected for environments including lab air, ambient and supercritical carbon dioxide, supercritical water, and steam. Materials studied include low- and high-Cr ferritic and austenitic steels, nickel superalloys, and aluminide materials. A combination of Arrhenius analysis, simple linear regression, supervised and unsupervised machine learning methods were used to investigate the relations between composition and oxidation kinetics. The supervised machine learning techniques produced the lowest mean standard errors. The most significant elements controlling oxidation kinetics were Ni, Cr, Al, and Fe, with Mo and Co composition also found to be significant features. The activation energies produced from the machine learning analysis were in the correct distributions for the diffusion constants for the oxide scales expected to dominate in each class.","container-title":"npj Materials Degradation","DOI":"10.1038/s41529-021-00184-3","ISSN":"2397-2106","issue":"1","journalAbbreviation":"npj Materials Degradation","page":"38","title":"High temperature oxidation of corrosion resistant alloys from machine learning","volume":"5","author":[{"family":"Taylor","given":"Christopher D."},{"family":"Tossey","given":"Brett M."}],"issued":{"date-parts":[["2021",7,15]]}}}],"schema":"https://github.com/citation-style-language/schema/raw/master/csl-citation.json"}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35</w:t>
      </w:r>
      <w:r w:rsidRPr="000A4838">
        <w:rPr>
          <w:lang w:val="en-US"/>
        </w:rPr>
        <w:fldChar w:fldCharType="end"/>
      </w:r>
      <w:r w:rsidRPr="000A4838">
        <w:rPr>
          <w:lang w:val="en-US"/>
        </w:rPr>
        <w:t xml:space="preserve">, </w:t>
      </w:r>
      <w:r>
        <w:rPr>
          <w:lang w:val="en-US"/>
        </w:rPr>
        <w:t>it</w:t>
      </w:r>
      <w:r w:rsidRPr="000A4838">
        <w:rPr>
          <w:lang w:val="en-US"/>
        </w:rPr>
        <w:t xml:space="preserve"> can </w:t>
      </w:r>
      <w:r>
        <w:rPr>
          <w:lang w:val="en-US"/>
        </w:rPr>
        <w:t xml:space="preserve">be </w:t>
      </w:r>
      <w:r w:rsidRPr="000A4838">
        <w:rPr>
          <w:lang w:val="en-US"/>
        </w:rPr>
        <w:t>observe</w:t>
      </w:r>
      <w:r>
        <w:rPr>
          <w:lang w:val="en-US"/>
        </w:rPr>
        <w:t>d</w:t>
      </w:r>
      <w:r w:rsidRPr="000A4838">
        <w:rPr>
          <w:lang w:val="en-US"/>
        </w:rPr>
        <w:t xml:space="preserve"> that the range of values for </w:t>
      </w:r>
      <m:oMath>
        <m:func>
          <m:funcPr>
            <m:ctrlPr>
              <w:rPr>
                <w:rFonts w:ascii="Cambria Math" w:eastAsia="Cambria Math" w:hAnsi="Cambria Math"/>
                <w:i/>
                <w:lang w:val="en-US"/>
              </w:rPr>
            </m:ctrlPr>
          </m:funcPr>
          <m:fName>
            <m:sSub>
              <m:sSubPr>
                <m:ctrlPr>
                  <w:rPr>
                    <w:rFonts w:ascii="Cambria Math" w:eastAsia="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acc>
              <m:accPr>
                <m:chr m:val="̃"/>
                <m:ctrlPr>
                  <w:rPr>
                    <w:rFonts w:ascii="Cambria Math" w:eastAsia="Cambria Math" w:hAnsi="Cambria Math"/>
                    <w:i/>
                    <w:lang w:val="en-US"/>
                  </w:rPr>
                </m:ctrlPr>
              </m:accPr>
              <m:e>
                <m:r>
                  <w:rPr>
                    <w:rFonts w:ascii="Cambria Math" w:hAnsi="Cambria Math"/>
                    <w:lang w:val="en-US"/>
                  </w:rPr>
                  <m:t>K</m:t>
                </m:r>
              </m:e>
            </m:acc>
          </m:e>
        </m:func>
      </m:oMath>
      <w:r w:rsidRPr="000A4838">
        <w:rPr>
          <w:lang w:val="en-US"/>
        </w:rPr>
        <w:t xml:space="preserve"> is about </w:t>
      </w:r>
      <m:oMath>
        <m:r>
          <w:rPr>
            <w:rFonts w:ascii="Cambria Math" w:hAnsi="Cambria Math"/>
            <w:lang w:val="en-US"/>
          </w:rPr>
          <m:t>[-14, -10]</m:t>
        </m:r>
      </m:oMath>
      <w:r w:rsidRPr="000A4838">
        <w:rPr>
          <w:lang w:val="en-US"/>
        </w:rPr>
        <w:t xml:space="preserve"> at </w:t>
      </w:r>
      <m:oMath>
        <m:r>
          <w:rPr>
            <w:rFonts w:ascii="Cambria Math" w:hAnsi="Cambria Math"/>
            <w:lang w:val="en-US"/>
          </w:rPr>
          <m:t>T=1000C</m:t>
        </m:r>
      </m:oMath>
      <w:r w:rsidRPr="000A4838">
        <w:rPr>
          <w:lang w:val="en-US"/>
        </w:rPr>
        <w:t xml:space="preserve">, or rather </w:t>
      </w:r>
      <m:oMath>
        <m:func>
          <m:funcPr>
            <m:ctrlPr>
              <w:rPr>
                <w:rFonts w:ascii="Cambria Math" w:eastAsia="Cambria Math" w:hAnsi="Cambria Math"/>
                <w:i/>
                <w:lang w:val="en-US"/>
              </w:rPr>
            </m:ctrlPr>
          </m:funcPr>
          <m:fName>
            <m:sSub>
              <m:sSubPr>
                <m:ctrlPr>
                  <w:rPr>
                    <w:rFonts w:ascii="Cambria Math" w:eastAsia="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K∈[-0.4, -4.4]</m:t>
            </m:r>
          </m:e>
        </m:func>
      </m:oMath>
      <w:r w:rsidRPr="000A4838">
        <w:rPr>
          <w:lang w:val="en-US"/>
        </w:rPr>
        <w:t xml:space="preserve"> if </w:t>
      </w:r>
      <m:oMath>
        <m:acc>
          <m:accPr>
            <m:chr m:val="̃"/>
            <m:ctrlPr>
              <w:rPr>
                <w:rFonts w:ascii="Cambria Math" w:eastAsia="Cambria Math" w:hAnsi="Cambria Math"/>
                <w:i/>
                <w:lang w:val="en-US"/>
              </w:rPr>
            </m:ctrlPr>
          </m:accPr>
          <m:e>
            <m:r>
              <w:rPr>
                <w:rFonts w:ascii="Cambria Math" w:hAnsi="Cambria Math"/>
                <w:lang w:val="en-US"/>
              </w:rPr>
              <m:t>K</m:t>
            </m:r>
          </m:e>
        </m:acc>
      </m:oMath>
      <w:r w:rsidRPr="000A4838">
        <w:rPr>
          <w:lang w:val="en-US"/>
        </w:rPr>
        <w:t xml:space="preserve"> (in g</w:t>
      </w:r>
      <w:r w:rsidRPr="000A4838">
        <w:rPr>
          <w:vertAlign w:val="superscript"/>
          <w:lang w:val="en-US"/>
        </w:rPr>
        <w:t>2</w:t>
      </w:r>
      <w:r w:rsidRPr="000A4838">
        <w:rPr>
          <w:lang w:val="en-US"/>
        </w:rPr>
        <w:t>cm</w:t>
      </w:r>
      <w:r w:rsidRPr="000A4838">
        <w:rPr>
          <w:vertAlign w:val="superscript"/>
          <w:lang w:val="en-US"/>
        </w:rPr>
        <w:t>-4</w:t>
      </w:r>
      <w:r w:rsidRPr="000A4838">
        <w:rPr>
          <w:lang w:val="en-US"/>
        </w:rPr>
        <w:t>s</w:t>
      </w:r>
      <w:r w:rsidRPr="000A4838">
        <w:rPr>
          <w:vertAlign w:val="superscript"/>
          <w:lang w:val="en-US"/>
        </w:rPr>
        <w:t>-1</w:t>
      </w:r>
      <w:r w:rsidRPr="000A4838">
        <w:rPr>
          <w:lang w:val="en-US"/>
        </w:rPr>
        <w:t xml:space="preserve">) </w:t>
      </w:r>
      <w:r>
        <w:rPr>
          <w:lang w:val="en-US"/>
        </w:rPr>
        <w:t xml:space="preserve">is </w:t>
      </w:r>
      <w:r w:rsidRPr="000A4838">
        <w:rPr>
          <w:lang w:val="en-US"/>
        </w:rPr>
        <w:t>convert</w:t>
      </w:r>
      <w:r>
        <w:rPr>
          <w:lang w:val="en-US"/>
        </w:rPr>
        <w:t>ed</w:t>
      </w:r>
      <w:r w:rsidRPr="000A4838">
        <w:rPr>
          <w:lang w:val="en-US"/>
        </w:rPr>
        <w:t xml:space="preserve"> in mg</w:t>
      </w:r>
      <w:r w:rsidRPr="000A4838">
        <w:rPr>
          <w:vertAlign w:val="superscript"/>
          <w:lang w:val="en-US"/>
        </w:rPr>
        <w:t>2</w:t>
      </w:r>
      <w:r w:rsidRPr="000A4838">
        <w:rPr>
          <w:lang w:val="en-US"/>
        </w:rPr>
        <w:t>cm</w:t>
      </w:r>
      <w:r w:rsidRPr="000A4838">
        <w:rPr>
          <w:vertAlign w:val="superscript"/>
          <w:lang w:val="en-US"/>
        </w:rPr>
        <w:t>-4</w:t>
      </w:r>
      <w:r w:rsidRPr="000A4838">
        <w:rPr>
          <w:lang w:val="en-US"/>
        </w:rPr>
        <w:t>h</w:t>
      </w:r>
      <w:r w:rsidRPr="000A4838">
        <w:rPr>
          <w:vertAlign w:val="superscript"/>
          <w:lang w:val="en-US"/>
        </w:rPr>
        <w:t>-1</w:t>
      </w:r>
      <w:r w:rsidRPr="000A4838">
        <w:rPr>
          <w:lang w:val="en-US"/>
        </w:rPr>
        <w:t xml:space="preserve">. In the NASA study TM-105934 </w:t>
      </w:r>
      <w:r w:rsidRPr="000A4838">
        <w:rPr>
          <w:lang w:val="en-US"/>
        </w:rPr>
        <w:fldChar w:fldCharType="begin"/>
      </w:r>
      <w:r w:rsidR="00B77C17">
        <w:rPr>
          <w:lang w:val="en-US"/>
        </w:rPr>
        <w:instrText xml:space="preserve"> ADDIN ZOTERO_ITEM CSL_CITATION {"citationID":"7M4WkwO5","properties":{"formattedCitation":"\\super 36\\nosupersub{}","plainCitation":"36","noteIndex":0},"citationItems":[{"id":326,"uris":["http://zotero.org/users/local/hYny5ca1/items/BWF53KDA"],"itemData":{"id":326,"type":"report","abstract":"A large body of high temperature cyclic oxidation data generated from tests at NASA Lewis Research Center involving gravimetric/time values for 36 Ni- and Co-base superalloys was reduced to a single attack parameter, K(sub a), for each run. This K(sub a) value was used to rank the cyclic oxidation resistance of each alloy at 1000, 1100, and 1150 C. These K(sub a) values were also used to derive an estimating equation using multiple linear regression involving log(sub 10)K(sub a) as a function of alloy chemistry and test temperature. This estimating equation has a high degree of fit and could be used to predict cyclic oxidation behavior for similar alloys and to design an optimum high strength Ni-base superalloy with maximum high temperature cyclic oxidation resistance. The critical alloy elements found to be beneficial were Al, Cr, and Ta.","note":"NTRS Author Affiliations: NASA Lewis Research Center\nNTRS Document ID: 19930008880\nNTRS Research Center: Legacy CDMS (CDMS)","number":"NASA-TM-105934","source":"NASA NTRS","title":"A statistical analysis of elevated temperature gravimetric cyclic oxidation data of 36 Ni- and Co-base superalloys based on an oxidation attack parameter","URL":"https://ntrs.nasa.gov/citations/19930008880","author":[{"family":"Barrett","given":"Charles A."}],"accessed":{"date-parts":[["2025",5,23]]},"issued":{"date-parts":[["1992",12,1]]}}}],"schema":"https://github.com/citation-style-language/schema/raw/master/csl-citation.json"}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36</w:t>
      </w:r>
      <w:r w:rsidRPr="000A4838">
        <w:rPr>
          <w:lang w:val="en-US"/>
        </w:rPr>
        <w:fldChar w:fldCharType="end"/>
      </w:r>
      <w:r w:rsidRPr="000A4838">
        <w:rPr>
          <w:lang w:val="en-US"/>
        </w:rPr>
        <w:t xml:space="preserve">, Barrett defines the values of </w:t>
      </w:r>
      <m:oMath>
        <m:r>
          <w:rPr>
            <w:rFonts w:ascii="Cambria Math" w:hAnsi="Cambria Math"/>
            <w:lang w:val="en-US"/>
          </w:rPr>
          <m:t>K</m:t>
        </m:r>
      </m:oMath>
      <w:r w:rsidRPr="000A4838">
        <w:rPr>
          <w:lang w:val="en-US"/>
        </w:rPr>
        <w:t xml:space="preserve"> to be “good” when below </w:t>
      </w:r>
      <w:r w:rsidRPr="00685B45">
        <w:rPr>
          <w:lang w:val="en-US"/>
        </w:rPr>
        <w:t>0.5 (</w:t>
      </w:r>
      <m:oMath>
        <m:func>
          <m:funcPr>
            <m:ctrlPr>
              <w:rPr>
                <w:rFonts w:ascii="Cambria Math" w:eastAsia="Cambria Math" w:hAnsi="Cambria Math"/>
                <w:i/>
                <w:lang w:val="en-US"/>
              </w:rPr>
            </m:ctrlPr>
          </m:funcPr>
          <m:fName>
            <m:sSub>
              <m:sSubPr>
                <m:ctrlPr>
                  <w:rPr>
                    <w:rFonts w:ascii="Cambria Math" w:eastAsia="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K&lt;-0.3</m:t>
            </m:r>
          </m:e>
        </m:func>
      </m:oMath>
      <w:r w:rsidRPr="00685B45">
        <w:rPr>
          <w:lang w:val="en-US"/>
        </w:rPr>
        <w:t>) and “excellent” when below 0.2 (</w:t>
      </w:r>
      <m:oMath>
        <m:func>
          <m:funcPr>
            <m:ctrlPr>
              <w:rPr>
                <w:rFonts w:ascii="Cambria Math" w:eastAsia="Cambria Math" w:hAnsi="Cambria Math"/>
                <w:i/>
                <w:lang w:val="en-US"/>
              </w:rPr>
            </m:ctrlPr>
          </m:funcPr>
          <m:fName>
            <m:sSub>
              <m:sSubPr>
                <m:ctrlPr>
                  <w:rPr>
                    <w:rFonts w:ascii="Cambria Math" w:eastAsia="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K&lt;-0.7</m:t>
            </m:r>
          </m:e>
        </m:func>
      </m:oMath>
      <w:r w:rsidRPr="00685B45">
        <w:rPr>
          <w:lang w:val="en-US"/>
        </w:rPr>
        <w:t>). The final window that was eventually retained balances both indications.</w:t>
      </w:r>
    </w:p>
    <w:p w:rsidR="007419CB" w:rsidRPr="00685B45" w:rsidRDefault="007419CB" w:rsidP="0021751D">
      <w:pPr>
        <w:pStyle w:val="Paragraphedeliste"/>
        <w:spacing w:after="160" w:line="480" w:lineRule="auto"/>
        <w:contextualSpacing w:val="0"/>
        <w:rPr>
          <w:lang w:val="en-US"/>
        </w:rPr>
      </w:pPr>
    </w:p>
    <w:p w:rsidR="007419CB" w:rsidRPr="000A4838" w:rsidRDefault="007419CB" w:rsidP="0021751D">
      <w:pPr>
        <w:spacing w:after="160" w:line="480" w:lineRule="auto"/>
        <w:rPr>
          <w:lang w:val="en-US"/>
        </w:rPr>
      </w:pPr>
      <w:r w:rsidRPr="00685B45">
        <w:rPr>
          <w:lang w:val="en-US"/>
        </w:rPr>
        <w:t xml:space="preserve">The g-scores were appended to each row alongside the raw physical predictions. After computing all ten heuristic g-scores, a uniform performance threshold is imposed to isolate only those HEA compositions that demonstrate baseline suitability across every metric. Specifically, </w:t>
      </w:r>
      <w:r>
        <w:rPr>
          <w:lang w:val="en-US"/>
        </w:rPr>
        <w:t>only</w:t>
      </w:r>
      <w:r w:rsidRPr="00685B45">
        <w:rPr>
          <w:lang w:val="en-US"/>
        </w:rPr>
        <w:t xml:space="preserve"> alloys for wh</w:t>
      </w:r>
      <w:r>
        <w:rPr>
          <w:lang w:val="en-US"/>
        </w:rPr>
        <w:t>ose</w:t>
      </w:r>
      <w:r w:rsidRPr="00685B45">
        <w:rPr>
          <w:lang w:val="en-US"/>
        </w:rPr>
        <w:t xml:space="preserve"> score</w:t>
      </w:r>
      <w:r>
        <w:rPr>
          <w:lang w:val="en-US"/>
        </w:rPr>
        <w:t>s</w:t>
      </w:r>
      <w:r w:rsidRPr="00685B45">
        <w:rPr>
          <w:lang w:val="en-US"/>
        </w:rPr>
        <w:t xml:space="preserve">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≥0.3</m:t>
        </m:r>
      </m:oMath>
      <w:r>
        <w:rPr>
          <w:rFonts w:eastAsiaTheme="minorEastAsia"/>
          <w:lang w:val="en-US"/>
        </w:rPr>
        <w:t xml:space="preserve"> are retained</w:t>
      </w:r>
      <w:r w:rsidRPr="00685B45">
        <w:rPr>
          <w:lang w:val="en-US"/>
        </w:rPr>
        <w:t>. This cutoff guarantees that no single</w:t>
      </w:r>
      <w:r w:rsidRPr="000A4838">
        <w:rPr>
          <w:lang w:val="en-US"/>
        </w:rPr>
        <w:t xml:space="preserve"> property falls below a minimal acceptable level, thereby ensuring that every candidate possesses at least moderate creep resistance, melting point, density, ductility, oxidation resistance, and so forth</w:t>
      </w:r>
      <w:r w:rsidRPr="000A4838">
        <w:rPr>
          <w:rFonts w:eastAsiaTheme="minorEastAsia"/>
          <w:lang w:val="en-US"/>
        </w:rPr>
        <w:t xml:space="preserve"> – by construction,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≥0.5</m:t>
        </m:r>
      </m:oMath>
      <w:r w:rsidRPr="000A4838">
        <w:rPr>
          <w:rFonts w:eastAsiaTheme="minorEastAsia"/>
          <w:lang w:val="en-US"/>
        </w:rPr>
        <w:t xml:space="preserve"> is ideal, but globally too demanding</w:t>
      </w:r>
      <w:r w:rsidRPr="000A4838">
        <w:rPr>
          <w:lang w:val="en-US"/>
        </w:rPr>
        <w:t>. By applying this “all-</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&gt;0.3</m:t>
        </m:r>
      </m:oMath>
      <w:r w:rsidRPr="000A4838">
        <w:rPr>
          <w:lang w:val="en-US"/>
        </w:rPr>
        <w:t>” filter, the database shrank from hundreds of thousands of random quinary alloys to a more manageable set of a few thousand compositions that are, in principle, eligible for next-generation superalloy applications.</w:t>
      </w:r>
    </w:p>
    <w:p w:rsidR="007419CB" w:rsidRPr="000A4838" w:rsidRDefault="007419CB" w:rsidP="0021751D">
      <w:pPr>
        <w:spacing w:after="160" w:line="480" w:lineRule="auto"/>
        <w:rPr>
          <w:lang w:val="en-US"/>
        </w:rPr>
      </w:pPr>
      <w:r w:rsidRPr="000A4838">
        <w:rPr>
          <w:lang w:val="en-US"/>
        </w:rPr>
        <w:t xml:space="preserve">With this filtered pool in hand, a Pareto-front analysis </w:t>
      </w:r>
      <w:r>
        <w:rPr>
          <w:lang w:val="en-US"/>
        </w:rPr>
        <w:t xml:space="preserve">is carried out </w:t>
      </w:r>
      <w:r w:rsidRPr="000A4838">
        <w:rPr>
          <w:lang w:val="en-US"/>
        </w:rPr>
        <w:t xml:space="preserve">on the vector of ten scores </w:t>
      </w:r>
      <m:oMath>
        <m:r>
          <m:rPr>
            <m:sty m:val="bi"/>
          </m:rPr>
          <w:rPr>
            <w:rFonts w:ascii="Cambria Math" w:hAnsi="Cambria Math"/>
            <w:lang w:val="en-US"/>
          </w:rPr>
          <m:t>g</m:t>
        </m:r>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10</m:t>
                </m:r>
              </m:sub>
            </m:sSub>
            <m:r>
              <w:rPr>
                <w:rFonts w:ascii="Cambria Math" w:hAnsi="Cambria Math"/>
                <w:lang w:val="en-US"/>
              </w:rPr>
              <m:t>)</m:t>
            </m:r>
          </m:e>
          <m:sup>
            <m:r>
              <w:rPr>
                <w:rFonts w:ascii="Cambria Math" w:hAnsi="Cambria Math"/>
                <w:lang w:val="en-US"/>
              </w:rPr>
              <m:t>⊤</m:t>
            </m:r>
          </m:sup>
        </m:sSup>
      </m:oMath>
      <w:r w:rsidRPr="00685B45">
        <w:rPr>
          <w:lang w:val="en-US"/>
        </w:rPr>
        <w:t xml:space="preserve">. In multi-objective optimization, a Pareto front (or Pareto frontier) consists of those solutions that are nondominated: no other candidate is strictly better in all objectives simultaneously. Concretely, alloy </w:t>
      </w:r>
      <m:oMath>
        <m:r>
          <w:rPr>
            <w:rFonts w:ascii="Cambria Math" w:hAnsi="Cambria Math"/>
            <w:lang w:val="en-US"/>
          </w:rPr>
          <m:t>A</m:t>
        </m:r>
      </m:oMath>
      <w:r w:rsidRPr="00685B45">
        <w:rPr>
          <w:lang w:val="en-US"/>
        </w:rPr>
        <w:t xml:space="preserve"> dominates alloy </w:t>
      </w:r>
      <m:oMath>
        <m:r>
          <w:rPr>
            <w:rFonts w:ascii="Cambria Math" w:hAnsi="Cambria Math"/>
            <w:lang w:val="en-US"/>
          </w:rPr>
          <m:t>B</m:t>
        </m:r>
      </m:oMath>
      <w:r w:rsidRPr="00685B45">
        <w:rPr>
          <w:lang w:val="en-US"/>
        </w:rPr>
        <w:t xml:space="preserve"> if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(A)≥</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(B)</m:t>
        </m:r>
      </m:oMath>
      <w:r w:rsidRPr="00685B45">
        <w:rPr>
          <w:lang w:val="en-US"/>
        </w:rPr>
        <w:t xml:space="preserve"> for every </w:t>
      </w:r>
      <m:oMath>
        <m:r>
          <w:rPr>
            <w:rFonts w:ascii="Cambria Math" w:hAnsi="Cambria Math"/>
            <w:lang w:val="en-US"/>
          </w:rPr>
          <m:t>i</m:t>
        </m:r>
      </m:oMath>
      <w:r w:rsidRPr="00685B45">
        <w:rPr>
          <w:lang w:val="en-US"/>
        </w:rPr>
        <w:t xml:space="preserve"> and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sub>
        </m:sSub>
        <m:r>
          <w:rPr>
            <w:rFonts w:ascii="Cambria Math" w:hAnsi="Cambria Math"/>
            <w:lang w:val="en-US"/>
          </w:rPr>
          <m:t>(A)&gt;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sub>
        </m:sSub>
        <m:r>
          <w:rPr>
            <w:rFonts w:ascii="Cambria Math" w:hAnsi="Cambria Math"/>
            <w:lang w:val="en-US"/>
          </w:rPr>
          <m:t>(B)</m:t>
        </m:r>
      </m:oMath>
      <w:r w:rsidRPr="00685B45">
        <w:rPr>
          <w:lang w:val="en-US"/>
        </w:rPr>
        <w:t xml:space="preserve"> for at least one property </w:t>
      </w:r>
      <m:oMath>
        <m:r>
          <w:rPr>
            <w:rFonts w:ascii="Cambria Math" w:hAnsi="Cambria Math"/>
            <w:lang w:val="en-US"/>
          </w:rPr>
          <m:t>j</m:t>
        </m:r>
      </m:oMath>
      <w:r w:rsidRPr="00685B45">
        <w:rPr>
          <w:lang w:val="en-US"/>
        </w:rPr>
        <w:t>. The Pareto-optimal set thus captures the “best” trade-offs among competing criteria, without privileging</w:t>
      </w:r>
      <w:r w:rsidRPr="000A4838">
        <w:rPr>
          <w:lang w:val="en-US"/>
        </w:rPr>
        <w:t xml:space="preserve"> any single metric.</w:t>
      </w:r>
    </w:p>
    <w:p w:rsidR="007419CB" w:rsidRPr="00685B45" w:rsidRDefault="007419CB" w:rsidP="0021751D">
      <w:pPr>
        <w:spacing w:after="160" w:line="480" w:lineRule="auto"/>
        <w:rPr>
          <w:lang w:val="en-US"/>
        </w:rPr>
      </w:pPr>
      <w:r w:rsidRPr="000A4838">
        <w:rPr>
          <w:lang w:val="en-US"/>
        </w:rPr>
        <w:t xml:space="preserve">Identifying this nondominated subset serves two crucial purposes. First, it preserves diversity: rather than converging </w:t>
      </w:r>
      <w:r w:rsidRPr="00685B45">
        <w:rPr>
          <w:lang w:val="en-US"/>
        </w:rPr>
        <w:t>to a handful of extremes, the Pareto front spans the full spectrum of balanced performance profiles – high-creep-resistance vs. low-density, superior oxidation resistance vs. maximal ductility, and so on. Second, it ensures efficiency: downstream efforts focus only on compositions that are competitive across all ten dimensions. By contrast, dominated alloys, which underperform in every respect compared to at least one peer, are useless for the analysis.</w:t>
      </w:r>
    </w:p>
    <w:p w:rsidR="007419CB" w:rsidRPr="000A4838" w:rsidRDefault="007419CB" w:rsidP="0021751D">
      <w:pPr>
        <w:spacing w:after="160" w:line="480" w:lineRule="auto"/>
        <w:rPr>
          <w:lang w:val="en-US"/>
        </w:rPr>
      </w:pPr>
      <w:r w:rsidRPr="00685B45">
        <w:rPr>
          <w:lang w:val="en-US"/>
        </w:rPr>
        <w:lastRenderedPageBreak/>
        <w:t>From a methodological standpoint, this filtration</w:t>
      </w:r>
      <w:r w:rsidRPr="000A4838">
        <w:rPr>
          <w:lang w:val="en-US"/>
        </w:rPr>
        <w:t xml:space="preserve"> and Pareto-selection pipeline offers a clear test of the brute-force screening phase. If the resulting front comprises hundreds of diverse, nondominated quinary alloys – many of which lie on or beyond the performance envelope of classical superalloys – then the random exploration has already uncovered a rich starting set. These candidates can then seed a generative‐AI workflow, providing the CVAE with high-quality examples that span the true Pareto frontier of HEA performance. Conversely, if the Pareto front is sparse or poorly distributed, it signals that brute-force sampling may require adjustment (e.g., focusing on specific element subsets or adjusting g-score thresholds) before entrusting an AI model to learn from the data.</w:t>
      </w:r>
    </w:p>
    <w:p w:rsidR="007419CB" w:rsidRDefault="007419CB" w:rsidP="0021751D">
      <w:pPr>
        <w:spacing w:after="160" w:line="480" w:lineRule="auto"/>
        <w:rPr>
          <w:lang w:val="en-US"/>
        </w:rPr>
      </w:pPr>
      <w:r w:rsidRPr="000A4838">
        <w:rPr>
          <w:lang w:val="en-US"/>
        </w:rPr>
        <w:t xml:space="preserve">In </w:t>
      </w:r>
      <w:r>
        <w:rPr>
          <w:lang w:val="en-US"/>
        </w:rPr>
        <w:t>this</w:t>
      </w:r>
      <w:r w:rsidRPr="000A4838">
        <w:rPr>
          <w:lang w:val="en-US"/>
        </w:rPr>
        <w:t xml:space="preserve"> study, the “all-</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&gt;0.3</m:t>
        </m:r>
      </m:oMath>
      <w:r w:rsidRPr="000A4838">
        <w:rPr>
          <w:lang w:val="en-US"/>
        </w:rPr>
        <w:t>” filter yielded approximately 300 alloys that proved to be nondominated. These 300 Pareto-optimal c</w:t>
      </w:r>
      <w:proofErr w:type="spellStart"/>
      <w:r w:rsidRPr="000A4838">
        <w:rPr>
          <w:lang w:val="en-US"/>
        </w:rPr>
        <w:t>andidates</w:t>
      </w:r>
      <w:proofErr w:type="spellEnd"/>
      <w:r w:rsidRPr="000A4838">
        <w:rPr>
          <w:lang w:val="en-US"/>
        </w:rPr>
        <w:t xml:space="preserve"> exhibit complementary trade-offs – some cluster near the highest creep resistance, others balance moderate strength with light density, etc. This rich, multi-dimensional ensemble demonstrates that even uninformed brute-force enumeration can locate promising regions in the vast quinary space. It also provides a robust foundation for the CVAE training set in Chapter </w:t>
      </w:r>
      <w:r w:rsidRPr="000A4838">
        <w:rPr>
          <w:lang w:val="en-US"/>
        </w:rPr>
        <w:fldChar w:fldCharType="begin"/>
      </w:r>
      <w:r w:rsidRPr="000A4838">
        <w:rPr>
          <w:lang w:val="en-US"/>
        </w:rPr>
        <w:instrText xml:space="preserve"> REF _Ref204787069 \h </w:instrText>
      </w:r>
      <w:r w:rsidR="0021751D">
        <w:rPr>
          <w:lang w:val="en-US"/>
        </w:rPr>
        <w:instrText xml:space="preserve"> \* MERGEFORMAT </w:instrText>
      </w:r>
      <w:r w:rsidRPr="000A4838">
        <w:rPr>
          <w:lang w:val="en-US"/>
        </w:rPr>
      </w:r>
      <w:r w:rsidRPr="000A4838">
        <w:rPr>
          <w:lang w:val="en-US"/>
        </w:rPr>
        <w:fldChar w:fldCharType="separate"/>
      </w:r>
      <w:r w:rsidR="00380C88" w:rsidRPr="000A4838">
        <w:rPr>
          <w:rFonts w:cs="Times New Roman"/>
          <w:lang w:val="en-US"/>
        </w:rPr>
        <w:t>GENERATIVE EXPLORATION &amp; FRONTIER EXPANSION</w:t>
      </w:r>
      <w:r w:rsidRPr="000A4838">
        <w:rPr>
          <w:lang w:val="en-US"/>
        </w:rPr>
        <w:fldChar w:fldCharType="end"/>
      </w:r>
      <w:r w:rsidRPr="000A4838">
        <w:rPr>
          <w:lang w:val="en-US"/>
        </w:rPr>
        <w:t>, where generative exploration will aim to expand and refine this frontier further.</w:t>
      </w:r>
    </w:p>
    <w:p w:rsidR="007419CB" w:rsidRDefault="007419CB" w:rsidP="0021751D">
      <w:pPr>
        <w:spacing w:after="160" w:line="480" w:lineRule="auto"/>
        <w:rPr>
          <w:lang w:val="en-US"/>
        </w:rPr>
      </w:pPr>
      <w:r>
        <w:rPr>
          <w:lang w:val="en-US"/>
        </w:rPr>
        <w:t xml:space="preserve">A summary of the different targets and their associated score, physical quantity, threshold or range values, and sources supporting these choices, is presented in </w:t>
      </w:r>
      <w:r w:rsidRPr="00C83BBE">
        <w:rPr>
          <w:lang w:val="en-US"/>
        </w:rPr>
        <w:fldChar w:fldCharType="begin"/>
      </w:r>
      <w:r w:rsidRPr="00C83BBE">
        <w:rPr>
          <w:lang w:val="en-US"/>
        </w:rPr>
        <w:instrText xml:space="preserve"> REF _Ref205592375 \h  \* MERGEFORMAT </w:instrText>
      </w:r>
      <w:r w:rsidRPr="00C83BBE">
        <w:rPr>
          <w:lang w:val="en-US"/>
        </w:rPr>
      </w:r>
      <w:r w:rsidRPr="00C83BBE">
        <w:rPr>
          <w:lang w:val="en-US"/>
        </w:rPr>
        <w:fldChar w:fldCharType="separate"/>
      </w:r>
      <w:r w:rsidR="00380C88" w:rsidRPr="00380C88">
        <w:rPr>
          <w:rFonts w:ascii="Arial" w:hAnsi="Arial" w:cs="Arial"/>
          <w:b/>
          <w:sz w:val="20"/>
          <w:szCs w:val="20"/>
          <w:lang w:val="en-US"/>
        </w:rPr>
        <w:t xml:space="preserve">Table </w:t>
      </w:r>
      <w:r w:rsidR="00380C88" w:rsidRPr="00380C88">
        <w:rPr>
          <w:rFonts w:ascii="Arial" w:hAnsi="Arial" w:cs="Arial"/>
          <w:b/>
          <w:noProof/>
          <w:sz w:val="20"/>
          <w:szCs w:val="20"/>
          <w:lang w:val="en-US"/>
        </w:rPr>
        <w:t>2</w:t>
      </w:r>
      <w:r w:rsidRPr="00C83BBE">
        <w:rPr>
          <w:lang w:val="en-US"/>
        </w:rPr>
        <w:fldChar w:fldCharType="end"/>
      </w:r>
      <w:r>
        <w:rPr>
          <w:lang w:val="en-US"/>
        </w:rPr>
        <w:t>.</w:t>
      </w:r>
    </w:p>
    <w:p w:rsidR="007419CB" w:rsidRPr="000A4838" w:rsidRDefault="007419CB" w:rsidP="0021751D">
      <w:pPr>
        <w:spacing w:after="160" w:line="480" w:lineRule="auto"/>
        <w:rPr>
          <w:lang w:val="en-US"/>
        </w:rPr>
      </w:pPr>
    </w:p>
    <w:tbl>
      <w:tblPr>
        <w:tblStyle w:val="Tableausimple3"/>
        <w:tblW w:w="9072" w:type="dxa"/>
        <w:tblLayout w:type="fixed"/>
        <w:tblLook w:val="04A0" w:firstRow="1" w:lastRow="0" w:firstColumn="1" w:lastColumn="0" w:noHBand="0" w:noVBand="1"/>
      </w:tblPr>
      <w:tblGrid>
        <w:gridCol w:w="982"/>
        <w:gridCol w:w="1807"/>
        <w:gridCol w:w="1453"/>
        <w:gridCol w:w="1453"/>
        <w:gridCol w:w="785"/>
        <w:gridCol w:w="1296"/>
        <w:gridCol w:w="1296"/>
      </w:tblGrid>
      <w:tr w:rsidR="007419CB" w:rsidRPr="00A04DFE" w:rsidTr="007419C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7419CB" w:rsidP="0021751D">
            <w:pPr>
              <w:spacing w:after="160" w:line="480" w:lineRule="auto"/>
              <w:rPr>
                <w:color w:val="auto"/>
                <w:lang w:val="en-US"/>
              </w:rPr>
            </w:pPr>
            <w:bookmarkStart w:id="114" w:name="_Hlk210766624"/>
            <w:r w:rsidRPr="00A04DFE">
              <w:rPr>
                <w:color w:val="auto"/>
                <w:lang w:val="en-US"/>
              </w:rPr>
              <w:t>SCORES</w:t>
            </w:r>
          </w:p>
        </w:tc>
        <w:tc>
          <w:tcPr>
            <w:tcW w:w="1807" w:type="dxa"/>
            <w:noWrap/>
            <w:hideMark/>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Physical Scope</w:t>
            </w:r>
          </w:p>
        </w:tc>
        <w:tc>
          <w:tcPr>
            <w:tcW w:w="1453" w:type="dxa"/>
            <w:noWrap/>
            <w:hideMark/>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 xml:space="preserve">Physical </w:t>
            </w:r>
            <w:r w:rsidRPr="00A04DFE">
              <w:rPr>
                <w:color w:val="auto"/>
                <w:lang w:val="en-US"/>
              </w:rPr>
              <w:lastRenderedPageBreak/>
              <w:t>Quantity</w:t>
            </w:r>
          </w:p>
        </w:tc>
        <w:tc>
          <w:tcPr>
            <w:tcW w:w="1453" w:type="dxa"/>
            <w:noWrap/>
            <w:hideMark/>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lastRenderedPageBreak/>
              <w:t>Target Range</w:t>
            </w:r>
          </w:p>
        </w:tc>
        <w:tc>
          <w:tcPr>
            <w:tcW w:w="785" w:type="dxa"/>
            <w:noWrap/>
            <w:hideMark/>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Unit</w:t>
            </w:r>
          </w:p>
        </w:tc>
        <w:tc>
          <w:tcPr>
            <w:tcW w:w="1296" w:type="dxa"/>
            <w:noWrap/>
            <w:hideMark/>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Filter Type</w:t>
            </w:r>
          </w:p>
        </w:tc>
        <w:tc>
          <w:tcPr>
            <w:tcW w:w="1296" w:type="dxa"/>
          </w:tcPr>
          <w:p w:rsidR="007419CB" w:rsidRPr="00A04DFE"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A04DFE">
              <w:rPr>
                <w:color w:val="auto"/>
                <w:lang w:val="en-US"/>
              </w:rPr>
              <w:t>Sources</w:t>
            </w:r>
          </w:p>
        </w:tc>
      </w:tr>
      <w:tr w:rsidR="007419CB" w:rsidRPr="00A04DFE" w:rsidTr="007419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1</m:t>
                    </m:r>
                  </m:sub>
                </m:sSub>
              </m:oMath>
            </m:oMathPara>
          </w:p>
        </w:tc>
        <w:tc>
          <w:tcPr>
            <w:tcW w:w="1807"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Creep resistance</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Larson-Miller Parameter</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Para>
              <m:oMath>
                <m:r>
                  <w:rPr>
                    <w:rFonts w:ascii="Cambria Math" w:hAnsi="Cambria Math"/>
                    <w:color w:val="auto"/>
                    <w:lang w:val="en-US"/>
                  </w:rPr>
                  <m:t>&gt; 23</m:t>
                </m:r>
              </m:oMath>
            </m:oMathPara>
          </w:p>
        </w:tc>
        <w:tc>
          <w:tcPr>
            <w:tcW w:w="785"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p>
        </w:tc>
        <w:tc>
          <w:tcPr>
            <w:tcW w:w="1296"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 xml:space="preserve">sigmoid, </w:t>
            </w:r>
            <m:oMath>
              <m:r>
                <w:rPr>
                  <w:rFonts w:ascii="Cambria Math" w:hAnsi="Cambria Math"/>
                  <w:color w:val="auto"/>
                  <w:lang w:val="en-US"/>
                </w:rPr>
                <m:t>[20,26]</m:t>
              </m:r>
            </m:oMath>
          </w:p>
        </w:tc>
        <w:tc>
          <w:tcPr>
            <w:tcW w:w="1296"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lang w:val="en-US"/>
              </w:rPr>
              <w:fldChar w:fldCharType="begin"/>
            </w:r>
            <w:r w:rsidR="00B77C17">
              <w:rPr>
                <w:color w:val="auto"/>
                <w:lang w:val="en-US"/>
              </w:rPr>
              <w:instrText xml:space="preserve"> ADDIN ZOTERO_ITEM CSL_CITATION {"citationID":"xXdJIY0x","properties":{"formattedCitation":"\\super 37\\nosupersub{}","plainCitation":"37","noteIndex":0},"citationItems":[{"id":438,"uris":["http://zotero.org/users/local/hYny5ca1/items/LNY7RRH5"],"itemData":{"id":438,"type":"article-journal","language":"en","source":"Zotero","title":"Effect of Mn in CrCoFeNiMn high entropy alloy on creep performance","author":[{"family":"Rozman","given":"K A"},{"family":"Detrois","given":"M"},{"family":"Jablonski","given":"P D"},{"family":"Gao","given":"M C"},{"family":"Hawk","given":"J A"}]}}],"schema":"https://github.com/citation-style-language/schema/raw/master/csl-citation.json"} </w:instrText>
            </w:r>
            <w:r w:rsidRPr="00A04DFE">
              <w:rPr>
                <w:lang w:val="en-US"/>
              </w:rPr>
              <w:fldChar w:fldCharType="separate"/>
            </w:r>
            <w:r w:rsidR="00B77C17" w:rsidRPr="00B77C17">
              <w:rPr>
                <w:rFonts w:cs="Times New Roman"/>
                <w:szCs w:val="24"/>
                <w:vertAlign w:val="superscript"/>
              </w:rPr>
              <w:t>37</w:t>
            </w:r>
            <w:r w:rsidRPr="00A04DFE">
              <w:rPr>
                <w:lang w:val="en-US"/>
              </w:rPr>
              <w:fldChar w:fldCharType="end"/>
            </w:r>
          </w:p>
        </w:tc>
      </w:tr>
      <w:tr w:rsidR="007419CB" w:rsidRPr="00A04DFE" w:rsidTr="007419CB">
        <w:trPr>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2</m:t>
                    </m:r>
                  </m:sub>
                </m:sSub>
              </m:oMath>
            </m:oMathPara>
          </w:p>
        </w:tc>
        <w:tc>
          <w:tcPr>
            <w:tcW w:w="1807"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Operates at high-temperature</w:t>
            </w:r>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Melting Point</w:t>
            </w:r>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Para>
              <m:oMath>
                <m:r>
                  <w:rPr>
                    <w:rFonts w:ascii="Cambria Math" w:hAnsi="Cambria Math"/>
                    <w:lang w:val="en-US"/>
                  </w:rPr>
                  <m:t>&gt;1500</m:t>
                </m:r>
              </m:oMath>
            </m:oMathPara>
          </w:p>
        </w:tc>
        <w:tc>
          <w:tcPr>
            <w:tcW w:w="785"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K</w:t>
            </w:r>
          </w:p>
        </w:tc>
        <w:tc>
          <w:tcPr>
            <w:tcW w:w="1296"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 xml:space="preserve">sigmoid </w:t>
            </w:r>
            <m:oMath>
              <m:r>
                <w:rPr>
                  <w:rFonts w:ascii="Cambria Math" w:hAnsi="Cambria Math"/>
                  <w:lang w:val="en-US"/>
                </w:rPr>
                <m:t>[1200,1800]</m:t>
              </m:r>
            </m:oMath>
          </w:p>
        </w:tc>
        <w:tc>
          <w:tcPr>
            <w:tcW w:w="1296"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p>
        </w:tc>
      </w:tr>
      <w:tr w:rsidR="007419CB" w:rsidRPr="00A04DFE" w:rsidTr="007419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3</m:t>
                    </m:r>
                  </m:sub>
                </m:sSub>
              </m:oMath>
            </m:oMathPara>
          </w:p>
        </w:tc>
        <w:tc>
          <w:tcPr>
            <w:tcW w:w="1807"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Weight</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Density</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Para>
              <m:oMath>
                <m:r>
                  <w:rPr>
                    <w:rFonts w:ascii="Cambria Math" w:hAnsi="Cambria Math"/>
                    <w:color w:val="auto"/>
                    <w:lang w:val="en-US"/>
                  </w:rPr>
                  <m:t>&lt;7.5</m:t>
                </m:r>
              </m:oMath>
            </m:oMathPara>
          </w:p>
        </w:tc>
        <w:tc>
          <w:tcPr>
            <w:tcW w:w="785"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p>
        </w:tc>
        <w:tc>
          <w:tcPr>
            <w:tcW w:w="1296"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 xml:space="preserve">sigmoid </w:t>
            </w:r>
            <m:oMath>
              <m:r>
                <w:rPr>
                  <w:rFonts w:ascii="Cambria Math" w:hAnsi="Cambria Math"/>
                  <w:color w:val="auto"/>
                  <w:lang w:val="en-US"/>
                </w:rPr>
                <m:t>[6,9]</m:t>
              </m:r>
            </m:oMath>
          </w:p>
        </w:tc>
        <w:tc>
          <w:tcPr>
            <w:tcW w:w="1296"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lang w:val="en-US"/>
              </w:rPr>
              <w:fldChar w:fldCharType="begin"/>
            </w:r>
            <w:r w:rsidR="00B77C17">
              <w:rPr>
                <w:color w:val="auto"/>
                <w:lang w:val="en-US"/>
              </w:rPr>
              <w:instrText xml:space="preserve"> ADDIN ZOTERO_ITEM CSL_CITATION {"citationID":"hhe6pqix","properties":{"formattedCitation":"\\super 38\\nosupersub{}","plainCitation":"38","noteIndex":0},"citationItems":[{"id":174,"uris":["http://zotero.org/users/local/hYny5ca1/items/3NFJCK5V","http://zotero.org/users/local/hYny5ca1/items/35AGSVEV"],"itemData":{"id":174,"type":"article-journal","abstract":"The efficacy of machine learning has increased exponentially over the past decade. The utilization of machine learning to predict and design materials has become a pivotal tool for accelerating materials development. High-entropy alloys are particularly intriguing candidates for exemplifying the potency of machine learning due to their superior mechanical properties, vast compositional space, and intricate chemical interactions. This review examines the general process of developing machine learning models. The advances and new algorithms of machine learning in the field of high-entropy alloys are presented in each part of the process. These advances are based on both improvements in computer algorithms and physical representations that focus on the unique ordering properties of high-entropy alloys. We also show the results of generative models, data augmentation, and transfer learning in high-entropy alloys and conclude with a summary of the challenges still faced in machine learning high-entropy alloys today.","container-title":"Entropy","DOI":"10.3390/e26121119","ISSN":"1099-4300","issue":"12","title":"Machine Learning Advances in High-Entropy Alloys: A Mini-Review","volume":"26","author":[{"family":"Sun","given":"Yibo"},{"family":"Ni","given":"Jun"}],"issued":{"date-parts":[["2024"]]}}}],"schema":"https://github.com/citation-style-language/schema/raw/master/csl-citation.json"} </w:instrText>
            </w:r>
            <w:r w:rsidRPr="00A04DFE">
              <w:rPr>
                <w:lang w:val="en-US"/>
              </w:rPr>
              <w:fldChar w:fldCharType="separate"/>
            </w:r>
            <w:r w:rsidR="00B77C17" w:rsidRPr="00B77C17">
              <w:rPr>
                <w:rFonts w:cs="Times New Roman"/>
                <w:szCs w:val="24"/>
                <w:vertAlign w:val="superscript"/>
              </w:rPr>
              <w:t>38</w:t>
            </w:r>
            <w:r w:rsidRPr="00A04DFE">
              <w:rPr>
                <w:lang w:val="en-US"/>
              </w:rPr>
              <w:fldChar w:fldCharType="end"/>
            </w:r>
          </w:p>
        </w:tc>
      </w:tr>
      <w:tr w:rsidR="007419CB" w:rsidRPr="00A04DFE" w:rsidTr="007419CB">
        <w:trPr>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4</m:t>
                    </m:r>
                  </m:sub>
                </m:sSub>
              </m:oMath>
            </m:oMathPara>
          </w:p>
        </w:tc>
        <w:tc>
          <w:tcPr>
            <w:tcW w:w="1807"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Crystal system (BCC)</w:t>
            </w:r>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Valence electron per atom</w:t>
            </w:r>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Para>
              <m:oMath>
                <m:r>
                  <w:rPr>
                    <w:rFonts w:ascii="Cambria Math" w:hAnsi="Cambria Math"/>
                    <w:lang w:val="en-US"/>
                  </w:rPr>
                  <m:t>∈[6.87,8]</m:t>
                </m:r>
              </m:oMath>
            </m:oMathPara>
          </w:p>
        </w:tc>
        <w:tc>
          <w:tcPr>
            <w:tcW w:w="785"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electron per atom</w:t>
            </w:r>
          </w:p>
        </w:tc>
        <w:tc>
          <w:tcPr>
            <w:tcW w:w="1296"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gaussian window</w:t>
            </w:r>
          </w:p>
        </w:tc>
        <w:tc>
          <w:tcPr>
            <w:tcW w:w="1296"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fldChar w:fldCharType="begin"/>
            </w:r>
            <w:r w:rsidR="00B77C17">
              <w:rPr>
                <w:lang w:val="en-US"/>
              </w:rPr>
              <w:instrText xml:space="preserve"> ADDIN ZOTERO_ITEM CSL_CITATION {"citationID":"3cBIpvfm","properties":{"formattedCitation":"\\super 39\\nosupersub{}","plainCitation":"39","noteIndex":0},"citationItems":[{"id":440,"uris":["http://zotero.org/users/local/hYny5ca1/items/XDNY9GR8","http://zotero.org/users/local/hYny5ca1/items/FNBU7T22"],"itemData":{"id":440,"type":"article-journal","abstract":"Phase stability is an important topic for high entropy alloys (HEAs), but the understanding to it is very limited. The capability to predict phase stability from fundamental properties of constituent elements would benefit the alloy design greatly. The relationship between phase stability and physicochemical/thermodynamic properties of alloying components in HEAs was studied systematically. The mixing enthalpy is found to be the key factor controlling the formation of solid solutions or compounds. The stability of fcc and bcc solid solutions is well delineated by the valance electron concentration (VEC). The revealing of the effect of the VEC on the phase stability is vitally important for alloy design and for controlling the mechanical behavior of HEAs.","container-title":"Journal of Applied Physics","DOI":"10.1063/1.3587228","ISSN":"0021-8979","issue":"10","journalAbbreviation":"Journal of Applied Physics","page":"103505","title":"Effect of valence electron concentration on stability of fcc or bcc phase in high entropy alloys","volume":"109","author":[{"family":"Guo","given":"Sheng"},{"family":"Ng","given":"Chun"},{"family":"Lu","given":"Jian"},{"family":"Liu","given":"C. T."}],"issued":{"date-parts":[["2011",5,16]]}}}],"schema":"https://github.com/citation-style-language/schema/raw/master/csl-citation.json"} </w:instrText>
            </w:r>
            <w:r w:rsidRPr="00A04DFE">
              <w:rPr>
                <w:lang w:val="en-US"/>
              </w:rPr>
              <w:fldChar w:fldCharType="separate"/>
            </w:r>
            <w:r w:rsidR="00B77C17" w:rsidRPr="00B77C17">
              <w:rPr>
                <w:rFonts w:cs="Times New Roman"/>
                <w:szCs w:val="24"/>
                <w:vertAlign w:val="superscript"/>
              </w:rPr>
              <w:t>39</w:t>
            </w:r>
            <w:r w:rsidRPr="00A04DFE">
              <w:rPr>
                <w:lang w:val="en-US"/>
              </w:rPr>
              <w:fldChar w:fldCharType="end"/>
            </w:r>
          </w:p>
        </w:tc>
      </w:tr>
      <w:tr w:rsidR="007419CB" w:rsidRPr="00CC139D" w:rsidTr="007419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5</m:t>
                    </m:r>
                  </m:sub>
                </m:sSub>
              </m:oMath>
            </m:oMathPara>
          </w:p>
        </w:tc>
        <w:tc>
          <w:tcPr>
            <w:tcW w:w="1807"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Mechanical behavior (ductility)</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
              <m:r>
                <w:rPr>
                  <w:rFonts w:ascii="Cambria Math" w:hAnsi="Cambria Math"/>
                  <w:color w:val="auto"/>
                  <w:lang w:val="en-US"/>
                </w:rPr>
                <m:t>δ</m:t>
              </m:r>
            </m:oMath>
            <w:r w:rsidRPr="00A04DFE">
              <w:rPr>
                <w:color w:val="auto"/>
                <w:lang w:val="en-US"/>
              </w:rPr>
              <w:t xml:space="preserve"> mismatch</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Para>
              <m:oMath>
                <m:r>
                  <w:rPr>
                    <w:rFonts w:ascii="Cambria Math" w:hAnsi="Cambria Math"/>
                    <w:color w:val="auto"/>
                    <w:lang w:val="en-US"/>
                  </w:rPr>
                  <m:t>∈[0.03,0.066]</m:t>
                </m:r>
              </m:oMath>
            </m:oMathPara>
          </w:p>
        </w:tc>
        <w:tc>
          <w:tcPr>
            <w:tcW w:w="785"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p>
        </w:tc>
        <w:tc>
          <w:tcPr>
            <w:tcW w:w="1296"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gaussian window</w:t>
            </w:r>
          </w:p>
        </w:tc>
        <w:tc>
          <w:tcPr>
            <w:tcW w:w="1296"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lang w:val="en-US"/>
              </w:rPr>
              <w:fldChar w:fldCharType="begin"/>
            </w:r>
            <w:r w:rsidR="00B77C17">
              <w:rPr>
                <w:color w:val="auto"/>
                <w:lang w:val="en-US"/>
              </w:rPr>
              <w:instrText xml:space="preserve"> ADDIN ZOTERO_ITEM CSL_CITATION {"citationID":"sT4kmX6n","properties":{"formattedCitation":"\\super 29\\uc0\\u8211{}32,40\\nosupersub{}","plainCitation":"29–32,40","noteIndex":0},"citationItems":[{"id":"WO14yun4/X8CK5Gjp","uris":["http://zotero.org/users/17063511/items/LQMXKF8M"],"itemData":{"id":204,"type":"article-journal","abstract":"The present study combines density functional theory (DFT) based calculations and experimental techniques to investigate the formation of equiatomic quaternary “low-activation\" high entropy alloys (HEAs) for nuclear fission/fusion applications. DFT based techniques are adopted to screen the formation of possible single-phase ternary and quaternary alloys in chemical space consisting of the low-activation elements (Ti, V, Cr, Mn, Fe, Ta and W). The results indicate that TaTiVW and CrFeMnV can be formed in a single body centred cubic phase (BCC). Based on the DFT based screening, HEAs are fabricated by a vacuum arc melting process. Further characterisation by X-ray diffraction, energy dispersive X-Ray analysis, X-ray fluorescence and scanning electron microscopy confirms the formation of TaTiVW in a BCC single phase. Microstructures of CrTiVW and CrTaVW in as-cast conditions, consist of two BCC phases with very similar lattice parameters. CrTaTiW and CrTaTiV showed evidence of C15 Laves formation comprising of TaCr2 and TiV2, respectively.","container-title":"Journal of Alloys and Compounds","DOI":"10.1016/j.jallcom.2022.164526","journalAbbreviation":"Journal of Alloys and Compounds","page":"164526","source":"ResearchGate","title":"Design Principles of low-activation High Entropy Alloys","volume":"907","author":[{"family":"Tan","given":"Liangzhi"},{"family":"Ali","given":"Kawsar"},{"family":"Ghosh","given":"Partha"},{"family":"Arya","given":"Ashok"},{"family":"Zhou","given":"Ying"},{"family":"Smith","given":"Roger"},{"family":"Goddard","given":"Pooja"},{"family":"Patel","given":"Dhinisa"},{"family":"Shahmir","given":"Hamed"},{"family":"Gandy","given":"Amy"}],"issued":{"date-parts":[["2022",3,1]]}},"label":"page"},{"id":"WO14yun4/XBzqRkAk","uris":["http://zotero.org/users/17063511/items/U3CGREXV"],"itemData":{"id":201,"type":"article-journal","abstract":"In high-entropy alloys (HEAs), the thermodynamics govern alloy formation, phase stability, and overall phase-transition characteristics. Over the past decade, many thermodynamic parameters have been proposed for predicting the stability of HEA systems. Herein, analysis of these parameters are carried out carefully with the available data from the literature. It is found that all these parameters are not fully independent from each other and there exists a bridge of interconnection between them. Herein, inter-dependency relationships between the thermodynamic parameters are derived for predicting the stability of solid solution in HEAs. It is found that parameters with large and complex equations are not essentially required; instead the simple parameters ϕ, Ω, and δ are sufficient for predicting the stability of HEA systems.","container-title":"Advanced Engineering Materials","DOI":"10.1002/adem.201900251","ISSN":"1527-2648","issue":"9","language":"en","license":"© 2019 WILEY-VCH Verlag GmbH &amp; Co. KGaA, Weinheim","note":"_eprint: https://onlinelibrary.wiley.com/doi/pdf/10.1002/adem.201900251","page":"1900251","source":"Wiley Online Library","title":"Inter-Dependency Relationships in High-Entropy Alloys: Phase Stability Criteria","title-short":"Inter-Dependency Relationships in High-Entropy Alloys","volume":"21","author":[{"family":"Chauhan","given":"Pranjal"},{"family":"Chopra","given":"Swamini"},{"family":"Thangaraju","given":"Shanmugasundaram"}],"issued":{"date-parts":[["2019"]]}},"label":"page"},{"id":"WO14yun4/oPBlOdrL","uris":["http://zotero.org/users/17063511/items/JUYTZ74F"],"itemData":{"id":202,"type":"article-journal","abstract":"High-entropy alloys (HEAs) composed of multiprincipal elements with near-equiatomic ratio have gained numerous attention in recent years. The design concept and unique microstructure make them exhibit a wide range of attractive properties, promoting them suitable for most structural and functional applications. HEAs have four core effects: severe lattice distortion, high entropy, sluggish diffusion, and cocktail effects, which are all interconnected. Among these core effects, severe lattice distortion is seen as the most key factor in determining the properties of HEAs. Recent findings prove that phase selection in HEAs cannot be described by the maximized entropy theory alone. As such, the phase formation principles in terms of single-phase and multiphase formation criteria are summarized. Severe lattice distortion affecting the mechanical properties and polymorphism of HEAs is reviewed. Several strategies, which have recently been successfully applied in overcoming the “strength–ductility trade-off” in HEAs, are discussed. Some key unsolved questions concerning the lattice distortion in HEAs which could be interesting research topics in the future are suggested.","container-title":"Advanced Engineering Materials","DOI":"10.1002/adem.202000466","ISSN":"1527-2648","issue":"11","language":"en","license":"© 2020 WILEY-VCH Verlag GmbH &amp; Co. KGaA, Weinheim","note":"_eprint: https://onlinelibrary.wiley.com/doi/pdf/10.1002/adem.202000466","page":"2000466","source":"Wiley Online Library","title":"Phase Selection, Lattice Distortions, and Mechanical Properties in High-Entropy Alloys","volume":"22","author":[{"family":"Nutor","given":"Raymond Kwesi"},{"family":"Cao","given":"Qingping"},{"family":"Wang","given":"Xiaodong"},{"family":"Zhang","given":"Dongxian"},{"family":"Fang","given":"Yunzhang"},{"family":"Zhang","given":"Yong"},{"family":"Jiang","given":"Jian-Zhong"}],"issued":{"date-parts":[["2020"]]}},"label":"page"},{"id":"WO14yun4/Nttx5ziZ","uris":["http://zotero.org/users/17063511/items/2AUR3VPL"],"itemData":{"id":199,"type":"article-journal","abstract":"Phase formation for the multi-component alloys has been predicted by calculating parameter Ω and δ for typical multi-component alloys reported. Here, Ω is defined as a parameter of the entropy of mixing timing the average melting temperature of the elements over the enthalpy of mixing, δ is the mean square deviation of the atomic size of elements. It shows that the high-entropy (HE) stabilized solid-solution is located at Ω≥1.1 and δ≤6.6%.","container-title":"Materials Chemistry and Physics","DOI":"10.1016/j.matchemphys.2011.11.021","ISSN":"0254-0584","issue":"2","journalAbbreviation":"Materials Chemistry and Physics","page":"233-238","source":"ScienceDirect","title":"Prediction of high-entropy stabilized solid-solution in multi-component alloys","volume":"132","author":[{"family":"Yang","given":"X."},{"family":"Zhang","given":"Y."}],"issued":{"date-parts":[["2012",2,15]]}},"label":"page"},{"id":444,"uris":["http://zotero.org/users/local/hYny5ca1/items/AYVEAZY3"],"itemData":{"id":444,"type":"article-journal","abstract":"A criterion for the solid-solution phase formation in the high-entropy alloys was proposed based on two parameters Ω&gt;1.1 and δ&lt;6.6%. Here,.The high-entropy alloys of TiZrNb, CoCrFeNiCu, and CoFeNi(AlSi)x (X=0.2, 0.5) were prepared by arc-melting and copper mold casting. It was found that the tensile yield strength of the TiZrNb alloy was 872MPa, and tensile modulus was 45GPa. The properties of CoCrFeNiCu alloys can be optimized by multiple processing, such as cold rolling, annealing, and water quenching. Based on the HE(high-entropy) conception, a soft magnetic alloy CoFeNiAlxSix was developed.","container-title":"2011 Chinese Materials Conference","DOI":"10.1016/j.proeng.2011.12.568","ISSN":"1877-7058","journalAbbreviation":"Procedia Engineering","page":"1169-1178","title":"Microstructural control and properties optimization of high-entrop alloys","volume":"27","author":[{"family":"Zhang","given":"Yong"},{"family":"Peng","given":"Wei","dropping-particle":"jie"}],"issued":{"date-parts":[["2012",1,1]]}}}],"schema":"https://github.com/citation-style-language/schema/raw/master/csl-citation.json"} </w:instrText>
            </w:r>
            <w:r w:rsidRPr="00A04DFE">
              <w:rPr>
                <w:lang w:val="en-US"/>
              </w:rPr>
              <w:fldChar w:fldCharType="separate"/>
            </w:r>
            <w:r w:rsidR="00B77C17" w:rsidRPr="00B77C17">
              <w:rPr>
                <w:rFonts w:cs="Times New Roman"/>
                <w:szCs w:val="24"/>
                <w:vertAlign w:val="superscript"/>
                <w:lang w:val="en-US"/>
              </w:rPr>
              <w:t>29–32,40</w:t>
            </w:r>
            <w:r w:rsidRPr="00A04DFE">
              <w:rPr>
                <w:lang w:val="en-US"/>
              </w:rPr>
              <w:fldChar w:fldCharType="end"/>
            </w:r>
          </w:p>
        </w:tc>
      </w:tr>
      <w:tr w:rsidR="007419CB" w:rsidRPr="00CC139D" w:rsidTr="007419CB">
        <w:trPr>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6</m:t>
                    </m:r>
                  </m:sub>
                </m:sSub>
              </m:oMath>
            </m:oMathPara>
          </w:p>
        </w:tc>
        <w:tc>
          <w:tcPr>
            <w:tcW w:w="1807"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Mechanical behavior (ductility)</w:t>
            </w:r>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Shear / bulk moduli ratio (Pugh Criteria)</w:t>
            </w:r>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Para>
              <m:oMath>
                <m:r>
                  <w:rPr>
                    <w:rFonts w:ascii="Cambria Math" w:hAnsi="Cambria Math"/>
                    <w:lang w:val="en-US"/>
                  </w:rPr>
                  <m:t>&gt;0.55</m:t>
                </m:r>
              </m:oMath>
            </m:oMathPara>
          </w:p>
        </w:tc>
        <w:tc>
          <w:tcPr>
            <w:tcW w:w="785"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p>
        </w:tc>
        <w:tc>
          <w:tcPr>
            <w:tcW w:w="1296"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 xml:space="preserve">sigmoid </w:t>
            </w:r>
            <m:oMath>
              <m:r>
                <w:rPr>
                  <w:rFonts w:ascii="Cambria Math" w:hAnsi="Cambria Math"/>
                  <w:lang w:val="en-US"/>
                </w:rPr>
                <m:t>[0.5,0.6]</m:t>
              </m:r>
            </m:oMath>
          </w:p>
        </w:tc>
        <w:tc>
          <w:tcPr>
            <w:tcW w:w="1296"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fldChar w:fldCharType="begin"/>
            </w:r>
            <w:r w:rsidR="00B77C17">
              <w:rPr>
                <w:lang w:val="en-US"/>
              </w:rPr>
              <w:instrText xml:space="preserve"> ADDIN ZOTERO_ITEM CSL_CITATION {"citationID":"JETvSZeH","properties":{"formattedCitation":"\\super 41\\nosupersub{}","plainCitation":"41","noteIndex":0},"citationItems":[{"id":446,"uris":["http://zotero.org/users/local/hYny5ca1/items/XJ8DMJ7L"],"itemData":{"id":446,"type":"article-journal","container-title":"Physical Review B","DOI":"10.1103/PhysRevB.79.024106","issue":"2","journalAbbreviation":"Phys. Rev. B","note":"publisher: American Physical Society","page":"024106","title":"Ab initio examination of ductility features of fcc metals","volume":"79","author":[{"family":"Kamran","given":"Sami"},{"family":"Chen","given":"Kuiying"},{"family":"Chen","given":"Liang"}],"issued":{"date-parts":[["2009",1,12]]}}}],"schema":"https://github.com/citation-style-language/schema/raw/master/csl-citation.json"} </w:instrText>
            </w:r>
            <w:r w:rsidRPr="00A04DFE">
              <w:rPr>
                <w:lang w:val="en-US"/>
              </w:rPr>
              <w:fldChar w:fldCharType="separate"/>
            </w:r>
            <w:r w:rsidR="00B77C17" w:rsidRPr="00B77C17">
              <w:rPr>
                <w:rFonts w:cs="Times New Roman"/>
                <w:szCs w:val="24"/>
                <w:vertAlign w:val="superscript"/>
                <w:lang w:val="en-US"/>
              </w:rPr>
              <w:t>41</w:t>
            </w:r>
            <w:r w:rsidRPr="00A04DFE">
              <w:rPr>
                <w:lang w:val="en-US"/>
              </w:rPr>
              <w:fldChar w:fldCharType="end"/>
            </w:r>
          </w:p>
        </w:tc>
      </w:tr>
      <w:tr w:rsidR="007419CB" w:rsidRPr="00A04DFE" w:rsidTr="007419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7</m:t>
                    </m:r>
                  </m:sub>
                </m:sSub>
              </m:oMath>
            </m:oMathPara>
          </w:p>
        </w:tc>
        <w:tc>
          <w:tcPr>
            <w:tcW w:w="1807"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No intermetallic formation</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Formation enthalpy</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Para>
              <m:oMath>
                <m:r>
                  <w:rPr>
                    <w:rFonts w:ascii="Cambria Math" w:hAnsi="Cambria Math"/>
                    <w:color w:val="auto"/>
                    <w:lang w:val="en-US"/>
                  </w:rPr>
                  <m:t>[–0.156, 0.052]</m:t>
                </m:r>
              </m:oMath>
            </m:oMathPara>
          </w:p>
        </w:tc>
        <w:tc>
          <w:tcPr>
            <w:tcW w:w="785"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eV/atom</w:t>
            </w:r>
          </w:p>
        </w:tc>
        <w:tc>
          <w:tcPr>
            <w:tcW w:w="1296"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gaussian window</w:t>
            </w:r>
          </w:p>
        </w:tc>
        <w:tc>
          <w:tcPr>
            <w:tcW w:w="1296"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lang w:val="en-US"/>
              </w:rPr>
              <w:fldChar w:fldCharType="begin"/>
            </w:r>
            <w:r w:rsidR="00B77C17">
              <w:rPr>
                <w:color w:val="auto"/>
                <w:lang w:val="en-US"/>
              </w:rPr>
              <w:instrText xml:space="preserve"> ADDIN ZOTERO_ITEM CSL_CITATION {"citationID":"86lScErv","properties":{"formattedCitation":"\\super 33\\nosupersub{}","plainCitation":"33","noteIndex":0},"citationItems":[{"id":180,"uris":["http://zotero.org/users/local/hYny5ca1/items/32RTC2I9","http://zotero.org/users/local/hYny5ca1/items/7HMW5CVS"],"itemData":{"id":180,"type":"article-journal","abstract":"The present study combines density functional theory (DFT) based calculations and experimental techniques to investigate the formation of equiatomic quaternary “low-activation\" high entropy alloys (HEAs) for nuclear fission/fusion applications. DFT based techniques are adopted to screen the formation of possible single-phase ternary and quaternary alloys in chemical space consisting of the low-activation elements (Ti, V, Cr, Mn, Fe, Ta and W). The results indicate that TaTiVW and CrFeMnV can be formed in a single body centred cubic phase (BCC). Based on the DFT based screening, HEAs are fabricated by a vacuum arc melting process. Further characterisation by X-ray diffraction, energy dispersive X-Ray analysis, X-ray fluorescence and scanning electron microscopy confirms the formation of TaTiVW in a BCC single phase. Microstructures of CrTiVW and CrTaVW in as-cast conditions, consist of two BCC phases with very similar lattice parameters. CrTaTiW and CrTaTiV showed evidence of C15 Laves formation comprising of TaCr2 and TiV2, respectively.","container-title":"Journal of Alloys and Compounds","DOI":"10.1016/j.jallcom.2022.164526","ISSN":"0925-8388","journalAbbreviation":"Journal of Alloys and Compounds","page":"164526","title":"Design principles of low-activation high entropy alloys","volume":"907","author":[{"family":"Tan","given":"Liangzhi"},{"family":"Ali","given":"Kawsar"},{"family":"Ghosh","given":"Partha Sarathi"},{"family":"Arya","given":"Ashok"},{"family":"Zhou","given":"Ying"},{"family":"Smith","given":"Roger"},{"family":"Goddard","given":"Pooja"},{"family":"Patel","given":"Dhinisa"},{"family":"Shahmir","given":"Hamed"},{"family":"Gandy","given":"Amy"}],"issued":{"date-parts":[["2022",6,25]]}}}],"schema":"https://github.com/citation-style-language/schema/raw/master/csl-citation.json"} </w:instrText>
            </w:r>
            <w:r w:rsidRPr="00A04DFE">
              <w:rPr>
                <w:lang w:val="en-US"/>
              </w:rPr>
              <w:fldChar w:fldCharType="separate"/>
            </w:r>
            <w:r w:rsidR="00B77C17" w:rsidRPr="00B77C17">
              <w:rPr>
                <w:rFonts w:cs="Times New Roman"/>
                <w:szCs w:val="24"/>
                <w:vertAlign w:val="superscript"/>
              </w:rPr>
              <w:t>33</w:t>
            </w:r>
            <w:r w:rsidRPr="00A04DFE">
              <w:rPr>
                <w:lang w:val="en-US"/>
              </w:rPr>
              <w:fldChar w:fldCharType="end"/>
            </w:r>
          </w:p>
        </w:tc>
      </w:tr>
      <w:tr w:rsidR="007419CB" w:rsidRPr="00A04DFE" w:rsidTr="007419CB">
        <w:trPr>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8</m:t>
                    </m:r>
                  </m:sub>
                </m:sSub>
              </m:oMath>
            </m:oMathPara>
          </w:p>
        </w:tc>
        <w:tc>
          <w:tcPr>
            <w:tcW w:w="1807"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Solid solution stabilization</w:t>
            </w:r>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Para>
              <m:oMath>
                <m:r>
                  <m:rPr>
                    <m:sty m:val="p"/>
                  </m:rPr>
                  <w:rPr>
                    <w:rFonts w:ascii="Cambria Math" w:hAnsi="Cambria Math"/>
                    <w:lang w:val="en-US"/>
                  </w:rPr>
                  <m:t>Ω</m:t>
                </m:r>
              </m:oMath>
            </m:oMathPara>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Para>
              <m:oMath>
                <m:r>
                  <w:rPr>
                    <w:rFonts w:ascii="Cambria Math" w:hAnsi="Cambria Math"/>
                    <w:lang w:val="en-US"/>
                  </w:rPr>
                  <m:t>&gt;1.1</m:t>
                </m:r>
              </m:oMath>
            </m:oMathPara>
          </w:p>
        </w:tc>
        <w:tc>
          <w:tcPr>
            <w:tcW w:w="785"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p>
        </w:tc>
        <w:tc>
          <w:tcPr>
            <w:tcW w:w="1296"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 xml:space="preserve">sigmoid </w:t>
            </w:r>
            <m:oMath>
              <m:r>
                <w:rPr>
                  <w:rFonts w:ascii="Cambria Math" w:hAnsi="Cambria Math"/>
                  <w:lang w:val="en-US"/>
                </w:rPr>
                <m:t>[1.0,1.2]</m:t>
              </m:r>
            </m:oMath>
          </w:p>
        </w:tc>
        <w:tc>
          <w:tcPr>
            <w:tcW w:w="1296"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fldChar w:fldCharType="begin"/>
            </w:r>
            <w:r w:rsidR="00B77C17">
              <w:rPr>
                <w:lang w:val="en-US"/>
              </w:rPr>
              <w:instrText xml:space="preserve"> ADDIN ZOTERO_ITEM CSL_CITATION {"citationID":"FYFQ4DWz","properties":{"formattedCitation":"\\super 29\\uc0\\u8211{}32\\nosupersub{}","plainCitation":"29–32","noteIndex":0},"citationItems":[{"id":"WO14yun4/X8CK5Gjp","uris":["http://zotero.org/users/17063511/items/LQMXKF8M"],"itemData":{"id":204,"type":"article-journal","abstract":"The present study combines density functional theory (DFT) based calculations and experimental techniques to investigate the formation of equiatomic quaternary “low-activation\" high entropy alloys (HEAs) for nuclear fission/fusion applications. DFT based techniques are adopted to screen the formation of possible single-phase ternary and quaternary alloys in chemical space consisting of the low-activation elements (Ti, V, Cr, Mn, Fe, Ta and W). The results indicate that TaTiVW and CrFeMnV can be formed in a single body centred cubic phase (BCC). Based on the DFT based screening, HEAs are fabricated by a vacuum arc melting process. Further characterisation by X-ray diffraction, energy dispersive X-Ray analysis, X-ray fluorescence and scanning electron microscopy confirms the formation of TaTiVW in a BCC single phase. Microstructures of CrTiVW and CrTaVW in as-cast conditions, consist of two BCC phases with very similar lattice parameters. CrTaTiW and CrTaTiV showed evidence of C15 Laves formation comprising of TaCr2 and TiV2, respectively.","container-title":"Journal of Alloys and Compounds","DOI":"10.1016/j.jallcom.2022.164526","journalAbbreviation":"Journal of Alloys and Compounds","page":"164526","source":"ResearchGate","title":"Design Principles of low-activation High Entropy Alloys","volume":"907","author":[{"family":"Tan","given":"Liangzhi"},{"family":"Ali","given":"Kawsar"},{"family":"Ghosh","given":"Partha"},{"family":"Arya","given":"Ashok"},{"family":"Zhou","given":"Ying"},{"family":"Smith","given":"Roger"},{"family":"Goddard","given":"Pooja"},{"family":"Patel","given":"Dhinisa"},{"family":"Shahmir","given":"Hamed"},{"family":"Gandy","given":"Amy"}],"issued":{"date-parts":[["2022",3,1]]}},"label":"page"},{"id":"WO14yun4/XBzqRkAk","uris":["http://zotero.org/users/17063511/items/U3CGREXV"],"itemData":{"id":201,"type":"article-journal","abstract":"In high-entropy alloys (HEAs), the thermodynamics govern alloy formation, phase stability, and overall phase-transition characteristics. Over the past decade, many thermodynamic parameters have been proposed for predicting the stability of HEA systems. Herein, analysis of these parameters are carried out carefully with the available data from the literature. It is found that all these parameters are not fully independent from each other and there exists a bridge of interconnection between them. Herein, inter-dependency relationships between the thermodynamic parameters are derived for predicting the stability of solid solution in HEAs. It is found that parameters with large and complex equations are not essentially required; instead the simple parameters ϕ, Ω, and δ are sufficient for predicting the stability of HEA systems.","container-title":"Advanced Engineering Materials","DOI":"10.1002/adem.201900251","ISSN":"1527-2648","issue":"9","language":"en","license":"© 2019 WILEY-VCH Verlag GmbH &amp; Co. KGaA, Weinheim","note":"_eprint: https://onlinelibrary.wiley.com/doi/pdf/10.1002/adem.201900251","page":"1900251","source":"Wiley Online Library","title":"Inter-Dependency Relationships in High-Entropy Alloys: Phase Stability Criteria","title-short":"Inter-Dependency Relationships in High-Entropy Alloys","volume":"21","author":[{"family":"Chauhan","given":"Pranjal"},{"family":"Chopra","given":"Swamini"},{"family":"Thangaraju","given":"Shanmugasundaram"}],"issued":{"date-parts":[["2019"]]}},"label":"page"},{"id":"WO14yun4/oPBlOdrL","uris":["http://zotero.org/users/17063511/items/JUYTZ74F"],"itemData":{"id":202,"type":"article-journal","abstract":"High-entropy alloys (HEAs) composed of multiprincipal elements with near-equiatomic ratio have gained numerous attention in recent years. The design concept and unique microstructure make them exhibit a wide range of attractive properties, promoting them suitable for most structural and functional applications. HEAs have four core effects: severe lattice distortion, high entropy, sluggish diffusion, and cocktail effects, which are all interconnected. Among these core effects, severe lattice distortion is seen as the most key factor in determining the properties of HEAs. Recent findings prove that phase selection in HEAs cannot be described by the maximized entropy theory alone. As such, the phase formation principles in terms of single-phase and multiphase formation criteria are summarized. Severe lattice distortion affecting the mechanical properties and polymorphism of HEAs is reviewed. Several strategies, which have recently been successfully applied in overcoming the “strength–ductility trade-off” in HEAs, are discussed. Some key unsolved questions concerning the lattice distortion in HEAs which could be interesting research topics in the future are suggested.","container-title":"Advanced Engineering Materials","DOI":"10.1002/adem.202000466","ISSN":"1527-2648","issue":"11","language":"en","license":"© 2020 WILEY-VCH Verlag GmbH &amp; Co. KGaA, Weinheim","note":"_eprint: https://onlinelibrary.wiley.com/doi/pdf/10.1002/adem.202000466","page":"2000466","source":"Wiley Online Library","title":"Phase Selection, Lattice Distortions, and Mechanical Properties in High-Entropy Alloys","volume":"22","author":[{"family":"Nutor","given":"Raymond Kwesi"},{"family":"Cao","given":"Qingping"},{"family":"Wang","given":"Xiaodong"},{"family":"Zhang","given":"Dongxian"},{"family":"Fang","given":"Yunzhang"},{"family":"Zhang","given":"Yong"},{"family":"Jiang","given":"Jian-Zhong"}],"issued":{"date-parts":[["2020"]]}},"label":"page"},{"id":"WO14yun4/Nttx5ziZ","uris":["http://zotero.org/users/17063511/items/2AUR3VPL"],"itemData":{"id":199,"type":"article-journal","abstract":"Phase formation for the multi-component alloys has been predicted by calculating parameter Ω and δ for typical multi-component alloys reported. Here, Ω is defined as a parameter of the entropy of mixing timing the average melting temperature of the elements over the enthalpy of mixing, δ is the mean square deviation of the atomic size of elements. It shows that the high-entropy (HE) stabilized solid-solution is located at Ω≥1.1 and δ≤6.6%.","container-title":"Materials Chemistry and Physics","DOI":"10.1016/j.matchemphys.2011.11.021","ISSN":"0254-0584","issue":"2","journalAbbreviation":"Materials Chemistry and Physics","page":"233-238","source":"ScienceDirect","title":"Prediction of high-entropy stabilized solid-solution in multi-component alloys","volume":"132","author":[{"family":"Yang","given":"X."},{"family":"Zhang","given":"Y."}],"issued":{"date-parts":[["2012",2,15]]}},"label":"page"}],"schema":"https://github.com/citation-style-language/schema/raw/master/csl-citation.json"} </w:instrText>
            </w:r>
            <w:r w:rsidRPr="00A04DFE">
              <w:rPr>
                <w:lang w:val="en-US"/>
              </w:rPr>
              <w:fldChar w:fldCharType="separate"/>
            </w:r>
            <w:r w:rsidR="00B77C17" w:rsidRPr="00B77C17">
              <w:rPr>
                <w:rFonts w:cs="Times New Roman"/>
                <w:szCs w:val="24"/>
                <w:vertAlign w:val="superscript"/>
              </w:rPr>
              <w:t>29–32</w:t>
            </w:r>
            <w:r w:rsidRPr="00A04DFE">
              <w:rPr>
                <w:lang w:val="en-US"/>
              </w:rPr>
              <w:fldChar w:fldCharType="end"/>
            </w:r>
          </w:p>
        </w:tc>
      </w:tr>
      <w:tr w:rsidR="007419CB" w:rsidRPr="00A04DFE" w:rsidTr="007419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9</m:t>
                    </m:r>
                  </m:sub>
                </m:sSub>
              </m:oMath>
            </m:oMathPara>
          </w:p>
        </w:tc>
        <w:tc>
          <w:tcPr>
            <w:tcW w:w="1807"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High configurational entropy</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Stoichiometric entropy</w:t>
            </w:r>
          </w:p>
        </w:tc>
        <w:tc>
          <w:tcPr>
            <w:tcW w:w="1453"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Para>
              <m:oMath>
                <m:r>
                  <w:rPr>
                    <w:rFonts w:ascii="Cambria Math" w:hAnsi="Cambria Math"/>
                    <w:color w:val="auto"/>
                    <w:lang w:val="en-US"/>
                  </w:rPr>
                  <m:t>[1.31,2.32]</m:t>
                </m:r>
              </m:oMath>
            </m:oMathPara>
          </w:p>
        </w:tc>
        <w:tc>
          <w:tcPr>
            <w:tcW w:w="785"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p>
        </w:tc>
        <w:tc>
          <w:tcPr>
            <w:tcW w:w="1296" w:type="dxa"/>
            <w:noWrap/>
            <w:hideMark/>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color w:val="auto"/>
                <w:lang w:val="en-US"/>
              </w:rPr>
              <w:t>gaussian window</w:t>
            </w:r>
          </w:p>
        </w:tc>
        <w:tc>
          <w:tcPr>
            <w:tcW w:w="1296" w:type="dxa"/>
          </w:tcPr>
          <w:p w:rsidR="007419CB" w:rsidRPr="00A04DFE"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A04DFE">
              <w:rPr>
                <w:lang w:val="en-US"/>
              </w:rPr>
              <w:fldChar w:fldCharType="begin"/>
            </w:r>
            <w:r w:rsidR="00B77C17">
              <w:rPr>
                <w:color w:val="auto"/>
                <w:lang w:val="en-US"/>
              </w:rPr>
              <w:instrText xml:space="preserve"> ADDIN ZOTERO_ITEM CSL_CITATION {"citationID":"J13KhhNU","properties":{"formattedCitation":"\\super 28\\nosupersub{}","plainCitation":"28","noteIndex":0},"citationItems":[{"id":179,"uris":["http://zotero.org/users/local/hYny5ca1/items/HYKFDBAI"],"itemData":{"id":179,"type":"article-journal","abstract":"High-entropy alloys (HEAs) composed of multiprincipal elements with near-equiatomic ratio have gained numerous attention in recent years. The design concept and unique microstructure make them exhibit a wide range of attractive properties, promoting them suitable for most structural and functional applications. HEAs have four core effects: severe lattice distortion, high entropy, sluggish diffusion, and cocktail effects, which are all interconnected. Among these core effects, severe lattice distortion is seen as the most key factor in determining the properties of HEAs. Recent findings prove that phase selection in HEAs cannot be described by the maximized entropy theory alone. As such, the phase formation principles in terms of single-phase and multiphase formation criteria are summarized. Severe lattice distortion affecting the mechanical properties and polymorphism of HEAs is reviewed. Several strategies, which have recently been successfully applied in overcoming the ?strength?ductility trade-off? in HEAs, are discussed. Some key unsolved questions concerning the lattice distortion in HEAs which could be interesting research topics in the future are suggested.","container-title":"Advanced Engineering Materials","DOI":"10.1002/adem.202000466","ISSN":"1438-1656","issue":"11","journalAbbreviation":"Advanced Engineering Materials","note":"publisher: John Wiley &amp; Sons, Ltd","page":"2000466","title":"Phase Selection, Lattice Distortions, and Mechanical Properties in High-Entropy Alloys","volume":"22","author":[{"family":"Nutor","given":"Raymond Kwesi"},{"family":"Cao","given":"Qingping"},{"family":"Wang","given":"Xiaodong"},{"family":"Zhang","given":"Dongxian"},{"family":"Fang","given":"Yunzhang"},{"family":"Zhang","given":"Yong"},{"family":"Jiang","given":"Jian-Zhong"}],"issued":{"date-parts":[["2020",11,1]]}}}],"schema":"https://github.com/citation-style-language/schema/raw/master/csl-citation.json"} </w:instrText>
            </w:r>
            <w:r w:rsidRPr="00A04DFE">
              <w:rPr>
                <w:lang w:val="en-US"/>
              </w:rPr>
              <w:fldChar w:fldCharType="separate"/>
            </w:r>
            <w:r w:rsidR="00B77C17" w:rsidRPr="00B77C17">
              <w:rPr>
                <w:rFonts w:cs="Times New Roman"/>
                <w:szCs w:val="24"/>
                <w:vertAlign w:val="superscript"/>
              </w:rPr>
              <w:t>28</w:t>
            </w:r>
            <w:r w:rsidRPr="00A04DFE">
              <w:rPr>
                <w:lang w:val="en-US"/>
              </w:rPr>
              <w:fldChar w:fldCharType="end"/>
            </w:r>
          </w:p>
        </w:tc>
      </w:tr>
      <w:tr w:rsidR="007419CB" w:rsidRPr="00CC139D" w:rsidTr="007419CB">
        <w:trPr>
          <w:trHeight w:val="288"/>
        </w:trPr>
        <w:tc>
          <w:tcPr>
            <w:cnfStyle w:val="001000000000" w:firstRow="0" w:lastRow="0" w:firstColumn="1" w:lastColumn="0" w:oddVBand="0" w:evenVBand="0" w:oddHBand="0" w:evenHBand="0" w:firstRowFirstColumn="0" w:firstRowLastColumn="0" w:lastRowFirstColumn="0" w:lastRowLastColumn="0"/>
            <w:tcW w:w="982" w:type="dxa"/>
            <w:noWrap/>
            <w:hideMark/>
          </w:tcPr>
          <w:p w:rsidR="007419CB" w:rsidRPr="00A04DFE" w:rsidRDefault="00CC139D" w:rsidP="0021751D">
            <w:pPr>
              <w:spacing w:after="160" w:line="480" w:lineRule="auto"/>
              <w:rPr>
                <w:color w:val="auto"/>
                <w:lang w:val="en-US"/>
              </w:rPr>
            </w:pPr>
            <m:oMathPara>
              <m:oMath>
                <m:sSub>
                  <m:sSubPr>
                    <m:ctrlPr>
                      <w:rPr>
                        <w:rFonts w:ascii="Cambria Math" w:hAnsi="Cambria Math"/>
                        <w:i/>
                        <w:color w:val="auto"/>
                        <w:lang w:val="en-US"/>
                      </w:rPr>
                    </m:ctrlPr>
                  </m:sSubPr>
                  <m:e>
                    <m:r>
                      <m:rPr>
                        <m:sty m:val="bi"/>
                      </m:rPr>
                      <w:rPr>
                        <w:rFonts w:ascii="Cambria Math" w:hAnsi="Cambria Math"/>
                        <w:color w:val="auto"/>
                        <w:lang w:val="en-US"/>
                      </w:rPr>
                      <m:t>g</m:t>
                    </m:r>
                  </m:e>
                  <m:sub>
                    <m:r>
                      <m:rPr>
                        <m:sty m:val="bi"/>
                      </m:rPr>
                      <w:rPr>
                        <w:rFonts w:ascii="Cambria Math" w:hAnsi="Cambria Math"/>
                        <w:color w:val="auto"/>
                        <w:lang w:val="en-US"/>
                      </w:rPr>
                      <m:t>10</m:t>
                    </m:r>
                  </m:sub>
                </m:sSub>
              </m:oMath>
            </m:oMathPara>
          </w:p>
        </w:tc>
        <w:tc>
          <w:tcPr>
            <w:tcW w:w="1807"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Resistance to high-temperature oxidation</w:t>
            </w:r>
          </w:p>
        </w:tc>
        <w:tc>
          <w:tcPr>
            <w:tcW w:w="1453" w:type="dxa"/>
            <w:noWrap/>
            <w:hideMark/>
          </w:tcPr>
          <w:p w:rsidR="007419CB" w:rsidRPr="00A04DFE" w:rsidRDefault="00CC139D"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Para>
              <m:oMath>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A</m:t>
                        </m:r>
                      </m:sub>
                    </m:sSub>
                  </m:e>
                </m:func>
              </m:oMath>
            </m:oMathPara>
          </w:p>
        </w:tc>
        <w:tc>
          <w:tcPr>
            <w:tcW w:w="1453" w:type="dxa"/>
            <w:noWrap/>
            <w:hideMark/>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Para>
              <m:oMath>
                <m:r>
                  <w:rPr>
                    <w:rFonts w:ascii="Cambria Math" w:hAnsi="Cambria Math"/>
                    <w:lang w:val="en-US"/>
                  </w:rPr>
                  <m:t>&gt;0</m:t>
                </m:r>
              </m:oMath>
            </m:oMathPara>
          </w:p>
        </w:tc>
        <w:tc>
          <w:tcPr>
            <w:tcW w:w="785" w:type="dxa"/>
          </w:tcPr>
          <w:p w:rsidR="007419CB" w:rsidRPr="00A04DFE"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p>
        </w:tc>
        <w:tc>
          <w:tcPr>
            <w:tcW w:w="1296" w:type="dxa"/>
            <w:noWrap/>
            <w:hideMark/>
          </w:tcPr>
          <w:p w:rsidR="007419CB" w:rsidRPr="00A04DFE" w:rsidRDefault="007419CB" w:rsidP="0021751D">
            <w:pPr>
              <w:keepNext/>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t xml:space="preserve">sigmoid </w:t>
            </w:r>
            <m:oMath>
              <m:r>
                <w:rPr>
                  <w:rFonts w:ascii="Cambria Math" w:hAnsi="Cambria Math"/>
                  <w:lang w:val="en-US"/>
                </w:rPr>
                <m:t>[-0.25,0.25]</m:t>
              </m:r>
            </m:oMath>
          </w:p>
        </w:tc>
        <w:tc>
          <w:tcPr>
            <w:tcW w:w="1296" w:type="dxa"/>
          </w:tcPr>
          <w:p w:rsidR="007419CB" w:rsidRPr="00A04DFE" w:rsidRDefault="007419CB" w:rsidP="0021751D">
            <w:pPr>
              <w:keepNext/>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A04DFE">
              <w:rPr>
                <w:lang w:val="en-US"/>
              </w:rPr>
              <w:fldChar w:fldCharType="begin"/>
            </w:r>
            <w:r w:rsidR="00B77C17">
              <w:rPr>
                <w:lang w:val="en-US"/>
              </w:rPr>
              <w:instrText xml:space="preserve"> ADDIN ZOTERO_ITEM CSL_CITATION {"citationID":"O4fTtld5","properties":{"formattedCitation":"\\super 35,36\\nosupersub{}","plainCitation":"35,36","noteIndex":0},"citationItems":[{"id":326,"uris":["http://zotero.org/users/local/hYny5ca1/items/BWF53KDA"],"itemData":{"id":326,"type":"report","abstract":"A large body of high temperature cyclic oxidation data generated from tests at NASA Lewis Research Center involving gravimetric/time values for 36 Ni- and Co-base superalloys was reduced to a single attack parameter, K(sub a), for each run. This K(sub a) value was used to rank the cyclic oxidation resistance of each alloy at 1000, 1100, and 1150 C. These K(sub a) values were also used to derive an estimating equation using multiple linear regression involving log(sub 10)K(sub a) as a function of alloy chemistry and test temperature. This estimating equation has a high degree of fit and could be used to predict cyclic oxidation behavior for similar alloys and to design an optimum high strength Ni-base superalloy with maximum high temperature cyclic oxidation resistance. The critical alloy elements found to be beneficial were Al, Cr, and Ta.","note":"NTRS Author Affiliations: NASA Lewis Research Center\nNTRS Document ID: 19930008880\nNTRS Research Center: Legacy CDMS (CDMS)","number":"NASA-TM-105934","source":"NASA NTRS","title":"A statistical analysis of elevated temperature gravimetric cyclic oxidation data of 36 Ni- and Co-base superalloys based on an oxidation attack parameter","URL":"https://ntrs.nasa.gov/citations/19930008880","author":[{"family":"Barrett","given":"Charles A."}],"accessed":{"date-parts":[["2025",5,23]]},"issued":{"date-parts":[["1992",12,1]]}}},{"id":325,"uris":["http://zotero.org/users/local/hYny5ca1/items/7TBUDLXF"],"itemData":{"id":325,"type":"article-journal","abstract":"Parabolic rate constants, kp, were collected from published reports and calculated from corrosion product data (sample mass gain or corrosion product thickness) and tabulated for 75 alloys exposed to temperatures between ~800 and 2000 K (~500–1700 oC; 900–3000 oF). Data were collected for environments including lab air, ambient and supercritical carbon dioxide, supercritical water, and steam. Materials studied include low- and high-Cr ferritic and austenitic steels, nickel superalloys, and aluminide materials. A combination of Arrhenius analysis, simple linear regression, supervised and unsupervised machine learning methods were used to investigate the relations between composition and oxidation kinetics. The supervised machine learning techniques produced the lowest mean standard errors. The most significant elements controlling oxidation kinetics were Ni, Cr, Al, and Fe, with Mo and Co composition also found to be significant features. The activation energies produced from the machine learning analysis were in the correct distributions for the diffusion constants for the oxide scales expected to dominate in each class.","container-title":"npj Materials Degradation","DOI":"10.1038/s41529-021-00184-3","ISSN":"2397-2106","issue":"1","journalAbbreviation":"npj Materials Degradation","page":"38","title":"High temperature oxidation of corrosion resistant alloys from machine learning","volume":"5","author":[{"family":"Taylor","given":"Christopher D."},{"family":"Tossey","given":"Brett M."}],"issued":{"date-parts":[["2021",7,15]]}}}],"schema":"https://github.com/citation-style-language/schema/raw/master/csl-citation.json"} </w:instrText>
            </w:r>
            <w:r w:rsidRPr="00A04DFE">
              <w:rPr>
                <w:lang w:val="en-US"/>
              </w:rPr>
              <w:fldChar w:fldCharType="separate"/>
            </w:r>
            <w:r w:rsidR="00B77C17" w:rsidRPr="00B77C17">
              <w:rPr>
                <w:rFonts w:cs="Times New Roman"/>
                <w:szCs w:val="24"/>
                <w:vertAlign w:val="superscript"/>
                <w:lang w:val="en-US"/>
              </w:rPr>
              <w:t>35,36</w:t>
            </w:r>
            <w:r w:rsidRPr="00A04DFE">
              <w:rPr>
                <w:lang w:val="en-US"/>
              </w:rPr>
              <w:fldChar w:fldCharType="end"/>
            </w:r>
          </w:p>
        </w:tc>
      </w:tr>
    </w:tbl>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15" w:name="_Ref205592375"/>
      <w:r w:rsidRPr="000A4838">
        <w:rPr>
          <w:rFonts w:ascii="Arial" w:hAnsi="Arial" w:cs="Arial"/>
          <w:b/>
          <w:i w:val="0"/>
          <w:color w:val="auto"/>
          <w:sz w:val="20"/>
          <w:szCs w:val="20"/>
          <w:lang w:val="en-US"/>
        </w:rPr>
        <w:t xml:space="preserve">Table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Tableau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w:t>
      </w:r>
      <w:r w:rsidRPr="000A4838">
        <w:rPr>
          <w:rFonts w:ascii="Arial" w:hAnsi="Arial" w:cs="Arial"/>
          <w:b/>
          <w:i w:val="0"/>
          <w:color w:val="auto"/>
          <w:sz w:val="20"/>
          <w:szCs w:val="20"/>
          <w:lang w:val="en-US"/>
        </w:rPr>
        <w:fldChar w:fldCharType="end"/>
      </w:r>
      <w:bookmarkEnd w:id="115"/>
      <w:r w:rsidRPr="000A4838">
        <w:rPr>
          <w:rFonts w:ascii="Arial" w:hAnsi="Arial" w:cs="Arial"/>
          <w:b/>
          <w:i w:val="0"/>
          <w:color w:val="auto"/>
          <w:sz w:val="20"/>
          <w:szCs w:val="20"/>
          <w:lang w:val="en-US"/>
        </w:rPr>
        <w:t>: Summary of the Physical Performance Objectives, the Quantitative Values and the Associated Filters</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The table summarizes the quantified objectives that were fixed according to the observations made in the scientific literature about HESA, and details how the performance targets are translated into numerical scores. This scoring approach drives the AI-driven method applied for new materials discovery until it can be presented to a human mind.</w:t>
      </w:r>
    </w:p>
    <w:bookmarkEnd w:id="114"/>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1D769FE4" wp14:editId="6AE0B1C9">
            <wp:extent cx="5755005" cy="3676015"/>
            <wp:effectExtent l="0" t="0" r="0" b="63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005" cy="3676015"/>
                    </a:xfrm>
                    <a:prstGeom prst="rect">
                      <a:avLst/>
                    </a:prstGeom>
                    <a:noFill/>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16" w:name="_Ref205593038"/>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22</w:t>
      </w:r>
      <w:r w:rsidRPr="000A4838">
        <w:rPr>
          <w:rFonts w:ascii="Arial" w:hAnsi="Arial" w:cs="Arial"/>
          <w:b/>
          <w:i w:val="0"/>
          <w:color w:val="auto"/>
          <w:sz w:val="20"/>
          <w:szCs w:val="20"/>
          <w:lang w:val="en-US"/>
        </w:rPr>
        <w:fldChar w:fldCharType="end"/>
      </w:r>
      <w:bookmarkEnd w:id="116"/>
      <w:r w:rsidRPr="000A4838">
        <w:rPr>
          <w:rFonts w:ascii="Arial" w:hAnsi="Arial" w:cs="Arial"/>
          <w:b/>
          <w:i w:val="0"/>
          <w:color w:val="auto"/>
          <w:sz w:val="20"/>
          <w:szCs w:val="20"/>
          <w:lang w:val="en-US"/>
        </w:rPr>
        <w:t>: Mathematical Filtering Functions to Establish Scores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To convert the “distance to target” for a given for a physical quantity to a “score” in </w:t>
      </w:r>
      <m:oMath>
        <m:r>
          <w:rPr>
            <w:rFonts w:ascii="Cambria Math" w:hAnsi="Cambria Math" w:cs="Arial"/>
            <w:sz w:val="20"/>
            <w:szCs w:val="20"/>
            <w:lang w:val="en-US"/>
          </w:rPr>
          <m:t>[0,1]</m:t>
        </m:r>
      </m:oMath>
      <w:r w:rsidRPr="000A4838">
        <w:rPr>
          <w:rFonts w:ascii="Arial" w:hAnsi="Arial" w:cs="Arial"/>
          <w:sz w:val="20"/>
          <w:szCs w:val="20"/>
          <w:lang w:val="en-US"/>
        </w:rPr>
        <w:t xml:space="preserve"> (the higher, the better), a quantitative threshold or range is established (see </w:t>
      </w:r>
      <w:r w:rsidRPr="000A4838">
        <w:rPr>
          <w:rFonts w:ascii="Arial" w:hAnsi="Arial" w:cs="Arial"/>
          <w:sz w:val="20"/>
          <w:szCs w:val="20"/>
          <w:lang w:val="en-US"/>
        </w:rPr>
        <w:fldChar w:fldCharType="begin"/>
      </w:r>
      <w:r w:rsidRPr="000A4838">
        <w:rPr>
          <w:rFonts w:ascii="Arial" w:hAnsi="Arial" w:cs="Arial"/>
          <w:sz w:val="20"/>
          <w:szCs w:val="20"/>
          <w:lang w:val="en-US"/>
        </w:rPr>
        <w:instrText xml:space="preserve"> REF _Ref205592375 \h  \* MERGEFORMAT </w:instrText>
      </w:r>
      <w:r w:rsidRPr="000A4838">
        <w:rPr>
          <w:rFonts w:ascii="Arial" w:hAnsi="Arial" w:cs="Arial"/>
          <w:sz w:val="20"/>
          <w:szCs w:val="20"/>
          <w:lang w:val="en-US"/>
        </w:rPr>
      </w:r>
      <w:r w:rsidRPr="000A4838">
        <w:rPr>
          <w:rFonts w:ascii="Arial" w:hAnsi="Arial" w:cs="Arial"/>
          <w:sz w:val="20"/>
          <w:szCs w:val="20"/>
          <w:lang w:val="en-US"/>
        </w:rPr>
        <w:fldChar w:fldCharType="separate"/>
      </w:r>
      <w:r w:rsidR="00380C88" w:rsidRPr="00380C88">
        <w:rPr>
          <w:rFonts w:ascii="Arial" w:hAnsi="Arial" w:cs="Arial"/>
          <w:b/>
          <w:sz w:val="20"/>
          <w:szCs w:val="20"/>
          <w:lang w:val="en-US"/>
        </w:rPr>
        <w:t xml:space="preserve">Table </w:t>
      </w:r>
      <w:r w:rsidR="00380C88" w:rsidRPr="00380C88">
        <w:rPr>
          <w:rFonts w:ascii="Arial" w:hAnsi="Arial" w:cs="Arial"/>
          <w:b/>
          <w:noProof/>
          <w:sz w:val="20"/>
          <w:szCs w:val="20"/>
          <w:lang w:val="en-US"/>
        </w:rPr>
        <w:t>2</w:t>
      </w:r>
      <w:r w:rsidRPr="000A4838">
        <w:rPr>
          <w:rFonts w:ascii="Arial" w:hAnsi="Arial" w:cs="Arial"/>
          <w:sz w:val="20"/>
          <w:szCs w:val="20"/>
          <w:lang w:val="en-US"/>
        </w:rPr>
        <w:fldChar w:fldCharType="end"/>
      </w:r>
      <w:r w:rsidRPr="000A4838">
        <w:rPr>
          <w:rFonts w:ascii="Arial" w:hAnsi="Arial" w:cs="Arial"/>
          <w:sz w:val="20"/>
          <w:szCs w:val="20"/>
          <w:lang w:val="en-US"/>
        </w:rPr>
        <w:t xml:space="preserve">). </w:t>
      </w:r>
    </w:p>
    <w:p w:rsidR="007419CB" w:rsidRPr="000A4838" w:rsidRDefault="007419CB" w:rsidP="00F949EF">
      <w:pPr>
        <w:numPr>
          <w:ilvl w:val="0"/>
          <w:numId w:val="41"/>
        </w:numPr>
        <w:spacing w:after="160" w:line="480" w:lineRule="auto"/>
        <w:rPr>
          <w:rFonts w:ascii="Arial" w:hAnsi="Arial" w:cs="Arial"/>
          <w:sz w:val="20"/>
          <w:szCs w:val="20"/>
          <w:lang w:val="en-US"/>
        </w:rPr>
      </w:pPr>
      <w:r w:rsidRPr="000A4838">
        <w:rPr>
          <w:rFonts w:ascii="Arial" w:hAnsi="Arial" w:cs="Arial"/>
          <w:sz w:val="20"/>
          <w:szCs w:val="20"/>
          <w:lang w:val="en-US"/>
        </w:rPr>
        <w:t xml:space="preserve">If the objective is to ensure that the quantity remains within a certain range (e.g. VEC), the value is converted into a number through a Gaussian function centered on that range, and reaching exactly 0.5 at the boundaries of the range red curve). This ensures that values </w:t>
      </w:r>
      <m:oMath>
        <m:r>
          <w:rPr>
            <w:rFonts w:ascii="Cambria Math" w:hAnsi="Cambria Math" w:cs="Arial"/>
            <w:sz w:val="20"/>
            <w:szCs w:val="20"/>
            <w:lang w:val="en-US"/>
          </w:rPr>
          <m:t>x</m:t>
        </m:r>
      </m:oMath>
      <w:r w:rsidRPr="000A4838">
        <w:rPr>
          <w:rFonts w:ascii="Arial" w:hAnsi="Arial" w:cs="Arial"/>
          <w:sz w:val="20"/>
          <w:szCs w:val="20"/>
          <w:lang w:val="en-US"/>
        </w:rPr>
        <w:t xml:space="preserve"> out of this range quickly have </w:t>
      </w:r>
      <m:oMath>
        <m:sSub>
          <m:sSubPr>
            <m:ctrlPr>
              <w:rPr>
                <w:rFonts w:ascii="Cambria Math" w:hAnsi="Cambria Math" w:cs="Arial"/>
                <w:i/>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i</m:t>
            </m:r>
          </m:sub>
        </m:sSub>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&lt;0.3</m:t>
        </m:r>
      </m:oMath>
      <w:r w:rsidRPr="000A4838">
        <w:rPr>
          <w:rFonts w:ascii="Arial" w:eastAsiaTheme="minorEastAsia" w:hAnsi="Arial" w:cs="Arial"/>
          <w:sz w:val="20"/>
          <w:szCs w:val="20"/>
          <w:lang w:val="en-US"/>
        </w:rPr>
        <w:t xml:space="preserve"> and are therefore</w:t>
      </w:r>
      <w:r w:rsidRPr="000A4838">
        <w:rPr>
          <w:rFonts w:ascii="Arial" w:hAnsi="Arial" w:cs="Arial"/>
          <w:sz w:val="20"/>
          <w:szCs w:val="20"/>
          <w:lang w:val="en-US"/>
        </w:rPr>
        <w:t xml:space="preserve"> dismissed – light red area. </w:t>
      </w:r>
    </w:p>
    <w:p w:rsidR="007419CB" w:rsidRPr="000A4838" w:rsidRDefault="007419CB" w:rsidP="00F949EF">
      <w:pPr>
        <w:numPr>
          <w:ilvl w:val="0"/>
          <w:numId w:val="41"/>
        </w:numPr>
        <w:spacing w:after="160" w:line="480" w:lineRule="auto"/>
        <w:rPr>
          <w:rFonts w:ascii="Arial" w:hAnsi="Arial" w:cs="Arial"/>
          <w:sz w:val="20"/>
          <w:szCs w:val="20"/>
          <w:lang w:val="en-US"/>
        </w:rPr>
      </w:pPr>
      <w:r w:rsidRPr="000A4838">
        <w:rPr>
          <w:rFonts w:ascii="Arial" w:hAnsi="Arial" w:cs="Arial"/>
          <w:sz w:val="20"/>
          <w:szCs w:val="20"/>
          <w:lang w:val="en-US"/>
        </w:rPr>
        <w:t xml:space="preserve">If the objective is to be above a certain threshold (e.g. </w:t>
      </w:r>
      <m:oMath>
        <m:r>
          <m:rPr>
            <m:sty m:val="p"/>
          </m:rPr>
          <w:rPr>
            <w:rFonts w:ascii="Cambria Math" w:hAnsi="Cambria Math" w:cs="Arial"/>
            <w:sz w:val="20"/>
            <w:szCs w:val="20"/>
            <w:lang w:val="en-US"/>
          </w:rPr>
          <m:t>Ω</m:t>
        </m:r>
      </m:oMath>
      <w:r w:rsidRPr="000A4838">
        <w:rPr>
          <w:rFonts w:ascii="Arial" w:hAnsi="Arial" w:cs="Arial"/>
          <w:sz w:val="20"/>
          <w:szCs w:val="20"/>
          <w:lang w:val="en-US"/>
        </w:rPr>
        <w:t>) or below (e.g. the density), a sigmoid function is used instead (blue curve), using a range as parameters: it reaches 0.5 in the center,</w:t>
      </w:r>
      <w:r w:rsidRPr="000A4838">
        <w:rPr>
          <w:rFonts w:ascii="Cambria Math" w:hAnsi="Cambria Math" w:cs="Arial"/>
          <w:i/>
          <w:sz w:val="20"/>
          <w:szCs w:val="20"/>
          <w:lang w:val="en-US"/>
        </w:rPr>
        <w:t xml:space="preserve"> </w:t>
      </w:r>
      <m:oMath>
        <m:r>
          <w:rPr>
            <w:rFonts w:ascii="Cambria Math" w:hAnsi="Cambria Math" w:cs="Arial"/>
            <w:sz w:val="20"/>
            <w:szCs w:val="20"/>
            <w:lang w:val="en-US"/>
          </w:rPr>
          <m:t>1/(1+</m:t>
        </m:r>
        <m:sSup>
          <m:sSupPr>
            <m:ctrlPr>
              <w:rPr>
                <w:rFonts w:ascii="Cambria Math" w:hAnsi="Cambria Math" w:cs="Arial"/>
                <w:i/>
                <w:sz w:val="20"/>
                <w:szCs w:val="20"/>
                <w:lang w:val="en-US"/>
              </w:rPr>
            </m:ctrlPr>
          </m:sSupPr>
          <m:e>
            <m:r>
              <w:rPr>
                <w:rFonts w:ascii="Cambria Math" w:hAnsi="Cambria Math" w:cs="Arial"/>
                <w:sz w:val="20"/>
                <w:szCs w:val="20"/>
                <w:lang w:val="en-US"/>
              </w:rPr>
              <m:t>e</m:t>
            </m:r>
          </m:e>
          <m:sup>
            <m:r>
              <w:rPr>
                <w:rFonts w:ascii="Cambria Math" w:hAnsi="Cambria Math" w:cs="Arial"/>
                <w:sz w:val="20"/>
                <w:szCs w:val="20"/>
                <w:lang w:val="en-US"/>
              </w:rPr>
              <m:t>-</m:t>
            </m:r>
            <m:f>
              <m:fPr>
                <m:type m:val="lin"/>
                <m:ctrlPr>
                  <w:rPr>
                    <w:rFonts w:ascii="Cambria Math" w:hAnsi="Cambria Math" w:cs="Arial"/>
                    <w:i/>
                    <w:sz w:val="20"/>
                    <w:szCs w:val="20"/>
                    <w:lang w:val="en-US"/>
                  </w:rPr>
                </m:ctrlPr>
              </m:fPr>
              <m:num>
                <m:r>
                  <w:rPr>
                    <w:rFonts w:ascii="Cambria Math" w:hAnsi="Cambria Math" w:cs="Arial"/>
                    <w:sz w:val="20"/>
                    <w:szCs w:val="20"/>
                    <w:lang w:val="en-US"/>
                  </w:rPr>
                  <m:t>1</m:t>
                </m:r>
              </m:num>
              <m:den>
                <m:r>
                  <w:rPr>
                    <w:rFonts w:ascii="Cambria Math" w:hAnsi="Cambria Math" w:cs="Arial"/>
                    <w:sz w:val="20"/>
                    <w:szCs w:val="20"/>
                    <w:lang w:val="en-US"/>
                  </w:rPr>
                  <m:t>2</m:t>
                </m:r>
              </m:den>
            </m:f>
          </m:sup>
        </m:sSup>
        <m:r>
          <w:rPr>
            <w:rFonts w:ascii="Cambria Math" w:hAnsi="Cambria Math" w:cs="Arial"/>
            <w:sz w:val="20"/>
            <w:szCs w:val="20"/>
            <w:lang w:val="en-US"/>
          </w:rPr>
          <m:t>)≈0.38</m:t>
        </m:r>
      </m:oMath>
      <w:r w:rsidRPr="000A4838">
        <w:rPr>
          <w:rFonts w:ascii="Arial" w:hAnsi="Arial" w:cs="Arial"/>
          <w:sz w:val="20"/>
          <w:szCs w:val="20"/>
          <w:lang w:val="en-US"/>
        </w:rPr>
        <w:t xml:space="preserve"> at the lower boundary, and about 0.62 at the upper boundary. The choice of the range </w:t>
      </w:r>
      <m:oMath>
        <m:r>
          <w:rPr>
            <w:rFonts w:ascii="Cambria Math" w:hAnsi="Cambria Math" w:cs="Arial"/>
            <w:sz w:val="20"/>
            <w:szCs w:val="20"/>
            <w:lang w:val="en-US"/>
          </w:rPr>
          <m:t>[a,b]</m:t>
        </m:r>
      </m:oMath>
      <w:r w:rsidRPr="000A4838">
        <w:rPr>
          <w:rFonts w:ascii="Arial" w:hAnsi="Arial" w:cs="Arial"/>
          <w:sz w:val="20"/>
          <w:szCs w:val="20"/>
          <w:lang w:val="en-US"/>
        </w:rPr>
        <w:t xml:space="preserve"> determines both the threshold </w:t>
      </w:r>
      <m:oMath>
        <m:sSub>
          <m:sSubPr>
            <m:ctrlPr>
              <w:rPr>
                <w:rFonts w:ascii="Cambria Math" w:hAnsi="Cambria Math" w:cs="Arial"/>
                <w:i/>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i</m:t>
            </m:r>
          </m:sub>
        </m:sSub>
        <m:r>
          <w:rPr>
            <w:rFonts w:ascii="Cambria Math" w:hAnsi="Cambria Math" w:cs="Arial"/>
            <w:sz w:val="20"/>
            <w:szCs w:val="20"/>
            <w:lang w:val="en-US"/>
          </w:rPr>
          <m:t>(</m:t>
        </m:r>
        <m:d>
          <m:dPr>
            <m:ctrlPr>
              <w:rPr>
                <w:rFonts w:ascii="Cambria Math" w:hAnsi="Cambria Math" w:cs="Arial"/>
                <w:i/>
                <w:sz w:val="20"/>
                <w:szCs w:val="20"/>
                <w:lang w:val="en-US"/>
              </w:rPr>
            </m:ctrlPr>
          </m:dPr>
          <m:e>
            <m:r>
              <w:rPr>
                <w:rFonts w:ascii="Cambria Math" w:hAnsi="Cambria Math" w:cs="Arial"/>
                <w:sz w:val="20"/>
                <w:szCs w:val="20"/>
                <w:lang w:val="en-US"/>
              </w:rPr>
              <m:t>a+b</m:t>
            </m:r>
          </m:e>
        </m:d>
        <m:r>
          <w:rPr>
            <w:rFonts w:ascii="Cambria Math" w:hAnsi="Cambria Math" w:cs="Arial"/>
            <w:sz w:val="20"/>
            <w:szCs w:val="20"/>
            <w:lang w:val="en-US"/>
          </w:rPr>
          <m:t>/2)=0.5</m:t>
        </m:r>
      </m:oMath>
      <w:r w:rsidRPr="000A4838">
        <w:rPr>
          <w:rFonts w:ascii="Arial" w:eastAsiaTheme="minorEastAsia" w:hAnsi="Arial" w:cs="Arial"/>
          <w:sz w:val="20"/>
          <w:szCs w:val="20"/>
          <w:lang w:val="en-US"/>
        </w:rPr>
        <w:t xml:space="preserve"> and the form factor of the sigmoid, governing its growth band and </w:t>
      </w:r>
      <w:r w:rsidRPr="000A4838">
        <w:rPr>
          <w:rFonts w:ascii="Arial" w:hAnsi="Arial" w:cs="Arial"/>
          <w:sz w:val="20"/>
          <w:szCs w:val="20"/>
          <w:lang w:val="en-US"/>
        </w:rPr>
        <w:t>how small a value can be before being rejected.</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On the example presented here, the range associated to both the Gaussian window and the sigmoid is </w:t>
      </w:r>
      <m:oMath>
        <m:r>
          <w:rPr>
            <w:rFonts w:ascii="Cambria Math" w:hAnsi="Cambria Math" w:cs="Arial"/>
            <w:sz w:val="20"/>
            <w:szCs w:val="20"/>
            <w:lang w:val="en-US"/>
          </w:rPr>
          <m:t>[1,2]</m:t>
        </m:r>
      </m:oMath>
      <w:r w:rsidRPr="000A4838">
        <w:rPr>
          <w:rFonts w:ascii="Arial" w:hAnsi="Arial" w:cs="Arial"/>
          <w:sz w:val="20"/>
          <w:szCs w:val="20"/>
          <w:lang w:val="en-US"/>
        </w:rPr>
        <w:t xml:space="preserve">. The vertical dash lines </w:t>
      </w:r>
      <m:oMath>
        <m:r>
          <w:rPr>
            <w:rFonts w:ascii="Cambria Math" w:hAnsi="Cambria Math" w:cs="Arial"/>
            <w:sz w:val="20"/>
            <w:szCs w:val="20"/>
            <w:lang w:val="en-US"/>
          </w:rPr>
          <m:t>y=a</m:t>
        </m:r>
      </m:oMath>
      <w:r w:rsidRPr="000A4838">
        <w:rPr>
          <w:rFonts w:ascii="Arial" w:hAnsi="Arial" w:cs="Arial"/>
          <w:sz w:val="20"/>
          <w:szCs w:val="20"/>
          <w:lang w:val="en-US"/>
        </w:rPr>
        <w:t xml:space="preserve"> and </w:t>
      </w:r>
      <m:oMath>
        <m:r>
          <w:rPr>
            <w:rFonts w:ascii="Cambria Math" w:hAnsi="Cambria Math" w:cs="Arial"/>
            <w:sz w:val="20"/>
            <w:szCs w:val="20"/>
            <w:lang w:val="en-US"/>
          </w:rPr>
          <m:t>y=b</m:t>
        </m:r>
      </m:oMath>
      <w:r w:rsidRPr="000A4838">
        <w:rPr>
          <w:rFonts w:ascii="Arial" w:hAnsi="Arial" w:cs="Arial"/>
          <w:sz w:val="20"/>
          <w:szCs w:val="20"/>
          <w:lang w:val="en-US"/>
        </w:rPr>
        <w:t xml:space="preserve"> help visualize the range, while the horizontal line </w:t>
      </w:r>
      <w:r w:rsidRPr="000A4838">
        <w:rPr>
          <w:rFonts w:ascii="Arial" w:hAnsi="Arial" w:cs="Arial"/>
          <w:sz w:val="20"/>
          <w:szCs w:val="20"/>
          <w:lang w:val="en-US"/>
        </w:rPr>
        <w:lastRenderedPageBreak/>
        <w:t xml:space="preserve">materializes the full width at half maximum of the Gaussian curve. Materials with </w:t>
      </w:r>
      <m:oMath>
        <m:sSub>
          <m:sSubPr>
            <m:ctrlPr>
              <w:rPr>
                <w:rFonts w:ascii="Cambria Math" w:hAnsi="Cambria Math" w:cs="Arial"/>
                <w:i/>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i</m:t>
            </m:r>
          </m:sub>
        </m:sSub>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&lt;0.3</m:t>
        </m:r>
      </m:oMath>
      <w:r w:rsidRPr="000A4838">
        <w:rPr>
          <w:rFonts w:ascii="Arial" w:eastAsiaTheme="minorEastAsia" w:hAnsi="Arial" w:cs="Arial"/>
          <w:sz w:val="20"/>
          <w:szCs w:val="20"/>
          <w:lang w:val="en-US"/>
        </w:rPr>
        <w:t xml:space="preserve"> (light red area) are rejected.</w:t>
      </w: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17" w:name="_Ref205244012"/>
      <w:bookmarkStart w:id="118" w:name="_Toc214314350"/>
      <w:bookmarkStart w:id="119" w:name="_Toc216021111"/>
      <w:r w:rsidRPr="000A4838">
        <w:rPr>
          <w:rFonts w:ascii="Times New Roman" w:hAnsi="Times New Roman" w:cs="Times New Roman"/>
          <w:color w:val="auto"/>
          <w:sz w:val="24"/>
          <w:szCs w:val="24"/>
          <w:lang w:val="en-US"/>
        </w:rPr>
        <w:t>Ashby Charts: Legacy Superalloys vs Pareto-optimal</w:t>
      </w:r>
      <w:bookmarkEnd w:id="117"/>
      <w:bookmarkEnd w:id="118"/>
      <w:bookmarkEnd w:id="119"/>
    </w:p>
    <w:p w:rsidR="007419CB" w:rsidRPr="006F2A42" w:rsidRDefault="007419CB" w:rsidP="0021751D">
      <w:pPr>
        <w:pStyle w:val="NormalWeb"/>
        <w:spacing w:before="0" w:beforeAutospacing="0" w:after="160" w:afterAutospacing="0" w:line="480" w:lineRule="auto"/>
        <w:rPr>
          <w:lang w:val="en-US"/>
        </w:rPr>
      </w:pPr>
      <w:bookmarkStart w:id="120" w:name="_Ref203514607"/>
      <w:r w:rsidRPr="000A4838">
        <w:rPr>
          <w:lang w:val="en-US"/>
        </w:rPr>
        <w:t xml:space="preserve">The previous subsection presented the scoring framework and Pareto-front selection for the extensive database of randomly generated quinary High-Entropy Alloys (HEAs). Having narrowed down the dataset to non-dominated candidates, this subsection employs Ashby charts to visually explore and compare the performance landscape of these Pareto-optimal HEAs relative to established “legacy” superalloys. Ashby </w:t>
      </w:r>
      <w:r w:rsidRPr="006F2A42">
        <w:rPr>
          <w:lang w:val="en-US"/>
        </w:rPr>
        <w:t xml:space="preserve">charts represent pairs of critical material properties, allowing intuitive visualization of trade-offs and identifying regions of optimal performance. In this study, physical properties known to be crucial for superalloy applications are selected, specifically those properties reliably predicted by </w:t>
      </w:r>
      <w:r>
        <w:rPr>
          <w:lang w:val="en-US"/>
        </w:rPr>
        <w:t>the</w:t>
      </w:r>
      <w:r w:rsidRPr="006F2A42">
        <w:rPr>
          <w:lang w:val="en-US"/>
        </w:rPr>
        <w:t xml:space="preserve"> machine-learning surrogates: Young’s modulus, bulk and shear moduli, melting temperature, creep resistance, density, formation energy, and high-temperature oxidation resistance.</w:t>
      </w:r>
    </w:p>
    <w:p w:rsidR="007419CB" w:rsidRPr="000A4838" w:rsidRDefault="007419CB" w:rsidP="0021751D">
      <w:pPr>
        <w:pStyle w:val="NormalWeb"/>
        <w:spacing w:before="0" w:beforeAutospacing="0" w:after="160" w:afterAutospacing="0" w:line="480" w:lineRule="auto"/>
        <w:rPr>
          <w:lang w:val="en-US"/>
        </w:rPr>
      </w:pPr>
      <w:r>
        <w:rPr>
          <w:lang w:val="en-US"/>
        </w:rPr>
        <w:t xml:space="preserve">First, </w:t>
      </w:r>
      <w:r w:rsidRPr="000A4838">
        <w:rPr>
          <w:lang w:val="en-US"/>
        </w:rPr>
        <w:t>the Pareto-optimal HEAs</w:t>
      </w:r>
      <w:r>
        <w:rPr>
          <w:lang w:val="en-US"/>
        </w:rPr>
        <w:t xml:space="preserve"> is clustered</w:t>
      </w:r>
      <w:r w:rsidRPr="000A4838">
        <w:rPr>
          <w:lang w:val="en-US"/>
        </w:rPr>
        <w:t xml:space="preserve"> using hierarchical Ward linkage clustering, which groups alloys according to their compositional similarity. For interpretability, each cluster was succinctly labeled using simplified chemical formula notation highlighting dominant elements. This labeling was performed by removing any element whose fractional contribution fell below a predefined threshold (5%), thus providing concise and meaningful cluster identifiers. The color-coded clusters shown in the charts facilitate rapid identification of compositional trends and their association with specific property regimes.</w:t>
      </w:r>
    </w:p>
    <w:p w:rsidR="007419CB" w:rsidRPr="000A4838" w:rsidRDefault="007419CB" w:rsidP="0021751D">
      <w:pPr>
        <w:pStyle w:val="NormalWeb"/>
        <w:spacing w:before="0" w:beforeAutospacing="0" w:after="160" w:afterAutospacing="0" w:line="480" w:lineRule="auto"/>
        <w:rPr>
          <w:lang w:val="en-US"/>
        </w:rPr>
      </w:pPr>
      <w:r w:rsidRPr="000A4838">
        <w:rPr>
          <w:lang w:val="en-US"/>
        </w:rPr>
        <w:t>Five pairs of properties were plotted:</w:t>
      </w:r>
    </w:p>
    <w:p w:rsidR="007419CB" w:rsidRPr="000A4838" w:rsidRDefault="007419CB" w:rsidP="00F949EF">
      <w:pPr>
        <w:pStyle w:val="NormalWeb"/>
        <w:numPr>
          <w:ilvl w:val="0"/>
          <w:numId w:val="36"/>
        </w:numPr>
        <w:spacing w:before="0" w:beforeAutospacing="0" w:after="160" w:afterAutospacing="0" w:line="480" w:lineRule="auto"/>
        <w:rPr>
          <w:lang w:val="en-US"/>
        </w:rPr>
      </w:pPr>
      <w:r w:rsidRPr="000A4838">
        <w:rPr>
          <w:rStyle w:val="lev"/>
          <w:rFonts w:eastAsia="Arial"/>
          <w:lang w:val="en-US"/>
        </w:rPr>
        <w:lastRenderedPageBreak/>
        <w:t>Shear modulus vs. bulk modulus</w:t>
      </w:r>
      <w:r>
        <w:rPr>
          <w:rStyle w:val="lev"/>
          <w:rFonts w:eastAsia="Arial"/>
          <w:lang w:val="en-US"/>
        </w:rPr>
        <w:t xml:space="preserve"> (</w:t>
      </w:r>
      <w:r w:rsidRPr="004532BF">
        <w:rPr>
          <w:rStyle w:val="lev"/>
          <w:rFonts w:eastAsia="Arial"/>
          <w:lang w:val="en-US"/>
        </w:rPr>
        <w:fldChar w:fldCharType="begin"/>
      </w:r>
      <w:r w:rsidRPr="004532BF">
        <w:rPr>
          <w:rStyle w:val="lev"/>
          <w:rFonts w:eastAsia="Arial"/>
          <w:lang w:val="en-US"/>
        </w:rPr>
        <w:instrText xml:space="preserve"> REF _Ref214210908 \h  \* MERGEFORMAT </w:instrText>
      </w:r>
      <w:r w:rsidRPr="004532BF">
        <w:rPr>
          <w:rStyle w:val="lev"/>
          <w:rFonts w:eastAsia="Arial"/>
          <w:lang w:val="en-US"/>
        </w:rPr>
      </w:r>
      <w:r w:rsidRPr="004532BF">
        <w:rPr>
          <w:rStyle w:val="lev"/>
          <w:rFonts w:eastAsia="Arial"/>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23</w:t>
      </w:r>
      <w:r w:rsidRPr="004532BF">
        <w:rPr>
          <w:rStyle w:val="lev"/>
          <w:rFonts w:eastAsia="Arial"/>
          <w:lang w:val="en-US"/>
        </w:rPr>
        <w:fldChar w:fldCharType="end"/>
      </w:r>
      <w:r>
        <w:rPr>
          <w:rStyle w:val="lev"/>
          <w:rFonts w:eastAsia="Arial"/>
          <w:lang w:val="en-US"/>
        </w:rPr>
        <w:t>)</w:t>
      </w:r>
      <w:r w:rsidRPr="000A4838">
        <w:rPr>
          <w:rStyle w:val="lev"/>
          <w:rFonts w:eastAsia="Arial"/>
          <w:lang w:val="en-US"/>
        </w:rPr>
        <w:t>:</w:t>
      </w:r>
      <w:r w:rsidRPr="000A4838">
        <w:rPr>
          <w:lang w:val="en-US"/>
        </w:rPr>
        <w:t xml:space="preserve"> this combination directly reflects alloy stiffness and elastic response, crucial for structural integrity and durability under mechanical stress.</w:t>
      </w:r>
    </w:p>
    <w:p w:rsidR="007419CB" w:rsidRPr="000A4838" w:rsidRDefault="007419CB" w:rsidP="00F949EF">
      <w:pPr>
        <w:pStyle w:val="NormalWeb"/>
        <w:numPr>
          <w:ilvl w:val="0"/>
          <w:numId w:val="36"/>
        </w:numPr>
        <w:spacing w:before="0" w:beforeAutospacing="0" w:after="160" w:afterAutospacing="0" w:line="480" w:lineRule="auto"/>
        <w:rPr>
          <w:lang w:val="en-US"/>
        </w:rPr>
      </w:pPr>
      <w:r w:rsidRPr="000A4838">
        <w:rPr>
          <w:rStyle w:val="lev"/>
          <w:rFonts w:eastAsia="Arial"/>
          <w:lang w:val="en-US"/>
        </w:rPr>
        <w:t>Creep resistance (Larson-Miller Parameter, LMP) vs. formation energy</w:t>
      </w:r>
      <w:r>
        <w:rPr>
          <w:rStyle w:val="lev"/>
          <w:rFonts w:eastAsia="Arial"/>
          <w:lang w:val="en-US"/>
        </w:rPr>
        <w:t xml:space="preserve"> (</w:t>
      </w:r>
      <w:r w:rsidRPr="004532BF">
        <w:rPr>
          <w:rStyle w:val="lev"/>
          <w:rFonts w:eastAsia="Arial"/>
          <w:lang w:val="en-US"/>
        </w:rPr>
        <w:fldChar w:fldCharType="begin"/>
      </w:r>
      <w:r w:rsidRPr="004532BF">
        <w:rPr>
          <w:rStyle w:val="lev"/>
          <w:rFonts w:eastAsia="Arial"/>
          <w:lang w:val="en-US"/>
        </w:rPr>
        <w:instrText xml:space="preserve"> REF _Ref214210926 \h  \* MERGEFORMAT </w:instrText>
      </w:r>
      <w:r w:rsidRPr="004532BF">
        <w:rPr>
          <w:rStyle w:val="lev"/>
          <w:rFonts w:eastAsia="Arial"/>
          <w:lang w:val="en-US"/>
        </w:rPr>
      </w:r>
      <w:r w:rsidRPr="004532BF">
        <w:rPr>
          <w:rStyle w:val="lev"/>
          <w:rFonts w:eastAsia="Arial"/>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24</w:t>
      </w:r>
      <w:r w:rsidRPr="004532BF">
        <w:rPr>
          <w:rStyle w:val="lev"/>
          <w:rFonts w:eastAsia="Arial"/>
          <w:lang w:val="en-US"/>
        </w:rPr>
        <w:fldChar w:fldCharType="end"/>
      </w:r>
      <w:r>
        <w:rPr>
          <w:rStyle w:val="lev"/>
          <w:rFonts w:eastAsia="Arial"/>
          <w:lang w:val="en-US"/>
        </w:rPr>
        <w:t>)</w:t>
      </w:r>
      <w:r w:rsidRPr="000A4838">
        <w:rPr>
          <w:rStyle w:val="lev"/>
          <w:rFonts w:eastAsia="Arial"/>
          <w:lang w:val="en-US"/>
        </w:rPr>
        <w:t>:</w:t>
      </w:r>
      <w:r w:rsidRPr="000A4838">
        <w:rPr>
          <w:lang w:val="en-US"/>
        </w:rPr>
        <w:t xml:space="preserve"> creep resistance characterizes long-term high-temperature mechanical stability, while formation energy indicates phase stability and susceptibility to undesirable intermetallic formation.</w:t>
      </w:r>
    </w:p>
    <w:p w:rsidR="007419CB" w:rsidRPr="000A4838" w:rsidRDefault="007419CB" w:rsidP="00F949EF">
      <w:pPr>
        <w:pStyle w:val="NormalWeb"/>
        <w:numPr>
          <w:ilvl w:val="0"/>
          <w:numId w:val="36"/>
        </w:numPr>
        <w:spacing w:before="0" w:beforeAutospacing="0" w:after="160" w:afterAutospacing="0" w:line="480" w:lineRule="auto"/>
        <w:rPr>
          <w:lang w:val="en-US"/>
        </w:rPr>
      </w:pPr>
      <w:r w:rsidRPr="000A4838">
        <w:rPr>
          <w:rStyle w:val="lev"/>
          <w:rFonts w:eastAsia="Arial"/>
          <w:lang w:val="en-US"/>
        </w:rPr>
        <w:t>Density vs. melting point</w:t>
      </w:r>
      <w:r>
        <w:rPr>
          <w:rStyle w:val="lev"/>
          <w:rFonts w:eastAsia="Arial"/>
          <w:lang w:val="en-US"/>
        </w:rPr>
        <w:t xml:space="preserve"> (</w:t>
      </w:r>
      <w:r w:rsidRPr="004532BF">
        <w:rPr>
          <w:rStyle w:val="lev"/>
          <w:rFonts w:eastAsia="Arial"/>
          <w:lang w:val="en-US"/>
        </w:rPr>
        <w:fldChar w:fldCharType="begin"/>
      </w:r>
      <w:r w:rsidRPr="004532BF">
        <w:rPr>
          <w:rStyle w:val="lev"/>
          <w:rFonts w:eastAsia="Arial"/>
          <w:lang w:val="en-US"/>
        </w:rPr>
        <w:instrText xml:space="preserve"> REF _Ref214211080 \h  \* MERGEFORMAT </w:instrText>
      </w:r>
      <w:r w:rsidRPr="004532BF">
        <w:rPr>
          <w:rStyle w:val="lev"/>
          <w:rFonts w:eastAsia="Arial"/>
          <w:lang w:val="en-US"/>
        </w:rPr>
      </w:r>
      <w:r w:rsidRPr="004532BF">
        <w:rPr>
          <w:rStyle w:val="lev"/>
          <w:rFonts w:eastAsia="Arial"/>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25</w:t>
      </w:r>
      <w:r w:rsidRPr="004532BF">
        <w:rPr>
          <w:rStyle w:val="lev"/>
          <w:rFonts w:eastAsia="Arial"/>
          <w:lang w:val="en-US"/>
        </w:rPr>
        <w:fldChar w:fldCharType="end"/>
      </w:r>
      <w:r>
        <w:rPr>
          <w:rStyle w:val="lev"/>
          <w:rFonts w:eastAsia="Arial"/>
          <w:lang w:val="en-US"/>
        </w:rPr>
        <w:t>)</w:t>
      </w:r>
      <w:r w:rsidRPr="000A4838">
        <w:rPr>
          <w:rStyle w:val="lev"/>
          <w:rFonts w:eastAsia="Arial"/>
          <w:lang w:val="en-US"/>
        </w:rPr>
        <w:t>:</w:t>
      </w:r>
      <w:r w:rsidRPr="000A4838">
        <w:rPr>
          <w:lang w:val="en-US"/>
        </w:rPr>
        <w:t xml:space="preserve"> crucial for identifying lightweight alloys with robust thermal stability, essential for aerospace applications.</w:t>
      </w:r>
    </w:p>
    <w:p w:rsidR="007419CB" w:rsidRPr="000A4838" w:rsidRDefault="007419CB" w:rsidP="00F949EF">
      <w:pPr>
        <w:pStyle w:val="NormalWeb"/>
        <w:numPr>
          <w:ilvl w:val="0"/>
          <w:numId w:val="36"/>
        </w:numPr>
        <w:spacing w:before="0" w:beforeAutospacing="0" w:after="160" w:afterAutospacing="0" w:line="480" w:lineRule="auto"/>
        <w:rPr>
          <w:lang w:val="en-US"/>
        </w:rPr>
      </w:pPr>
      <w:r w:rsidRPr="000A4838">
        <w:rPr>
          <w:rStyle w:val="lev"/>
          <w:rFonts w:eastAsia="Arial"/>
          <w:lang w:val="en-US"/>
        </w:rPr>
        <w:t xml:space="preserve">High-temperature oxidation resistance (logarithm of the parabolic constant, </w:t>
      </w:r>
      <m:oMath>
        <m:func>
          <m:funcPr>
            <m:ctrlPr>
              <w:rPr>
                <w:rStyle w:val="lev"/>
                <w:rFonts w:eastAsia="Arial"/>
                <w:b w:val="0"/>
                <w:bCs w:val="0"/>
                <w:i/>
                <w:lang w:val="en-US"/>
              </w:rPr>
            </m:ctrlPr>
          </m:funcPr>
          <m:fName>
            <m:r>
              <m:rPr>
                <m:sty m:val="p"/>
              </m:rPr>
              <w:rPr>
                <w:rStyle w:val="lev"/>
                <w:rFonts w:eastAsia="Arial"/>
                <w:lang w:val="en-US"/>
              </w:rPr>
              <m:t>log</m:t>
            </m:r>
          </m:fName>
          <m:e>
            <m:sSub>
              <m:sSubPr>
                <m:ctrlPr>
                  <w:rPr>
                    <w:rStyle w:val="lev"/>
                    <w:rFonts w:eastAsia="Arial"/>
                    <w:b w:val="0"/>
                    <w:bCs w:val="0"/>
                    <w:i/>
                    <w:lang w:val="en-US"/>
                  </w:rPr>
                </m:ctrlPr>
              </m:sSubPr>
              <m:e>
                <m:r>
                  <w:rPr>
                    <w:rStyle w:val="lev"/>
                    <w:rFonts w:eastAsia="Arial"/>
                    <w:lang w:val="en-US"/>
                  </w:rPr>
                  <m:t>K</m:t>
                </m:r>
              </m:e>
              <m:sub>
                <m:r>
                  <w:rPr>
                    <w:rStyle w:val="lev"/>
                    <w:rFonts w:eastAsia="Arial"/>
                    <w:lang w:val="en-US"/>
                  </w:rPr>
                  <m:t>A</m:t>
                </m:r>
              </m:sub>
            </m:sSub>
          </m:e>
        </m:func>
      </m:oMath>
      <w:r w:rsidRPr="000A4838">
        <w:rPr>
          <w:rStyle w:val="lev"/>
          <w:rFonts w:eastAsia="Arial"/>
          <w:lang w:val="en-US"/>
        </w:rPr>
        <w:t>) vs. melting point</w:t>
      </w:r>
      <w:r>
        <w:rPr>
          <w:rStyle w:val="lev"/>
          <w:rFonts w:eastAsia="Arial"/>
          <w:lang w:val="en-US"/>
        </w:rPr>
        <w:t xml:space="preserve"> (</w:t>
      </w:r>
      <w:r w:rsidRPr="00926185">
        <w:rPr>
          <w:rStyle w:val="lev"/>
          <w:rFonts w:eastAsia="Arial"/>
          <w:lang w:val="en-US"/>
        </w:rPr>
        <w:fldChar w:fldCharType="begin"/>
      </w:r>
      <w:r w:rsidRPr="00926185">
        <w:rPr>
          <w:rStyle w:val="lev"/>
          <w:rFonts w:eastAsia="Arial"/>
          <w:lang w:val="en-US"/>
        </w:rPr>
        <w:instrText xml:space="preserve"> REF _Ref214210983 \h  \* MERGEFORMAT </w:instrText>
      </w:r>
      <w:r w:rsidRPr="00926185">
        <w:rPr>
          <w:rStyle w:val="lev"/>
          <w:rFonts w:eastAsia="Arial"/>
          <w:lang w:val="en-US"/>
        </w:rPr>
      </w:r>
      <w:r w:rsidRPr="00926185">
        <w:rPr>
          <w:rStyle w:val="lev"/>
          <w:rFonts w:eastAsia="Arial"/>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26</w:t>
      </w:r>
      <w:r w:rsidRPr="00926185">
        <w:rPr>
          <w:rStyle w:val="lev"/>
          <w:rFonts w:eastAsia="Arial"/>
          <w:lang w:val="en-US"/>
        </w:rPr>
        <w:fldChar w:fldCharType="end"/>
      </w:r>
      <w:r>
        <w:rPr>
          <w:rStyle w:val="lev"/>
          <w:rFonts w:eastAsia="Arial"/>
          <w:lang w:val="en-US"/>
        </w:rPr>
        <w:t>)</w:t>
      </w:r>
      <w:r w:rsidRPr="000A4838">
        <w:rPr>
          <w:rStyle w:val="lev"/>
          <w:rFonts w:eastAsia="Arial"/>
          <w:lang w:val="en-US"/>
        </w:rPr>
        <w:t>:</w:t>
      </w:r>
      <w:r w:rsidRPr="000A4838">
        <w:rPr>
          <w:lang w:val="en-US"/>
        </w:rPr>
        <w:t xml:space="preserve"> evaluates alloy robustness in oxidizing environments and thermal stability simultaneously, both highly relevant for turbine blades and similar high-temperature components.</w:t>
      </w:r>
    </w:p>
    <w:p w:rsidR="007419CB" w:rsidRPr="000A4838" w:rsidRDefault="007419CB" w:rsidP="00F949EF">
      <w:pPr>
        <w:pStyle w:val="NormalWeb"/>
        <w:numPr>
          <w:ilvl w:val="0"/>
          <w:numId w:val="36"/>
        </w:numPr>
        <w:spacing w:before="0" w:beforeAutospacing="0" w:after="160" w:afterAutospacing="0" w:line="480" w:lineRule="auto"/>
        <w:rPr>
          <w:lang w:val="en-US"/>
        </w:rPr>
      </w:pPr>
      <w:r w:rsidRPr="000A4838">
        <w:rPr>
          <w:rStyle w:val="lev"/>
          <w:rFonts w:eastAsia="Arial"/>
          <w:lang w:val="en-US"/>
        </w:rPr>
        <w:t>Young’s modulus vs. density</w:t>
      </w:r>
      <w:r>
        <w:rPr>
          <w:rStyle w:val="lev"/>
          <w:rFonts w:eastAsia="Arial"/>
          <w:lang w:val="en-US"/>
        </w:rPr>
        <w:t xml:space="preserve"> (</w:t>
      </w:r>
      <w:r w:rsidRPr="00926185">
        <w:rPr>
          <w:rStyle w:val="lev"/>
          <w:rFonts w:eastAsia="Arial"/>
          <w:lang w:val="en-US"/>
        </w:rPr>
        <w:fldChar w:fldCharType="begin"/>
      </w:r>
      <w:r w:rsidRPr="00926185">
        <w:rPr>
          <w:rStyle w:val="lev"/>
          <w:rFonts w:eastAsia="Arial"/>
          <w:lang w:val="en-US"/>
        </w:rPr>
        <w:instrText xml:space="preserve"> REF _Ref214210997 \h  \* MERGEFORMAT </w:instrText>
      </w:r>
      <w:r w:rsidRPr="00926185">
        <w:rPr>
          <w:rStyle w:val="lev"/>
          <w:rFonts w:eastAsia="Arial"/>
          <w:lang w:val="en-US"/>
        </w:rPr>
      </w:r>
      <w:r w:rsidRPr="00926185">
        <w:rPr>
          <w:rStyle w:val="lev"/>
          <w:rFonts w:eastAsia="Arial"/>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27</w:t>
      </w:r>
      <w:r w:rsidRPr="00926185">
        <w:rPr>
          <w:rStyle w:val="lev"/>
          <w:rFonts w:eastAsia="Arial"/>
          <w:lang w:val="en-US"/>
        </w:rPr>
        <w:fldChar w:fldCharType="end"/>
      </w:r>
      <w:r>
        <w:rPr>
          <w:rStyle w:val="lev"/>
          <w:rFonts w:eastAsia="Arial"/>
          <w:lang w:val="en-US"/>
        </w:rPr>
        <w:t>)</w:t>
      </w:r>
      <w:r w:rsidRPr="000A4838">
        <w:rPr>
          <w:rStyle w:val="lev"/>
          <w:rFonts w:eastAsia="Arial"/>
          <w:lang w:val="en-US"/>
        </w:rPr>
        <w:t>:</w:t>
      </w:r>
      <w:r w:rsidRPr="000A4838">
        <w:rPr>
          <w:lang w:val="en-US"/>
        </w:rPr>
        <w:t xml:space="preserve"> Balances structural rigidity with lightweight construction, a classic design trade-off in aerospace materials.</w:t>
      </w:r>
    </w:p>
    <w:p w:rsidR="007419CB" w:rsidRPr="000A4838" w:rsidRDefault="007419CB" w:rsidP="0021751D">
      <w:pPr>
        <w:pStyle w:val="NormalWeb"/>
        <w:spacing w:before="0" w:beforeAutospacing="0" w:after="160" w:afterAutospacing="0" w:line="480" w:lineRule="auto"/>
        <w:rPr>
          <w:lang w:val="en-US"/>
        </w:rPr>
      </w:pPr>
      <w:r w:rsidRPr="000A4838">
        <w:rPr>
          <w:lang w:val="en-US"/>
        </w:rPr>
        <w:t xml:space="preserve">Visual inspection of these Ashby charts reveals highly promising outcomes. Notably, the brute-force-generated HEAs exhibit performance distributions comparable to, and in several cases superior to, those of well-established legacy superalloys. For example, in the density–melting point diagram, many Pareto-optimal alloys extend into a high melting point (over 2000 K) yet relatively low-density domain (below 8 g/cm³), rarely accessed by traditional superalloys. Similarly, the creep resistance vs. formation energy chart demonstrates that some Pareto-optimal HEAs achieve high creep resistance alongside favorable formation energies, suggesting stable phases without excessive brittleness or intermetallic vulnerability. In stiffness-related diagrams (shear and bulk modulus, Young’s modulus vs. density), several </w:t>
      </w:r>
      <w:r w:rsidRPr="000A4838">
        <w:rPr>
          <w:lang w:val="en-US"/>
        </w:rPr>
        <w:lastRenderedPageBreak/>
        <w:t>HEA clusters populate areas with distinctly attractive property combinations, suggesting substantial potential for achieving lighter yet equally stiff or even stiffer structures compared to legacy materials.</w:t>
      </w:r>
    </w:p>
    <w:p w:rsidR="007419CB" w:rsidRPr="000A4838" w:rsidRDefault="007419CB" w:rsidP="0021751D">
      <w:pPr>
        <w:pStyle w:val="NormalWeb"/>
        <w:spacing w:before="0" w:beforeAutospacing="0" w:after="160" w:afterAutospacing="0" w:line="480" w:lineRule="auto"/>
        <w:rPr>
          <w:lang w:val="en-US"/>
        </w:rPr>
      </w:pPr>
      <w:r w:rsidRPr="000A4838">
        <w:rPr>
          <w:lang w:val="en-US"/>
        </w:rPr>
        <w:t>This outcome is particularly striking given that these alloys were generated through a purely random, brute-force sampling strategy. Such promising performance profiles strongly indicate that the chemical diversity inherent to HEAs provides significant untapped potential for future alloy development. Moreover, this initial evidence lends substantial credibility to subsequent generative AI-based exploration methods, which are expected to more efficiently and strategically probe the composition space, guided by patterns uncovered during brute-force enumeration.</w:t>
      </w:r>
    </w:p>
    <w:p w:rsidR="007419CB" w:rsidRPr="000A4838" w:rsidRDefault="007419CB" w:rsidP="0021751D">
      <w:pPr>
        <w:pStyle w:val="NormalWeb"/>
        <w:spacing w:before="0" w:beforeAutospacing="0" w:after="160" w:afterAutospacing="0" w:line="480" w:lineRule="auto"/>
        <w:rPr>
          <w:lang w:val="en-US"/>
        </w:rPr>
      </w:pPr>
      <w:r w:rsidRPr="000A4838">
        <w:rPr>
          <w:lang w:val="en-US"/>
        </w:rPr>
        <w:t>In conclusion, these Ashby charts not only confirm the feasibility of brute-force approaches to identify promising new superalloys but also reinforce the immense potential of High-Entropy Superalloys (HESAs). By integrating these highly-performing candidates into the subsequent generative AI learning phases, it is expected that novel alloy compositions surpassing traditional limits will be systematically uncovered.</w:t>
      </w:r>
    </w:p>
    <w:p w:rsidR="007419CB" w:rsidRPr="000A4838" w:rsidRDefault="007419CB" w:rsidP="0021751D">
      <w:pPr>
        <w:spacing w:after="160" w:line="480" w:lineRule="auto"/>
        <w:rPr>
          <w:lang w:val="en-US"/>
        </w:rPr>
      </w:pPr>
      <w:r w:rsidRPr="000A4838">
        <w:rPr>
          <w:noProof/>
          <w:lang w:val="en-US"/>
        </w:rPr>
        <w:drawing>
          <wp:inline distT="0" distB="0" distL="0" distR="0" wp14:anchorId="4911628E" wp14:editId="3AFEC936">
            <wp:extent cx="5760720" cy="3305235"/>
            <wp:effectExtent l="0" t="0" r="0"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305235"/>
                    </a:xfrm>
                    <a:prstGeom prst="rect">
                      <a:avLst/>
                    </a:prstGeom>
                    <a:noFill/>
                    <a:ln>
                      <a:noFill/>
                    </a:ln>
                  </pic:spPr>
                </pic:pic>
              </a:graphicData>
            </a:graphic>
          </wp:inline>
        </w:drawing>
      </w:r>
    </w:p>
    <w:p w:rsidR="007419CB" w:rsidRPr="000A4838" w:rsidRDefault="007419CB" w:rsidP="0021751D">
      <w:pPr>
        <w:pStyle w:val="Lgende"/>
        <w:spacing w:after="160" w:line="480" w:lineRule="auto"/>
        <w:rPr>
          <w:rStyle w:val="lev"/>
          <w:rFonts w:ascii="Arial" w:eastAsia="Arial" w:hAnsi="Arial" w:cs="Arial"/>
          <w:i w:val="0"/>
          <w:color w:val="auto"/>
          <w:sz w:val="20"/>
          <w:szCs w:val="20"/>
          <w:lang w:val="en-US"/>
        </w:rPr>
      </w:pPr>
      <w:bookmarkStart w:id="121" w:name="_Ref214210908"/>
      <w:r w:rsidRPr="000A4838">
        <w:rPr>
          <w:rFonts w:ascii="Arial" w:hAnsi="Arial" w:cs="Arial"/>
          <w:b/>
          <w:i w:val="0"/>
          <w:color w:val="auto"/>
          <w:sz w:val="20"/>
          <w:szCs w:val="20"/>
          <w:lang w:val="en-US"/>
        </w:rPr>
        <w:lastRenderedPageBreak/>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23</w:t>
      </w:r>
      <w:r w:rsidRPr="000A4838">
        <w:rPr>
          <w:rFonts w:ascii="Arial" w:hAnsi="Arial" w:cs="Arial"/>
          <w:b/>
          <w:i w:val="0"/>
          <w:color w:val="auto"/>
          <w:sz w:val="20"/>
          <w:szCs w:val="20"/>
          <w:lang w:val="en-US"/>
        </w:rPr>
        <w:fldChar w:fldCharType="end"/>
      </w:r>
      <w:bookmarkEnd w:id="121"/>
      <w:r w:rsidRPr="000A4838">
        <w:rPr>
          <w:rFonts w:ascii="Arial" w:hAnsi="Arial" w:cs="Arial"/>
          <w:b/>
          <w:i w:val="0"/>
          <w:color w:val="auto"/>
          <w:sz w:val="20"/>
          <w:szCs w:val="20"/>
          <w:lang w:val="en-US"/>
        </w:rPr>
        <w:t>:</w:t>
      </w:r>
      <w:r w:rsidRPr="000A4838">
        <w:rPr>
          <w:rFonts w:ascii="Arial" w:hAnsi="Arial" w:cs="Arial"/>
          <w:i w:val="0"/>
          <w:color w:val="auto"/>
          <w:sz w:val="20"/>
          <w:szCs w:val="20"/>
          <w:lang w:val="en-US"/>
        </w:rPr>
        <w:t xml:space="preserve"> </w:t>
      </w:r>
      <w:r w:rsidRPr="000A4838">
        <w:rPr>
          <w:rStyle w:val="lev"/>
          <w:rFonts w:ascii="Arial" w:eastAsia="Arial" w:hAnsi="Arial" w:cs="Arial"/>
          <w:i w:val="0"/>
          <w:color w:val="auto"/>
          <w:sz w:val="20"/>
          <w:szCs w:val="20"/>
          <w:lang w:val="en-US"/>
        </w:rPr>
        <w:t>Shear Modulus vs. Bulk Modulus for Legacy Superalloys and Brute-Force-Generated HEAs.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Pareto-optimal HEAs (squares, color-coded by dominant elemental clusters) exhibit broad coverage and, in several cases, superior combinations of shear and bulk moduli compared to traditional Ni-based superalloys (gray circles). The chemical composition refers to the </w:t>
      </w:r>
      <w:proofErr w:type="spellStart"/>
      <w:r w:rsidRPr="000A4838">
        <w:rPr>
          <w:rFonts w:ascii="Arial" w:hAnsi="Arial" w:cs="Arial"/>
          <w:sz w:val="20"/>
          <w:szCs w:val="20"/>
          <w:lang w:val="en-US"/>
        </w:rPr>
        <w:t>medeoid</w:t>
      </w:r>
      <w:proofErr w:type="spellEnd"/>
      <w:r w:rsidRPr="000A4838">
        <w:rPr>
          <w:rFonts w:ascii="Arial" w:hAnsi="Arial" w:cs="Arial"/>
          <w:sz w:val="20"/>
          <w:szCs w:val="20"/>
          <w:lang w:val="en-US"/>
        </w:rPr>
        <w:t xml:space="preserve"> of the Ward linkage cluster, and this notation ignores elements whose content is below 5%. Notably, alloys from clusters dominated by Co, Fe, and V display attractive modulus combinations ideal for structural applications requiring simultaneous stiffness and toughness.</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5B79FE79" wp14:editId="72244A56">
            <wp:extent cx="5760720" cy="3275248"/>
            <wp:effectExtent l="0" t="0" r="0" b="190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75248"/>
                    </a:xfrm>
                    <a:prstGeom prst="rect">
                      <a:avLst/>
                    </a:prstGeom>
                    <a:noFill/>
                    <a:ln>
                      <a:noFill/>
                    </a:ln>
                  </pic:spPr>
                </pic:pic>
              </a:graphicData>
            </a:graphic>
          </wp:inline>
        </w:drawing>
      </w:r>
    </w:p>
    <w:p w:rsidR="007419CB" w:rsidRPr="000A4838" w:rsidRDefault="007419CB" w:rsidP="0021751D">
      <w:pPr>
        <w:pStyle w:val="Lgende"/>
        <w:spacing w:after="160" w:line="480" w:lineRule="auto"/>
        <w:rPr>
          <w:rStyle w:val="lev"/>
          <w:rFonts w:ascii="Arial" w:eastAsia="Arial" w:hAnsi="Arial" w:cs="Arial"/>
          <w:b w:val="0"/>
          <w:i w:val="0"/>
          <w:color w:val="auto"/>
          <w:sz w:val="20"/>
          <w:szCs w:val="20"/>
          <w:lang w:val="en-US"/>
        </w:rPr>
      </w:pPr>
      <w:bookmarkStart w:id="122" w:name="_Ref214210926"/>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24</w:t>
      </w:r>
      <w:r w:rsidRPr="000A4838">
        <w:rPr>
          <w:rFonts w:ascii="Arial" w:hAnsi="Arial" w:cs="Arial"/>
          <w:b/>
          <w:i w:val="0"/>
          <w:color w:val="auto"/>
          <w:sz w:val="20"/>
          <w:szCs w:val="20"/>
          <w:lang w:val="en-US"/>
        </w:rPr>
        <w:fldChar w:fldCharType="end"/>
      </w:r>
      <w:bookmarkEnd w:id="122"/>
      <w:r w:rsidRPr="000A4838">
        <w:rPr>
          <w:rFonts w:ascii="Arial" w:hAnsi="Arial" w:cs="Arial"/>
          <w:b/>
          <w:i w:val="0"/>
          <w:color w:val="auto"/>
          <w:sz w:val="20"/>
          <w:szCs w:val="20"/>
          <w:lang w:val="en-US"/>
        </w:rPr>
        <w:t xml:space="preserve">: </w:t>
      </w:r>
      <w:r w:rsidRPr="000A4838">
        <w:rPr>
          <w:rStyle w:val="lev"/>
          <w:rFonts w:ascii="Arial" w:eastAsia="Arial" w:hAnsi="Arial" w:cs="Arial"/>
          <w:i w:val="0"/>
          <w:color w:val="auto"/>
          <w:sz w:val="20"/>
          <w:szCs w:val="20"/>
          <w:lang w:val="en-US"/>
        </w:rPr>
        <w:t>Creep resistance (LMP) vs. Formation Energy for Legacy Superalloys and Pareto-optimal HEAs.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All HEA clusters demonstrate excellent creep resistance (LMP over 30), combined with more moderate formation energies than legacy super alloys, indicating the possibility to find HEA candidates within the proper range to avoid </w:t>
      </w:r>
      <w:proofErr w:type="spellStart"/>
      <w:r w:rsidRPr="000A4838">
        <w:rPr>
          <w:rFonts w:ascii="Arial" w:hAnsi="Arial" w:cs="Arial"/>
          <w:sz w:val="20"/>
          <w:szCs w:val="20"/>
          <w:lang w:val="en-US"/>
        </w:rPr>
        <w:t>intermetallics</w:t>
      </w:r>
      <w:proofErr w:type="spellEnd"/>
      <w:r w:rsidRPr="000A4838">
        <w:rPr>
          <w:rFonts w:ascii="Arial" w:hAnsi="Arial" w:cs="Arial"/>
          <w:sz w:val="20"/>
          <w:szCs w:val="20"/>
          <w:lang w:val="en-US"/>
        </w:rPr>
        <w:t xml:space="preserve"> formation.</w:t>
      </w: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7544B209" wp14:editId="676EF994">
            <wp:extent cx="5760720" cy="3268658"/>
            <wp:effectExtent l="0" t="0" r="0" b="825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68658"/>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23" w:name="_Ref214211080"/>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25</w:t>
      </w:r>
      <w:r w:rsidRPr="000A4838">
        <w:rPr>
          <w:rFonts w:ascii="Arial" w:hAnsi="Arial" w:cs="Arial"/>
          <w:b/>
          <w:i w:val="0"/>
          <w:color w:val="auto"/>
          <w:sz w:val="20"/>
          <w:szCs w:val="20"/>
          <w:lang w:val="en-US"/>
        </w:rPr>
        <w:fldChar w:fldCharType="end"/>
      </w:r>
      <w:bookmarkEnd w:id="123"/>
      <w:r w:rsidRPr="000A4838">
        <w:rPr>
          <w:rFonts w:ascii="Arial" w:hAnsi="Arial" w:cs="Arial"/>
          <w:b/>
          <w:i w:val="0"/>
          <w:color w:val="auto"/>
          <w:sz w:val="20"/>
          <w:szCs w:val="20"/>
          <w:lang w:val="en-US"/>
        </w:rPr>
        <w:t>: Melting Point vs. Density for Legacy Superalloys and Pareto-optimal HEAs.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The HEA dataset uncovers compositions with melting points notably higher (over 2200 K) and densities lower than traditional Ni-based superalloys. Particularly, </w:t>
      </w:r>
      <w:proofErr w:type="spellStart"/>
      <w:r w:rsidRPr="000A4838">
        <w:rPr>
          <w:rFonts w:ascii="Arial" w:hAnsi="Arial" w:cs="Arial"/>
          <w:sz w:val="20"/>
          <w:szCs w:val="20"/>
          <w:lang w:val="en-US"/>
        </w:rPr>
        <w:t>Nb</w:t>
      </w:r>
      <w:proofErr w:type="spellEnd"/>
      <w:r w:rsidRPr="000A4838">
        <w:rPr>
          <w:rFonts w:ascii="Arial" w:hAnsi="Arial" w:cs="Arial"/>
          <w:sz w:val="20"/>
          <w:szCs w:val="20"/>
          <w:lang w:val="en-US"/>
        </w:rPr>
        <w:t>-Sc-Ta-</w:t>
      </w:r>
      <w:proofErr w:type="spellStart"/>
      <w:r w:rsidRPr="000A4838">
        <w:rPr>
          <w:rFonts w:ascii="Arial" w:hAnsi="Arial" w:cs="Arial"/>
          <w:sz w:val="20"/>
          <w:szCs w:val="20"/>
          <w:lang w:val="en-US"/>
        </w:rPr>
        <w:t>Ti</w:t>
      </w:r>
      <w:proofErr w:type="spellEnd"/>
      <w:r w:rsidRPr="000A4838">
        <w:rPr>
          <w:rFonts w:ascii="Arial" w:hAnsi="Arial" w:cs="Arial"/>
          <w:sz w:val="20"/>
          <w:szCs w:val="20"/>
          <w:lang w:val="en-US"/>
        </w:rPr>
        <w:t>-</w:t>
      </w:r>
      <w:proofErr w:type="spellStart"/>
      <w:r w:rsidRPr="000A4838">
        <w:rPr>
          <w:rFonts w:ascii="Arial" w:hAnsi="Arial" w:cs="Arial"/>
          <w:sz w:val="20"/>
          <w:szCs w:val="20"/>
          <w:lang w:val="en-US"/>
        </w:rPr>
        <w:t>Zr</w:t>
      </w:r>
      <w:proofErr w:type="spellEnd"/>
      <w:r w:rsidRPr="000A4838">
        <w:rPr>
          <w:rFonts w:ascii="Arial" w:hAnsi="Arial" w:cs="Arial"/>
          <w:sz w:val="20"/>
          <w:szCs w:val="20"/>
          <w:lang w:val="en-US"/>
        </w:rPr>
        <w:t xml:space="preserve"> dominated clusters emerge as promising candidates for aerospace applications where lightweight and thermal stability are simultaneously required.</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27699BC7" wp14:editId="1989E22F">
            <wp:extent cx="5760720" cy="3268658"/>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68658"/>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i w:val="0"/>
          <w:color w:val="auto"/>
          <w:sz w:val="20"/>
          <w:szCs w:val="20"/>
          <w:lang w:val="en-US"/>
        </w:rPr>
      </w:pPr>
      <w:bookmarkStart w:id="124" w:name="_Ref214210983"/>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26</w:t>
      </w:r>
      <w:r w:rsidRPr="000A4838">
        <w:rPr>
          <w:rFonts w:ascii="Arial" w:hAnsi="Arial" w:cs="Arial"/>
          <w:b/>
          <w:i w:val="0"/>
          <w:color w:val="auto"/>
          <w:sz w:val="20"/>
          <w:szCs w:val="20"/>
          <w:lang w:val="en-US"/>
        </w:rPr>
        <w:fldChar w:fldCharType="end"/>
      </w:r>
      <w:bookmarkEnd w:id="124"/>
      <w:r w:rsidRPr="000A4838">
        <w:rPr>
          <w:rFonts w:ascii="Arial" w:hAnsi="Arial" w:cs="Arial"/>
          <w:b/>
          <w:i w:val="0"/>
          <w:color w:val="auto"/>
          <w:sz w:val="20"/>
          <w:szCs w:val="20"/>
          <w:lang w:val="en-US"/>
        </w:rPr>
        <w:t>:</w:t>
      </w:r>
      <w:r w:rsidRPr="000A4838">
        <w:rPr>
          <w:rStyle w:val="Heading5Char"/>
          <w:i w:val="0"/>
          <w:color w:val="auto"/>
          <w:sz w:val="20"/>
          <w:szCs w:val="20"/>
          <w:lang w:val="en-US"/>
        </w:rPr>
        <w:t xml:space="preserve"> </w:t>
      </w:r>
      <w:r w:rsidRPr="000A4838">
        <w:rPr>
          <w:rStyle w:val="lev"/>
          <w:rFonts w:ascii="Arial" w:eastAsia="Arial" w:hAnsi="Arial" w:cs="Arial"/>
          <w:i w:val="0"/>
          <w:color w:val="auto"/>
          <w:sz w:val="20"/>
          <w:szCs w:val="20"/>
          <w:lang w:val="en-US"/>
        </w:rPr>
        <w:t>High-Temperature Oxidation Resistance (</w:t>
      </w:r>
      <m:oMath>
        <m:func>
          <m:funcPr>
            <m:ctrlPr>
              <w:rPr>
                <w:rFonts w:ascii="Cambria Math" w:hAnsi="Cambria Math"/>
                <w:iCs w:val="0"/>
                <w:color w:val="auto"/>
                <w:sz w:val="20"/>
                <w:szCs w:val="20"/>
                <w:lang w:val="en-US"/>
              </w:rPr>
            </m:ctrlPr>
          </m:funcPr>
          <m:fName>
            <m:r>
              <w:rPr>
                <w:rFonts w:ascii="Cambria Math" w:hAnsi="Cambria Math"/>
                <w:color w:val="auto"/>
                <w:sz w:val="20"/>
                <w:szCs w:val="20"/>
                <w:lang w:val="en-US"/>
              </w:rPr>
              <m:t>log</m:t>
            </m:r>
          </m:fName>
          <m:e>
            <m:sSub>
              <m:sSubPr>
                <m:ctrlPr>
                  <w:rPr>
                    <w:rFonts w:ascii="Cambria Math" w:hAnsi="Cambria Math"/>
                    <w:iCs w:val="0"/>
                    <w:color w:val="auto"/>
                    <w:sz w:val="20"/>
                    <w:szCs w:val="20"/>
                    <w:lang w:val="en-US"/>
                  </w:rPr>
                </m:ctrlPr>
              </m:sSubPr>
              <m:e>
                <m:r>
                  <w:rPr>
                    <w:rFonts w:ascii="Cambria Math" w:hAnsi="Cambria Math"/>
                    <w:color w:val="auto"/>
                    <w:sz w:val="20"/>
                    <w:szCs w:val="20"/>
                    <w:lang w:val="en-US"/>
                  </w:rPr>
                  <m:t>K</m:t>
                </m:r>
              </m:e>
              <m:sub>
                <m:r>
                  <w:rPr>
                    <w:rFonts w:ascii="Cambria Math" w:hAnsi="Cambria Math"/>
                    <w:color w:val="auto"/>
                    <w:sz w:val="20"/>
                    <w:szCs w:val="20"/>
                    <w:lang w:val="en-US"/>
                  </w:rPr>
                  <m:t>A</m:t>
                </m:r>
              </m:sub>
            </m:sSub>
          </m:e>
        </m:func>
      </m:oMath>
      <w:r w:rsidRPr="000A4838">
        <w:rPr>
          <w:rStyle w:val="lev"/>
          <w:rFonts w:ascii="Arial" w:eastAsia="Arial" w:hAnsi="Arial" w:cs="Arial"/>
          <w:i w:val="0"/>
          <w:color w:val="auto"/>
          <w:sz w:val="20"/>
          <w:szCs w:val="20"/>
          <w:lang w:val="en-US"/>
        </w:rPr>
        <w:t>) vs. Melting Point for Legacy Superalloys and Pareto-op</w:t>
      </w:r>
      <w:proofErr w:type="spellStart"/>
      <w:r w:rsidRPr="000A4838">
        <w:rPr>
          <w:rStyle w:val="lev"/>
          <w:rFonts w:ascii="Arial" w:eastAsia="Arial" w:hAnsi="Arial" w:cs="Arial"/>
          <w:i w:val="0"/>
          <w:color w:val="auto"/>
          <w:sz w:val="20"/>
          <w:szCs w:val="20"/>
          <w:lang w:val="en-US"/>
        </w:rPr>
        <w:t>timal</w:t>
      </w:r>
      <w:proofErr w:type="spellEnd"/>
      <w:r w:rsidRPr="000A4838">
        <w:rPr>
          <w:rStyle w:val="lev"/>
          <w:rFonts w:ascii="Arial" w:eastAsia="Arial" w:hAnsi="Arial" w:cs="Arial"/>
          <w:i w:val="0"/>
          <w:color w:val="auto"/>
          <w:sz w:val="20"/>
          <w:szCs w:val="20"/>
          <w:lang w:val="en-US"/>
        </w:rPr>
        <w:t xml:space="preserve"> HEAs.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Pareto-optimal HEAs exhibit markedly improved oxidation resistance (lower </w:t>
      </w:r>
      <m:oMath>
        <m:func>
          <m:funcPr>
            <m:ctrlPr>
              <w:rPr>
                <w:rFonts w:ascii="Cambria Math" w:hAnsi="Cambria Math" w:cs="Arial"/>
                <w:i/>
                <w:sz w:val="20"/>
                <w:szCs w:val="20"/>
                <w:lang w:val="en-US"/>
              </w:rPr>
            </m:ctrlPr>
          </m:funcPr>
          <m:fName>
            <m:r>
              <m:rPr>
                <m:sty m:val="p"/>
              </m:rPr>
              <w:rPr>
                <w:rFonts w:ascii="Cambria Math" w:hAnsi="Cambria Math" w:cs="Arial"/>
                <w:sz w:val="20"/>
                <w:szCs w:val="20"/>
                <w:lang w:val="en-US"/>
              </w:rPr>
              <m:t>log</m:t>
            </m:r>
          </m:fName>
          <m:e>
            <m:sSub>
              <m:sSubPr>
                <m:ctrlPr>
                  <w:rPr>
                    <w:rFonts w:ascii="Cambria Math" w:hAnsi="Cambria Math" w:cs="Arial"/>
                    <w:i/>
                    <w:sz w:val="20"/>
                    <w:szCs w:val="20"/>
                    <w:lang w:val="en-US"/>
                  </w:rPr>
                </m:ctrlPr>
              </m:sSubPr>
              <m:e>
                <m:r>
                  <w:rPr>
                    <w:rFonts w:ascii="Cambria Math" w:hAnsi="Cambria Math" w:cs="Arial"/>
                    <w:sz w:val="20"/>
                    <w:szCs w:val="20"/>
                    <w:lang w:val="en-US"/>
                  </w:rPr>
                  <m:t>K</m:t>
                </m:r>
              </m:e>
              <m:sub>
                <m:r>
                  <w:rPr>
                    <w:rFonts w:ascii="Cambria Math" w:hAnsi="Cambria Math" w:cs="Arial"/>
                    <w:sz w:val="20"/>
                    <w:szCs w:val="20"/>
                    <w:lang w:val="en-US"/>
                  </w:rPr>
                  <m:t>A</m:t>
                </m:r>
              </m:sub>
            </m:sSub>
          </m:e>
        </m:func>
      </m:oMath>
      <w:r w:rsidRPr="000A4838">
        <w:rPr>
          <w:rFonts w:ascii="Arial" w:hAnsi="Arial" w:cs="Arial"/>
          <w:sz w:val="20"/>
          <w:szCs w:val="20"/>
          <w:lang w:val="en-US"/>
        </w:rPr>
        <w:t xml:space="preserve"> values) coupled with exceptionally high melting points. This positions certain Nb- and Sc-rich HEAs well beyond legacy superalloys in terms of combined thermal stability and oxidation performance, making them particularly attractive for high-temperature oxidizing environments.</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59B6E416" wp14:editId="585916FA">
            <wp:extent cx="5760720" cy="3322133"/>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322133"/>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25" w:name="_Ref214210997"/>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27</w:t>
      </w:r>
      <w:r w:rsidRPr="000A4838">
        <w:rPr>
          <w:rFonts w:ascii="Arial" w:hAnsi="Arial" w:cs="Arial"/>
          <w:b/>
          <w:i w:val="0"/>
          <w:color w:val="auto"/>
          <w:sz w:val="20"/>
          <w:szCs w:val="20"/>
          <w:lang w:val="en-US"/>
        </w:rPr>
        <w:fldChar w:fldCharType="end"/>
      </w:r>
      <w:bookmarkEnd w:id="125"/>
      <w:r w:rsidRPr="000A4838">
        <w:rPr>
          <w:rFonts w:ascii="Arial" w:hAnsi="Arial" w:cs="Arial"/>
          <w:b/>
          <w:i w:val="0"/>
          <w:color w:val="auto"/>
          <w:sz w:val="20"/>
          <w:szCs w:val="20"/>
          <w:lang w:val="en-US"/>
        </w:rPr>
        <w:t>: Young’s modulus vs. density for legacy superalloys and brute-force-generated HEAs.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Pareto-optimal HEAs reveal advantageous combinations of high stiffness and moderate-to-low densities, notably in clusters dominated by Cr, Fe, Co, Mo. This demonstrates potential to significantly reduce component weight without compromising structural rigidity, surpassing many legacy Ni-based superalloys (gray circles) and underscoring the value of exploring the high-entropy alloy design space.</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26" w:name="_Ref205244014"/>
      <w:bookmarkStart w:id="127" w:name="_Toc214314351"/>
      <w:bookmarkStart w:id="128" w:name="_Toc216021112"/>
      <w:r w:rsidRPr="000A4838">
        <w:rPr>
          <w:rFonts w:ascii="Times New Roman" w:hAnsi="Times New Roman" w:cs="Times New Roman"/>
          <w:color w:val="auto"/>
          <w:sz w:val="24"/>
          <w:szCs w:val="24"/>
          <w:lang w:val="en-US"/>
        </w:rPr>
        <w:t>Analysis of the Role of Elements</w:t>
      </w:r>
      <w:bookmarkEnd w:id="120"/>
      <w:bookmarkEnd w:id="126"/>
      <w:bookmarkEnd w:id="127"/>
      <w:bookmarkEnd w:id="128"/>
    </w:p>
    <w:p w:rsidR="007419CB" w:rsidRPr="000A4838" w:rsidRDefault="007419CB" w:rsidP="0021751D">
      <w:pPr>
        <w:spacing w:after="160" w:line="480" w:lineRule="auto"/>
        <w:rPr>
          <w:lang w:val="en-US"/>
        </w:rPr>
      </w:pPr>
      <w:r w:rsidRPr="000A4838">
        <w:rPr>
          <w:lang w:val="en-US"/>
        </w:rPr>
        <w:t>The design of advanced High-Entropy Alloys (HEAs) for high-performance applications, such as next-generation superalloys, requires a deep understanding of the relationship between chemical composition and material properties. In particular, alloy designers seek to identify which elements contribute positively or negatively to target properties like creep resistance, melting temperature, or oxidation resistance.</w:t>
      </w:r>
    </w:p>
    <w:p w:rsidR="007419CB" w:rsidRPr="00092C88" w:rsidRDefault="007419CB" w:rsidP="0021751D">
      <w:pPr>
        <w:spacing w:after="160" w:line="480" w:lineRule="auto"/>
        <w:rPr>
          <w:highlight w:val="yellow"/>
          <w:lang w:val="en-US"/>
        </w:rPr>
      </w:pPr>
      <w:r w:rsidRPr="000A4838">
        <w:rPr>
          <w:lang w:val="en-US"/>
        </w:rPr>
        <w:lastRenderedPageBreak/>
        <w:t xml:space="preserve">The goal of this work is to build a reliable and interpretable modeling framework that quantitatively links the presence and proportion of individual elements in an alloy to various performance indicators. To </w:t>
      </w:r>
      <w:r>
        <w:rPr>
          <w:lang w:val="en-US"/>
        </w:rPr>
        <w:t>achieve</w:t>
      </w:r>
      <w:r w:rsidRPr="000A4838">
        <w:rPr>
          <w:lang w:val="en-US"/>
        </w:rPr>
        <w:t xml:space="preserve"> this, </w:t>
      </w:r>
      <w:r w:rsidRPr="006F2A42">
        <w:rPr>
          <w:lang w:val="en-US"/>
        </w:rPr>
        <w:t>machine learning techniques</w:t>
      </w:r>
      <w:r>
        <w:rPr>
          <w:lang w:val="en-US"/>
        </w:rPr>
        <w:t xml:space="preserve"> are employed</w:t>
      </w:r>
      <w:r w:rsidRPr="006F2A42">
        <w:rPr>
          <w:lang w:val="en-US"/>
        </w:rPr>
        <w:t xml:space="preserve">, specifically </w:t>
      </w:r>
      <w:proofErr w:type="spellStart"/>
      <w:r w:rsidRPr="006F2A42">
        <w:rPr>
          <w:lang w:val="en-US"/>
        </w:rPr>
        <w:t>XGBoost</w:t>
      </w:r>
      <w:proofErr w:type="spellEnd"/>
      <w:r w:rsidRPr="006F2A42">
        <w:rPr>
          <w:lang w:val="en-US"/>
        </w:rPr>
        <w:t xml:space="preserve"> regression models accelerated on GPU, and interpreted the models using SHAP (</w:t>
      </w:r>
      <w:proofErr w:type="spellStart"/>
      <w:r w:rsidRPr="006F2A42">
        <w:rPr>
          <w:lang w:val="en-US"/>
        </w:rPr>
        <w:t>SHapley</w:t>
      </w:r>
      <w:proofErr w:type="spellEnd"/>
      <w:r w:rsidRPr="006F2A42">
        <w:rPr>
          <w:lang w:val="en-US"/>
        </w:rPr>
        <w:t xml:space="preserve"> Additive </w:t>
      </w:r>
      <w:proofErr w:type="spellStart"/>
      <w:r w:rsidRPr="006F2A42">
        <w:rPr>
          <w:lang w:val="en-US"/>
        </w:rPr>
        <w:t>exPlanations</w:t>
      </w:r>
      <w:proofErr w:type="spellEnd"/>
      <w:r w:rsidRPr="006F2A42">
        <w:rPr>
          <w:lang w:val="en-US"/>
        </w:rPr>
        <w:t>) values. These methods allow to capture non-linear and context-specific relationships while maintaining interpretability at both global and individual levels.</w:t>
      </w:r>
    </w:p>
    <w:p w:rsidR="007419CB" w:rsidRPr="000A4838" w:rsidRDefault="007419CB" w:rsidP="0021751D">
      <w:pPr>
        <w:spacing w:after="160" w:line="480" w:lineRule="auto"/>
        <w:rPr>
          <w:lang w:val="en-US"/>
        </w:rPr>
      </w:pPr>
      <w:r w:rsidRPr="000A4838">
        <w:rPr>
          <w:lang w:val="en-US"/>
        </w:rPr>
        <w:t>Each alloy in the dataset is initially described by its normalized chemical composition, for example, “Al0.1Fe0.2Cr0.3Ni0.3Co0.1”. These strings are parsed to extract the element names and their corresponding atomic fractions. This information is used to build a matrix in which each row corresponds to an alloy and each column to a chemical element. If an element is absent from a composition, its fraction is set to zero.</w:t>
      </w:r>
    </w:p>
    <w:p w:rsidR="007419CB" w:rsidRPr="000A4838" w:rsidRDefault="007419CB" w:rsidP="0021751D">
      <w:pPr>
        <w:spacing w:after="160" w:line="480" w:lineRule="auto"/>
        <w:rPr>
          <w:lang w:val="en-US"/>
        </w:rPr>
      </w:pPr>
      <w:r w:rsidRPr="000A4838">
        <w:rPr>
          <w:lang w:val="en-US"/>
        </w:rPr>
        <w:t xml:space="preserve">Since the sum of all atomic fractions in each row is constrained to equal 1, the resulting matrix is a compositional dataset. Standard machine learning </w:t>
      </w:r>
      <w:r w:rsidRPr="006F2A42">
        <w:rPr>
          <w:lang w:val="en-US"/>
        </w:rPr>
        <w:t xml:space="preserve">algorithms perform poorly under this constraint due to inherent collinearity and distortion of distances </w:t>
      </w:r>
      <w:r w:rsidRPr="006F2A42">
        <w:rPr>
          <w:lang w:val="en-US"/>
        </w:rPr>
        <w:fldChar w:fldCharType="begin"/>
      </w:r>
      <w:r w:rsidR="00B77C17">
        <w:rPr>
          <w:lang w:val="en-US"/>
        </w:rPr>
        <w:instrText xml:space="preserve"> ADDIN ZOTERO_ITEM CSL_CITATION {"citationID":"975svZ77","properties":{"formattedCitation":"\\super 42\\nosupersub{}","plainCitation":"42","noteIndex":0},"citationItems":[{"id":435,"uris":["http://zotero.org/users/local/hYny5ca1/items/SABLPDW4"],"itemData":{"id":435,"type":"article-journal","abstract":"Comparative glycomics data are compositional data, where measured glycans are parts of a whole, indicated by relative abundances. Applying traditional statistical analyses to these data often results in misleading conclusions, such as spurious “decreases” of glycans when other structures increase in abundance, or high false-positive rates for differential abundance. Our work introduces a compositional data analysis framework, tailored to comparative glycomics, to account for these data dependencies. We employ center log-ratio and additive log-ratio transformations, augmented with a scale uncertainty/information model, to introduce a statistically robust and sensitive data analysis pipeline. Applied to comparative glycomics datasets, including known glycan concentrations in defined mixtures, this approach controls false-positive rates and results in reproducible biological findings. Additionally, we present specialized analysis modalities: alpha- and beta-diversity analyze glycan distributions within and between samples, while cross-class glycan correlations shed light on previously undetected interdependencies. These approaches reveal insights into glycome variations that are critical to understanding roles of glycans in health and disease.","container-title":"Nature Communications","DOI":"10.1038/s41467-025-56249-3","ISSN":"2041-1723","issue":"1","journalAbbreviation":"Nature Communications","page":"795","title":"Compositional data analysis enables statistical rigor in comparative glycomics","volume":"16","author":[{"family":"Bennett","given":"Alexander R."},{"family":"Lundstrøm","given":"Jon"},{"family":"Chatterjee","given":"Sayantani"},{"family":"Thaysen-Andersen","given":"Morten"},{"family":"Bojar","given":"Daniel"}],"issued":{"date-parts":[["2025",1,18]]}}}],"schema":"https://github.com/citation-style-language/schema/raw/master/csl-citation.json"} </w:instrText>
      </w:r>
      <w:r w:rsidRPr="006F2A42">
        <w:rPr>
          <w:lang w:val="en-US"/>
        </w:rPr>
        <w:fldChar w:fldCharType="separate"/>
      </w:r>
      <w:r w:rsidR="00B77C17" w:rsidRPr="00B77C17">
        <w:rPr>
          <w:rFonts w:cs="Times New Roman"/>
          <w:szCs w:val="24"/>
          <w:vertAlign w:val="superscript"/>
          <w:lang w:val="en-US"/>
        </w:rPr>
        <w:t>42</w:t>
      </w:r>
      <w:r w:rsidRPr="006F2A42">
        <w:rPr>
          <w:lang w:val="en-US"/>
        </w:rPr>
        <w:fldChar w:fldCharType="end"/>
      </w:r>
      <w:r w:rsidRPr="006F2A42">
        <w:rPr>
          <w:lang w:val="en-US"/>
        </w:rPr>
        <w:t>. To address this, a centered log-ratio (CLR) transformation is applied. The CLR method</w:t>
      </w:r>
      <w:r w:rsidRPr="000A4838">
        <w:rPr>
          <w:lang w:val="en-US"/>
        </w:rPr>
        <w:t xml:space="preserve"> proceeds in three steps:</w:t>
      </w:r>
    </w:p>
    <w:p w:rsidR="007419CB" w:rsidRPr="000A4838" w:rsidRDefault="007419CB" w:rsidP="00F949EF">
      <w:pPr>
        <w:pStyle w:val="Paragraphedeliste"/>
        <w:numPr>
          <w:ilvl w:val="0"/>
          <w:numId w:val="25"/>
        </w:numPr>
        <w:spacing w:after="160" w:line="480" w:lineRule="auto"/>
        <w:contextualSpacing w:val="0"/>
        <w:rPr>
          <w:lang w:val="en-US"/>
        </w:rPr>
      </w:pPr>
      <w:r w:rsidRPr="000A4838">
        <w:rPr>
          <w:lang w:val="en-US"/>
        </w:rPr>
        <w:t xml:space="preserve">A very small pseudo-count </w:t>
      </w:r>
      <m:oMath>
        <m:r>
          <w:rPr>
            <w:rFonts w:ascii="Cambria Math" w:hAnsi="Cambria Math"/>
            <w:lang w:val="en-US"/>
          </w:rPr>
          <m:t>ε≪1</m:t>
        </m:r>
      </m:oMath>
      <w:r w:rsidRPr="000A4838">
        <w:rPr>
          <w:lang w:val="en-US"/>
        </w:rPr>
        <w:t xml:space="preserve"> is added to avoid division by zero.</w:t>
      </w:r>
    </w:p>
    <w:p w:rsidR="007419CB" w:rsidRPr="000A4838" w:rsidRDefault="007419CB" w:rsidP="00F949EF">
      <w:pPr>
        <w:pStyle w:val="Paragraphedeliste"/>
        <w:numPr>
          <w:ilvl w:val="0"/>
          <w:numId w:val="25"/>
        </w:numPr>
        <w:spacing w:after="160" w:line="480" w:lineRule="auto"/>
        <w:contextualSpacing w:val="0"/>
        <w:rPr>
          <w:lang w:val="en-US"/>
        </w:rPr>
      </w:pPr>
      <w:r w:rsidRPr="000A4838">
        <w:rPr>
          <w:lang w:val="en-US"/>
        </w:rPr>
        <w:t>Each row is renormalized so that its elements sum to 1.</w:t>
      </w:r>
    </w:p>
    <w:p w:rsidR="007419CB" w:rsidRPr="000A4838" w:rsidRDefault="007419CB" w:rsidP="00F949EF">
      <w:pPr>
        <w:pStyle w:val="Paragraphedeliste"/>
        <w:numPr>
          <w:ilvl w:val="0"/>
          <w:numId w:val="25"/>
        </w:numPr>
        <w:spacing w:after="160" w:line="480" w:lineRule="auto"/>
        <w:contextualSpacing w:val="0"/>
        <w:rPr>
          <w:lang w:val="en-US"/>
        </w:rPr>
      </w:pPr>
      <w:r w:rsidRPr="000A4838">
        <w:rPr>
          <w:lang w:val="en-US"/>
        </w:rPr>
        <w:t>The logarithm of each value is computed, and the mean of the log-values in the row is subtracted to center the data.</w:t>
      </w:r>
    </w:p>
    <w:p w:rsidR="007419CB" w:rsidRPr="006F2A42" w:rsidRDefault="007419CB" w:rsidP="0021751D">
      <w:pPr>
        <w:spacing w:after="160" w:line="480" w:lineRule="auto"/>
        <w:rPr>
          <w:lang w:val="en-US"/>
        </w:rPr>
      </w:pPr>
      <w:r w:rsidRPr="000A4838">
        <w:rPr>
          <w:lang w:val="en-US"/>
        </w:rPr>
        <w:t xml:space="preserve">This transformation </w:t>
      </w:r>
      <m:oMath>
        <m:r>
          <m:rPr>
            <m:sty m:val="p"/>
          </m:rPr>
          <w:rPr>
            <w:rFonts w:ascii="Cambria Math" w:hAnsi="Cambria Math"/>
            <w:lang w:val="en-US"/>
          </w:rPr>
          <m:t>CLR</m:t>
        </m:r>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+ε</m:t>
                    </m:r>
                  </m:num>
                  <m:den>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n</m:t>
                        </m:r>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+ε</m:t>
                            </m:r>
                          </m:e>
                        </m:d>
                      </m:e>
                    </m:nary>
                  </m:den>
                </m:f>
              </m:e>
            </m:d>
          </m:e>
        </m:fun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+ε</m:t>
                        </m:r>
                      </m:num>
                      <m:den>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n</m:t>
                            </m:r>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+ε</m:t>
                                </m:r>
                              </m:e>
                            </m:d>
                          </m:e>
                        </m:nary>
                      </m:den>
                    </m:f>
                  </m:e>
                </m:d>
              </m:e>
            </m:func>
          </m:e>
        </m:nary>
      </m:oMath>
      <w:r w:rsidRPr="000A4838">
        <w:rPr>
          <w:lang w:val="en-US"/>
        </w:rPr>
        <w:t xml:space="preserve"> ensures that the data no </w:t>
      </w:r>
      <w:r w:rsidRPr="006F2A42">
        <w:rPr>
          <w:lang w:val="en-US"/>
        </w:rPr>
        <w:t>longer suffers from the compositional constraint, making them suitable for regression and interpretation.</w:t>
      </w:r>
    </w:p>
    <w:p w:rsidR="007419CB" w:rsidRDefault="007419CB" w:rsidP="0021751D">
      <w:pPr>
        <w:spacing w:after="160" w:line="480" w:lineRule="auto"/>
        <w:rPr>
          <w:lang w:val="en-US"/>
        </w:rPr>
      </w:pPr>
      <w:r w:rsidRPr="006F2A42">
        <w:rPr>
          <w:lang w:val="en-US"/>
        </w:rPr>
        <w:lastRenderedPageBreak/>
        <w:t xml:space="preserve">For each target performance indicator (scores </w:t>
      </w:r>
      <m:oMath>
        <m:r>
          <w:rPr>
            <w:rFonts w:ascii="Cambria Math" w:hAnsi="Cambria Math"/>
            <w:lang w:val="en-US"/>
          </w:rPr>
          <m:t>g₁</m:t>
        </m:r>
      </m:oMath>
      <w:r w:rsidRPr="006F2A42">
        <w:rPr>
          <w:lang w:val="en-US"/>
        </w:rPr>
        <w:t xml:space="preserve"> to </w:t>
      </w:r>
      <m:oMath>
        <m:r>
          <w:rPr>
            <w:rFonts w:ascii="Cambria Math" w:hAnsi="Cambria Math"/>
            <w:lang w:val="en-US"/>
          </w:rPr>
          <m:t>g₁₀</m:t>
        </m:r>
      </m:oMath>
      <w:r w:rsidRPr="006F2A42">
        <w:rPr>
          <w:lang w:val="en-US"/>
        </w:rPr>
        <w:t>), an independent regression model using XGBoost, a tree-based ensemble algorithm known for its speed and accuracy, is trained. The models are traine</w:t>
      </w:r>
      <w:r w:rsidRPr="000A4838">
        <w:rPr>
          <w:lang w:val="en-US"/>
        </w:rPr>
        <w:t>d on a GPU, enabling efficient handling of large datasets.</w:t>
      </w:r>
    </w:p>
    <w:p w:rsidR="007419CB" w:rsidRPr="000A4838" w:rsidRDefault="007419CB" w:rsidP="0021751D">
      <w:pPr>
        <w:spacing w:after="160" w:line="480" w:lineRule="auto"/>
        <w:rPr>
          <w:lang w:val="en-US"/>
        </w:rPr>
      </w:pPr>
      <w:r w:rsidRPr="000A4838">
        <w:rPr>
          <w:lang w:val="en-US"/>
        </w:rPr>
        <w:t xml:space="preserve">Hyperparameters such as tree depth and number of boosting rounds are optimized via Bayesian optimization using the </w:t>
      </w:r>
      <w:proofErr w:type="spellStart"/>
      <w:r w:rsidRPr="000A4838">
        <w:rPr>
          <w:lang w:val="en-US"/>
        </w:rPr>
        <w:t>Optuna</w:t>
      </w:r>
      <w:proofErr w:type="spellEnd"/>
      <w:r w:rsidRPr="000A4838">
        <w:rPr>
          <w:lang w:val="en-US"/>
        </w:rPr>
        <w:t xml:space="preserve"> framework. Five-fold cross-validation is applied during tuning to ensure robust generalization.</w:t>
      </w:r>
    </w:p>
    <w:p w:rsidR="007419CB" w:rsidRPr="000A4838" w:rsidRDefault="007419CB" w:rsidP="0021751D">
      <w:pPr>
        <w:spacing w:after="160" w:line="480" w:lineRule="auto"/>
        <w:rPr>
          <w:lang w:val="en-US"/>
        </w:rPr>
      </w:pPr>
      <w:r w:rsidRPr="000A4838">
        <w:rPr>
          <w:lang w:val="en-US"/>
        </w:rPr>
        <w:t>After optimization, a final model is trained for each score on the full training data and evaluated on a held-out test set. The coefficient of determination (</w:t>
      </w:r>
      <m:oMath>
        <m:r>
          <w:rPr>
            <w:rFonts w:ascii="Cambria Math" w:hAnsi="Cambria Math"/>
            <w:lang w:val="en-US"/>
          </w:rPr>
          <m:t>R²</m:t>
        </m:r>
      </m:oMath>
      <w:r w:rsidRPr="000A4838">
        <w:rPr>
          <w:lang w:val="en-US"/>
        </w:rPr>
        <w:t>) is used as the primary metric to assess prediction accuracy.</w:t>
      </w:r>
      <w:r>
        <w:rPr>
          <w:lang w:val="en-US"/>
        </w:rPr>
        <w:t xml:space="preserve"> The performance of the training on the test database can be visualized on the parity plot (</w:t>
      </w:r>
      <w:r w:rsidRPr="000818D1">
        <w:rPr>
          <w:lang w:val="en-US"/>
        </w:rPr>
        <w:fldChar w:fldCharType="begin"/>
      </w:r>
      <w:r w:rsidRPr="000818D1">
        <w:rPr>
          <w:lang w:val="en-US"/>
        </w:rPr>
        <w:instrText xml:space="preserve"> REF _Ref214211234 \h  \* MERGEFORMAT </w:instrText>
      </w:r>
      <w:r w:rsidRPr="000818D1">
        <w:rPr>
          <w:lang w:val="en-US"/>
        </w:rPr>
      </w:r>
      <w:r w:rsidRPr="000818D1">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28</w:t>
      </w:r>
      <w:r w:rsidRPr="000818D1">
        <w:rPr>
          <w:lang w:val="en-US"/>
        </w:rPr>
        <w:fldChar w:fldCharType="end"/>
      </w:r>
      <w:r>
        <w:rPr>
          <w:lang w:val="en-US"/>
        </w:rPr>
        <w:t>) and the distribution of the residuals (</w:t>
      </w:r>
      <w:r w:rsidRPr="000818D1">
        <w:rPr>
          <w:lang w:val="en-US"/>
        </w:rPr>
        <w:fldChar w:fldCharType="begin"/>
      </w:r>
      <w:r w:rsidRPr="000818D1">
        <w:rPr>
          <w:lang w:val="en-US"/>
        </w:rPr>
        <w:instrText xml:space="preserve"> REF _Ref214211317 \h  \* MERGEFORMAT </w:instrText>
      </w:r>
      <w:r w:rsidRPr="000818D1">
        <w:rPr>
          <w:lang w:val="en-US"/>
        </w:rPr>
      </w:r>
      <w:r w:rsidRPr="000818D1">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29</w:t>
      </w:r>
      <w:r w:rsidRPr="000818D1">
        <w:rPr>
          <w:lang w:val="en-US"/>
        </w:rPr>
        <w:fldChar w:fldCharType="end"/>
      </w:r>
      <w:r>
        <w:rPr>
          <w:lang w:val="en-US"/>
        </w:rPr>
        <w:t xml:space="preserve">). </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29" w:name="_Toc214314352"/>
      <w:bookmarkStart w:id="130" w:name="_Toc216021113"/>
      <w:proofErr w:type="spellStart"/>
      <w:r w:rsidRPr="000A4838">
        <w:rPr>
          <w:rFonts w:ascii="Times New Roman" w:hAnsi="Times New Roman" w:cs="Times New Roman"/>
          <w:color w:val="auto"/>
          <w:lang w:val="en-US"/>
        </w:rPr>
        <w:lastRenderedPageBreak/>
        <w:t>XGBoost</w:t>
      </w:r>
      <w:proofErr w:type="spellEnd"/>
      <w:r w:rsidRPr="000A4838">
        <w:rPr>
          <w:rFonts w:ascii="Times New Roman" w:hAnsi="Times New Roman" w:cs="Times New Roman"/>
          <w:color w:val="auto"/>
          <w:lang w:val="en-US"/>
        </w:rPr>
        <w:t xml:space="preserve"> Forest Analysis (feature importance, permutation importance, SHAP values)</w:t>
      </w:r>
      <w:bookmarkEnd w:id="129"/>
      <w:bookmarkEnd w:id="130"/>
    </w:p>
    <w:p w:rsidR="007419CB" w:rsidRPr="000A4838" w:rsidRDefault="007419CB" w:rsidP="0021751D">
      <w:pPr>
        <w:keepNext/>
        <w:spacing w:after="160" w:line="480" w:lineRule="auto"/>
        <w:rPr>
          <w:lang w:val="en-US"/>
        </w:rPr>
      </w:pPr>
      <w:r w:rsidRPr="000A4838">
        <w:rPr>
          <w:noProof/>
          <w:lang w:val="en-US"/>
        </w:rPr>
        <w:drawing>
          <wp:inline distT="0" distB="0" distL="0" distR="0" wp14:anchorId="6CD35FBE" wp14:editId="040CDD96">
            <wp:extent cx="5486400" cy="4114800"/>
            <wp:effectExtent l="0" t="0" r="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4"/>
                    <a:stretch/>
                  </pic:blipFill>
                  <pic:spPr bwMode="auto">
                    <a:xfrm>
                      <a:off x="0" y="0"/>
                      <a:ext cx="5486400" cy="411480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31" w:name="_Ref214211234"/>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28</w:t>
      </w:r>
      <w:r w:rsidRPr="000A4838">
        <w:rPr>
          <w:rFonts w:ascii="Arial" w:hAnsi="Arial" w:cs="Arial"/>
          <w:b/>
          <w:i w:val="0"/>
          <w:color w:val="auto"/>
          <w:sz w:val="20"/>
          <w:szCs w:val="20"/>
          <w:lang w:val="en-US"/>
        </w:rPr>
        <w:fldChar w:fldCharType="end"/>
      </w:r>
      <w:bookmarkEnd w:id="131"/>
      <w:r w:rsidRPr="000A4838">
        <w:rPr>
          <w:rFonts w:ascii="Arial" w:hAnsi="Arial" w:cs="Arial"/>
          <w:b/>
          <w:i w:val="0"/>
          <w:color w:val="auto"/>
          <w:sz w:val="20"/>
          <w:szCs w:val="20"/>
          <w:lang w:val="en-US"/>
        </w:rPr>
        <w:t>: Accuracy of Prediction of Creep (LMP), on the Test Set represented as Predicted vs Observed.</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The prediction is made directly from the CLR composition – contrary to the previous approach using descriptors – for its aim is not to deliver thorough predictions, but to be a tool for statistical analysis of the roles of elements through the “forest” analysis.</w:t>
      </w:r>
    </w:p>
    <w:p w:rsidR="007419CB" w:rsidRPr="000A4838" w:rsidRDefault="007419CB" w:rsidP="0021751D">
      <w:pPr>
        <w:spacing w:after="160" w:line="480" w:lineRule="auto"/>
        <w:rPr>
          <w:lang w:val="en-US"/>
        </w:rPr>
      </w:pPr>
      <w:r w:rsidRPr="000A4838">
        <w:rPr>
          <w:lang w:val="en-US"/>
        </w:rPr>
        <w:br/>
      </w:r>
      <w:r w:rsidRPr="006F2A42">
        <w:rPr>
          <w:lang w:val="en-US"/>
        </w:rPr>
        <w:t>This scatter plot compares the model predictions to the actual measured values for a given score (e.g., creep resistance). Each point represents one alloy. The closer</w:t>
      </w:r>
      <w:r w:rsidRPr="000A4838">
        <w:rPr>
          <w:lang w:val="en-US"/>
        </w:rPr>
        <w:t xml:space="preserve"> the points lie to the diagonal line, the more accurate the model.</w:t>
      </w:r>
    </w:p>
    <w:p w:rsidR="007419CB" w:rsidRPr="000A4838" w:rsidRDefault="007419CB" w:rsidP="0021751D">
      <w:pPr>
        <w:spacing w:after="160" w:line="480" w:lineRule="auto"/>
        <w:rPr>
          <w:lang w:val="en-US"/>
        </w:rPr>
      </w:pPr>
      <w:r w:rsidRPr="000A4838">
        <w:rPr>
          <w:lang w:val="en-US"/>
        </w:rPr>
        <w:lastRenderedPageBreak/>
        <w:t>The purpose of this figure is to evaluate how well the model generalizes to unseen data. A tight cluster around the diagonal with minimal spread indicates high accuracy. Deviations from this diagonal may reveal systematic biases or errors in the model.</w:t>
      </w:r>
    </w:p>
    <w:p w:rsidR="007419CB" w:rsidRPr="000A4838" w:rsidRDefault="007419CB" w:rsidP="0021751D">
      <w:pPr>
        <w:keepNext/>
        <w:spacing w:after="160" w:line="480" w:lineRule="auto"/>
        <w:rPr>
          <w:lang w:val="en-US"/>
        </w:rPr>
      </w:pPr>
      <w:r w:rsidRPr="000A4838">
        <w:rPr>
          <w:noProof/>
          <w:lang w:val="en-US"/>
        </w:rPr>
        <w:drawing>
          <wp:inline distT="0" distB="0" distL="0" distR="0" wp14:anchorId="7C9D63C8" wp14:editId="3D09FAE0">
            <wp:extent cx="5486400" cy="4114800"/>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5"/>
                    <a:stretch/>
                  </pic:blipFill>
                  <pic:spPr bwMode="auto">
                    <a:xfrm>
                      <a:off x="0" y="0"/>
                      <a:ext cx="5486400" cy="411480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32" w:name="_Ref214211317"/>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29</w:t>
      </w:r>
      <w:r w:rsidRPr="000A4838">
        <w:rPr>
          <w:rFonts w:ascii="Arial" w:hAnsi="Arial" w:cs="Arial"/>
          <w:b/>
          <w:i w:val="0"/>
          <w:color w:val="auto"/>
          <w:sz w:val="20"/>
          <w:szCs w:val="20"/>
          <w:lang w:val="en-US"/>
        </w:rPr>
        <w:fldChar w:fldCharType="end"/>
      </w:r>
      <w:bookmarkEnd w:id="132"/>
      <w:r w:rsidRPr="000A4838">
        <w:rPr>
          <w:rFonts w:ascii="Arial" w:hAnsi="Arial" w:cs="Arial"/>
          <w:b/>
          <w:i w:val="0"/>
          <w:color w:val="auto"/>
          <w:sz w:val="20"/>
          <w:szCs w:val="20"/>
          <w:lang w:val="en-US"/>
        </w:rPr>
        <w:t>: Distribution of the Residuals (differences observed between observed and predicted creep LMP).</w:t>
      </w:r>
    </w:p>
    <w:p w:rsidR="007419CB"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This histogram shows the distribution of residuals, i.e., the differences between observed and predicted values. A shape roughly centered near zero and roughly symmetric suggests no large aggregate bias. This plot complements the scatter plot by providing insight into the spread and symmetry of prediction errors. Skewed or multi-modal residuals may suggest model misfit or the presence of non-modeled effects.</w:t>
      </w:r>
    </w:p>
    <w:p w:rsidR="007419CB" w:rsidRPr="000068D7" w:rsidRDefault="007419CB" w:rsidP="0021751D">
      <w:pPr>
        <w:spacing w:after="160" w:line="480" w:lineRule="auto"/>
        <w:rPr>
          <w:lang w:val="en-US"/>
        </w:rPr>
      </w:pPr>
    </w:p>
    <w:p w:rsidR="007419CB" w:rsidRPr="000A4838" w:rsidRDefault="007419CB" w:rsidP="0021751D">
      <w:pPr>
        <w:spacing w:after="160" w:line="480" w:lineRule="auto"/>
        <w:rPr>
          <w:lang w:val="en-US"/>
        </w:rPr>
      </w:pPr>
      <w:r>
        <w:rPr>
          <w:lang w:val="en-US"/>
        </w:rPr>
        <w:t xml:space="preserve">Once a trained model is at disposal, it can be analyzed to assess the role of the features. </w:t>
      </w:r>
      <w:r w:rsidRPr="000A4838">
        <w:rPr>
          <w:lang w:val="en-US"/>
        </w:rPr>
        <w:t>Th</w:t>
      </w:r>
      <w:r>
        <w:rPr>
          <w:lang w:val="en-US"/>
        </w:rPr>
        <w:t>e</w:t>
      </w:r>
      <w:r w:rsidRPr="000A4838">
        <w:rPr>
          <w:lang w:val="en-US"/>
        </w:rPr>
        <w:t xml:space="preserve"> bar chart</w:t>
      </w:r>
      <w:r>
        <w:rPr>
          <w:lang w:val="en-US"/>
        </w:rPr>
        <w:t xml:space="preserve"> on </w:t>
      </w:r>
      <w:r w:rsidRPr="000068D7">
        <w:rPr>
          <w:lang w:val="en-US"/>
        </w:rPr>
        <w:fldChar w:fldCharType="begin"/>
      </w:r>
      <w:r w:rsidRPr="000068D7">
        <w:rPr>
          <w:lang w:val="en-US"/>
        </w:rPr>
        <w:instrText xml:space="preserve"> REF _Ref214211475 \h  \* MERGEFORMAT </w:instrText>
      </w:r>
      <w:r w:rsidRPr="000068D7">
        <w:rPr>
          <w:lang w:val="en-US"/>
        </w:rPr>
      </w:r>
      <w:r w:rsidRPr="000068D7">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30</w:t>
      </w:r>
      <w:r w:rsidRPr="000068D7">
        <w:rPr>
          <w:lang w:val="en-US"/>
        </w:rPr>
        <w:fldChar w:fldCharType="end"/>
      </w:r>
      <w:r w:rsidRPr="000A4838">
        <w:rPr>
          <w:lang w:val="en-US"/>
        </w:rPr>
        <w:t xml:space="preserve"> shows the importance of each chemical element in the </w:t>
      </w:r>
      <w:proofErr w:type="spellStart"/>
      <w:r w:rsidRPr="000A4838">
        <w:rPr>
          <w:lang w:val="en-US"/>
        </w:rPr>
        <w:t>XGBoost</w:t>
      </w:r>
      <w:proofErr w:type="spellEnd"/>
      <w:r w:rsidRPr="000A4838">
        <w:rPr>
          <w:lang w:val="en-US"/>
        </w:rPr>
        <w:t xml:space="preserve"> model, </w:t>
      </w:r>
      <w:r w:rsidRPr="000A4838">
        <w:rPr>
          <w:lang w:val="en-US"/>
        </w:rPr>
        <w:lastRenderedPageBreak/>
        <w:t>based on the number of times it was used to split decision trees (split frequency). A higher bar indicates that the element was frequently used to make decisions and likely has a strong effect on the target score.</w:t>
      </w:r>
    </w:p>
    <w:p w:rsidR="007419CB" w:rsidRPr="000A4838" w:rsidRDefault="007419CB" w:rsidP="0021751D">
      <w:pPr>
        <w:spacing w:after="160" w:line="480" w:lineRule="auto"/>
        <w:rPr>
          <w:rFonts w:ascii="Arial" w:hAnsi="Arial" w:cs="Arial"/>
          <w:sz w:val="20"/>
          <w:szCs w:val="20"/>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42EA29BC" wp14:editId="2C4FDA47">
            <wp:extent cx="5486400" cy="4114800"/>
            <wp:effectExtent l="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6"/>
                    <a:stretch/>
                  </pic:blipFill>
                  <pic:spPr bwMode="auto">
                    <a:xfrm>
                      <a:off x="0" y="0"/>
                      <a:ext cx="5486400" cy="411480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33" w:name="_Ref214211475"/>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30</w:t>
      </w:r>
      <w:r w:rsidRPr="000A4838">
        <w:rPr>
          <w:rFonts w:ascii="Arial" w:hAnsi="Arial" w:cs="Arial"/>
          <w:b/>
          <w:i w:val="0"/>
          <w:color w:val="auto"/>
          <w:sz w:val="20"/>
          <w:szCs w:val="20"/>
          <w:lang w:val="en-US"/>
        </w:rPr>
        <w:fldChar w:fldCharType="end"/>
      </w:r>
      <w:bookmarkEnd w:id="133"/>
      <w:r w:rsidRPr="000A4838">
        <w:rPr>
          <w:rFonts w:ascii="Arial" w:hAnsi="Arial" w:cs="Arial"/>
          <w:b/>
          <w:i w:val="0"/>
          <w:color w:val="auto"/>
          <w:sz w:val="20"/>
          <w:szCs w:val="20"/>
          <w:lang w:val="en-US"/>
        </w:rPr>
        <w:t>: Feature Importance of Elements in Creep LMP Prediction</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The “importance” counts the number of times a given element was used to split decision trees in the </w:t>
      </w:r>
      <w:proofErr w:type="spellStart"/>
      <w:r w:rsidRPr="000A4838">
        <w:rPr>
          <w:rFonts w:ascii="Arial" w:hAnsi="Arial" w:cs="Arial"/>
          <w:sz w:val="20"/>
          <w:szCs w:val="20"/>
          <w:lang w:val="en-US"/>
        </w:rPr>
        <w:t>XGBoost</w:t>
      </w:r>
      <w:proofErr w:type="spellEnd"/>
      <w:r w:rsidRPr="000A4838">
        <w:rPr>
          <w:rFonts w:ascii="Arial" w:hAnsi="Arial" w:cs="Arial"/>
          <w:sz w:val="20"/>
          <w:szCs w:val="20"/>
          <w:lang w:val="en-US"/>
        </w:rPr>
        <w:t xml:space="preserve"> trained model.</w:t>
      </w:r>
    </w:p>
    <w:p w:rsidR="007419CB" w:rsidRPr="000A4838" w:rsidRDefault="007419CB" w:rsidP="0021751D">
      <w:pPr>
        <w:spacing w:after="160" w:line="480" w:lineRule="auto"/>
        <w:rPr>
          <w:lang w:val="en-US"/>
        </w:rPr>
      </w:pPr>
      <w:r w:rsidRPr="000A4838">
        <w:rPr>
          <w:lang w:val="en-US"/>
        </w:rPr>
        <w:br/>
        <w:t>This global importance metric provides a first approximation of which elements are influential. However, it does not capture interactions or directionality of effect (positive vs. negative influence).</w:t>
      </w:r>
    </w:p>
    <w:p w:rsidR="007419CB" w:rsidRPr="000A4838" w:rsidRDefault="007419CB" w:rsidP="0021751D">
      <w:pPr>
        <w:spacing w:after="160" w:line="480" w:lineRule="auto"/>
        <w:rPr>
          <w:lang w:val="en-US"/>
        </w:rPr>
      </w:pPr>
      <w:r w:rsidRPr="000A4838">
        <w:rPr>
          <w:lang w:val="en-US"/>
        </w:rPr>
        <w:lastRenderedPageBreak/>
        <w:t xml:space="preserve">Permutation importance is a model-agnostic inspection technique in </w:t>
      </w:r>
      <w:proofErr w:type="spellStart"/>
      <w:r w:rsidRPr="000A4838">
        <w:rPr>
          <w:rFonts w:ascii="Courier New" w:hAnsi="Courier New" w:cs="Courier New"/>
          <w:sz w:val="20"/>
          <w:szCs w:val="20"/>
          <w:lang w:val="en-US"/>
        </w:rPr>
        <w:t>scikit</w:t>
      </w:r>
      <w:proofErr w:type="spellEnd"/>
      <w:r w:rsidRPr="000A4838">
        <w:rPr>
          <w:rFonts w:ascii="Courier New" w:hAnsi="Courier New" w:cs="Courier New"/>
          <w:sz w:val="20"/>
          <w:szCs w:val="20"/>
          <w:lang w:val="en-US"/>
        </w:rPr>
        <w:t>-learn</w:t>
      </w:r>
      <w:r w:rsidRPr="000A4838">
        <w:rPr>
          <w:lang w:val="en-US"/>
        </w:rPr>
        <w:t xml:space="preserve"> that quantifies each feature’s contribution by measuring how much a fitted model’s performance degrades when the feature’s values are randomly shuffled – thereby breaking its relationship with the target and revealing the degree to which the model relies on that feature. The procedure first computes a baseline score (e.g., accuracy or </w:t>
      </w:r>
      <m:oMath>
        <m:r>
          <w:rPr>
            <w:rFonts w:ascii="Cambria Math" w:hAnsi="Cambria Math"/>
            <w:lang w:val="en-US"/>
          </w:rPr>
          <m:t>R²</m:t>
        </m:r>
      </m:oMath>
      <w:r w:rsidRPr="000A4838">
        <w:rPr>
          <w:lang w:val="en-US"/>
        </w:rPr>
        <w:t>) on a held-out dataset, then, for each feature and across multiple repeats, permutes its values, re-evaluates the model, and averages the drop in performance to produce both an importance estimate and its variance. Because it works with any fitted esti</w:t>
      </w:r>
      <w:proofErr w:type="spellStart"/>
      <w:r w:rsidRPr="000A4838">
        <w:rPr>
          <w:lang w:val="en-US"/>
        </w:rPr>
        <w:t>mator</w:t>
      </w:r>
      <w:proofErr w:type="spellEnd"/>
      <w:r w:rsidRPr="000A4838">
        <w:rPr>
          <w:lang w:val="en-US"/>
        </w:rPr>
        <w:t xml:space="preserve"> – linear or highly nonlinear, transparent or opaque – permutation importance </w:t>
      </w:r>
      <w:r>
        <w:rPr>
          <w:lang w:val="en-US"/>
        </w:rPr>
        <w:t>(</w:t>
      </w:r>
      <w:r w:rsidRPr="00242F45">
        <w:rPr>
          <w:lang w:val="en-US"/>
        </w:rPr>
        <w:fldChar w:fldCharType="begin"/>
      </w:r>
      <w:r w:rsidRPr="00242F45">
        <w:rPr>
          <w:lang w:val="en-US"/>
        </w:rPr>
        <w:instrText xml:space="preserve"> REF _Ref214211556 \h  \* MERGEFORMAT </w:instrText>
      </w:r>
      <w:r w:rsidRPr="00242F45">
        <w:rPr>
          <w:lang w:val="en-US"/>
        </w:rPr>
      </w:r>
      <w:r w:rsidRPr="00242F45">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31</w:t>
      </w:r>
      <w:r w:rsidRPr="00242F45">
        <w:rPr>
          <w:lang w:val="en-US"/>
        </w:rPr>
        <w:fldChar w:fldCharType="end"/>
      </w:r>
      <w:r>
        <w:rPr>
          <w:lang w:val="en-US"/>
        </w:rPr>
        <w:t xml:space="preserve">) </w:t>
      </w:r>
      <w:r w:rsidRPr="000A4838">
        <w:rPr>
          <w:lang w:val="en-US"/>
        </w:rPr>
        <w:t>provides intuitive feature rankings without needing access to internal parameters, highlights drivers of model generalization when applied to validation data, and avoids biases inherent in impurity-based measures (such as favoring high-cardinality features).</w:t>
      </w:r>
    </w:p>
    <w:p w:rsidR="007419CB" w:rsidRPr="000A4838" w:rsidRDefault="007419CB" w:rsidP="0021751D">
      <w:pPr>
        <w:keepNext/>
        <w:spacing w:after="160" w:line="480" w:lineRule="auto"/>
        <w:rPr>
          <w:lang w:val="en-US"/>
        </w:rPr>
      </w:pPr>
      <w:r w:rsidRPr="000A4838">
        <w:rPr>
          <w:noProof/>
          <w:lang w:val="en-US"/>
        </w:rPr>
        <w:drawing>
          <wp:inline distT="0" distB="0" distL="0" distR="0" wp14:anchorId="0E75AC7D" wp14:editId="5366F0F4">
            <wp:extent cx="5486400" cy="4114800"/>
            <wp:effectExtent l="0" t="0" r="0"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37"/>
                    <a:stretch/>
                  </pic:blipFill>
                  <pic:spPr bwMode="auto">
                    <a:xfrm>
                      <a:off x="0" y="0"/>
                      <a:ext cx="5486400" cy="411480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34" w:name="_Ref214211556"/>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31</w:t>
      </w:r>
      <w:r w:rsidRPr="000A4838">
        <w:rPr>
          <w:rFonts w:ascii="Arial" w:hAnsi="Arial" w:cs="Arial"/>
          <w:b/>
          <w:i w:val="0"/>
          <w:color w:val="auto"/>
          <w:sz w:val="20"/>
          <w:szCs w:val="20"/>
          <w:lang w:val="en-US"/>
        </w:rPr>
        <w:fldChar w:fldCharType="end"/>
      </w:r>
      <w:bookmarkEnd w:id="134"/>
      <w:r w:rsidRPr="000A4838">
        <w:rPr>
          <w:rFonts w:ascii="Arial" w:hAnsi="Arial" w:cs="Arial"/>
          <w:b/>
          <w:i w:val="0"/>
          <w:color w:val="auto"/>
          <w:sz w:val="20"/>
          <w:szCs w:val="20"/>
          <w:lang w:val="en-US"/>
        </w:rPr>
        <w:t>: Permutation Importance of Elements in Creep LMP Prediction</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lastRenderedPageBreak/>
        <w:t>Permutation importance measures the actual drop in predictive performance on unseen data when feature values are shuffled. This out-of-sample evaluation corrects biases toward high-cardinality or highly correlated features.</w:t>
      </w:r>
    </w:p>
    <w:p w:rsidR="007419CB" w:rsidRPr="000A4838" w:rsidRDefault="007419CB" w:rsidP="0021751D">
      <w:pPr>
        <w:spacing w:after="160" w:line="480" w:lineRule="auto"/>
        <w:rPr>
          <w:lang w:val="en-US"/>
        </w:rPr>
      </w:pPr>
    </w:p>
    <w:p w:rsidR="007419CB" w:rsidRPr="002D6C23" w:rsidRDefault="007419CB" w:rsidP="0021751D">
      <w:pPr>
        <w:spacing w:after="160" w:line="480" w:lineRule="auto"/>
        <w:rPr>
          <w:lang w:val="en-US"/>
        </w:rPr>
      </w:pPr>
      <w:r w:rsidRPr="000A4838">
        <w:rPr>
          <w:lang w:val="en-US"/>
        </w:rPr>
        <w:t xml:space="preserve">The permutation importance plot shows the impact of each feature on the model’s predictive </w:t>
      </w:r>
      <w:r w:rsidRPr="002D6C23">
        <w:rPr>
          <w:lang w:val="en-US"/>
        </w:rPr>
        <w:t>power. Unlike split frequency, permutation importance measures the actual contribution of each feature to the model’s accuracy, making it more robust and informative for interpretation.</w:t>
      </w:r>
    </w:p>
    <w:p w:rsidR="007419CB" w:rsidRPr="00D7341D" w:rsidRDefault="007419CB" w:rsidP="0021751D">
      <w:pPr>
        <w:spacing w:after="160" w:line="480" w:lineRule="auto"/>
        <w:rPr>
          <w:lang w:val="en-US"/>
        </w:rPr>
      </w:pPr>
      <w:r w:rsidRPr="00D7341D">
        <w:rPr>
          <w:lang w:val="en-US"/>
        </w:rPr>
        <w:t>A SHAP (</w:t>
      </w:r>
      <w:proofErr w:type="spellStart"/>
      <w:r w:rsidRPr="00D7341D">
        <w:rPr>
          <w:lang w:val="en-US"/>
        </w:rPr>
        <w:t>SHapley</w:t>
      </w:r>
      <w:proofErr w:type="spellEnd"/>
      <w:r w:rsidRPr="00D7341D">
        <w:rPr>
          <w:lang w:val="en-US"/>
        </w:rPr>
        <w:t xml:space="preserve"> Additive </w:t>
      </w:r>
      <w:proofErr w:type="spellStart"/>
      <w:r w:rsidRPr="00D7341D">
        <w:rPr>
          <w:lang w:val="en-US"/>
        </w:rPr>
        <w:t>exPlanation</w:t>
      </w:r>
      <w:proofErr w:type="spellEnd"/>
      <w:r w:rsidRPr="00D7341D">
        <w:rPr>
          <w:lang w:val="en-US"/>
        </w:rPr>
        <w:t>) analysis provides both local and global views of model behavior. In this work, two complementary global visualizations are used: a SHAP summary plot (</w:t>
      </w:r>
      <w:r w:rsidRPr="00242F45">
        <w:rPr>
          <w:lang w:val="en-US"/>
        </w:rPr>
        <w:fldChar w:fldCharType="begin"/>
      </w:r>
      <w:r w:rsidRPr="00242F45">
        <w:rPr>
          <w:lang w:val="en-US"/>
        </w:rPr>
        <w:instrText xml:space="preserve"> REF _Ref214211640 \h  \* MERGEFORMAT </w:instrText>
      </w:r>
      <w:r w:rsidRPr="00242F45">
        <w:rPr>
          <w:lang w:val="en-US"/>
        </w:rPr>
      </w:r>
      <w:r w:rsidRPr="00242F45">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32</w:t>
      </w:r>
      <w:r w:rsidRPr="00242F45">
        <w:rPr>
          <w:lang w:val="en-US"/>
        </w:rPr>
        <w:fldChar w:fldCharType="end"/>
      </w:r>
      <w:r w:rsidRPr="00D7341D">
        <w:rPr>
          <w:lang w:val="en-US"/>
        </w:rPr>
        <w:t>) and a SHAP feature-importance bar plot based on the mean absolute SHAP value (</w:t>
      </w:r>
      <w:r w:rsidRPr="00D7341D">
        <w:rPr>
          <w:lang w:val="en-US"/>
        </w:rPr>
        <w:fldChar w:fldCharType="begin"/>
      </w:r>
      <w:r w:rsidRPr="00D7341D">
        <w:rPr>
          <w:lang w:val="en-US"/>
        </w:rPr>
        <w:instrText xml:space="preserve"> REF _Ref214212873 \h  \* MERGEFORMAT </w:instrText>
      </w:r>
      <w:r w:rsidRPr="00D7341D">
        <w:rPr>
          <w:lang w:val="en-US"/>
        </w:rPr>
      </w:r>
      <w:r w:rsidRPr="00D7341D">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33</w:t>
      </w:r>
      <w:r w:rsidRPr="00D7341D">
        <w:rPr>
          <w:lang w:val="en-US"/>
        </w:rPr>
        <w:fldChar w:fldCharType="end"/>
      </w:r>
      <w:r w:rsidRPr="00D7341D">
        <w:rPr>
          <w:lang w:val="en-US"/>
        </w:rPr>
        <w:t>). Together, they indicate which elemental fractions drive the creep LMP predictions and how variations in each element affect the score.</w:t>
      </w:r>
    </w:p>
    <w:p w:rsidR="007419CB" w:rsidRPr="00D7341D" w:rsidRDefault="007419CB" w:rsidP="0021751D">
      <w:pPr>
        <w:spacing w:after="160" w:line="480" w:lineRule="auto"/>
        <w:rPr>
          <w:lang w:val="en-US"/>
        </w:rPr>
      </w:pPr>
      <w:r w:rsidRPr="00D7341D">
        <w:rPr>
          <w:lang w:val="en-US"/>
        </w:rPr>
        <w:t xml:space="preserve">The SHAP summary plot in </w:t>
      </w:r>
      <w:r w:rsidRPr="00242F45">
        <w:rPr>
          <w:lang w:val="en-US"/>
        </w:rPr>
        <w:fldChar w:fldCharType="begin"/>
      </w:r>
      <w:r w:rsidRPr="00242F45">
        <w:rPr>
          <w:lang w:val="en-US"/>
        </w:rPr>
        <w:instrText xml:space="preserve"> REF _Ref214211640 \h  \* MERGEFORMAT </w:instrText>
      </w:r>
      <w:r w:rsidRPr="00242F45">
        <w:rPr>
          <w:lang w:val="en-US"/>
        </w:rPr>
      </w:r>
      <w:r w:rsidRPr="00242F45">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32</w:t>
      </w:r>
      <w:r w:rsidRPr="00242F45">
        <w:rPr>
          <w:lang w:val="en-US"/>
        </w:rPr>
        <w:fldChar w:fldCharType="end"/>
      </w:r>
      <w:r w:rsidRPr="00D7341D">
        <w:rPr>
          <w:lang w:val="en-US"/>
        </w:rPr>
        <w:t xml:space="preserve"> displays, for each feature, the full distribution of SHAP values across all alloys. Each point corresponds to one alloy–feature pair; its position on the x-axis is the SHAP value (negative values decreasing the predicted g-score, positive values increasing it), its vertical position identifies the feature, and its color encodes the original feature value (blue = low, red = high). The vertical spread of the cloud shows how heterogeneous the local contributions are. In this representation, a dense cluster of red points located at positive SHAP values for a given element indicates that high contents of this element systematically increase the target score, whereas a cluster of red points at negative SHAP values indicates that high contents tend to reduce the score.</w:t>
      </w:r>
    </w:p>
    <w:p w:rsidR="007419CB"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2F36ADAA" wp14:editId="5FB1113F">
            <wp:extent cx="5486400" cy="6515100"/>
            <wp:effectExtent l="0" t="0" r="0"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8"/>
                    <a:stretch/>
                  </pic:blipFill>
                  <pic:spPr bwMode="auto">
                    <a:xfrm>
                      <a:off x="0" y="0"/>
                      <a:ext cx="5486400" cy="651510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35" w:name="_Ref214211640"/>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32</w:t>
      </w:r>
      <w:r w:rsidRPr="000A4838">
        <w:rPr>
          <w:rFonts w:ascii="Arial" w:hAnsi="Arial" w:cs="Arial"/>
          <w:b/>
          <w:i w:val="0"/>
          <w:color w:val="auto"/>
          <w:sz w:val="20"/>
          <w:szCs w:val="20"/>
          <w:lang w:val="en-US"/>
        </w:rPr>
        <w:fldChar w:fldCharType="end"/>
      </w:r>
      <w:bookmarkEnd w:id="135"/>
      <w:r w:rsidRPr="000A4838">
        <w:rPr>
          <w:rFonts w:ascii="Arial" w:hAnsi="Arial" w:cs="Arial"/>
          <w:b/>
          <w:i w:val="0"/>
          <w:color w:val="auto"/>
          <w:sz w:val="20"/>
          <w:szCs w:val="20"/>
          <w:lang w:val="en-US"/>
        </w:rPr>
        <w:t>: SHAP Summary Plot of Elements in Creep LMP Prediction</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Since the SHAP value always relates on the g-scores, defined to reach 1 when the performance is optimal, and 0 when it is the worst, elements with a good contribution always follow this pattern: blue below zero (diminishing the content of this element is detrimental to performance) and red above zero. Harmful elements for the performance considered obviously follow the opposite pattern.</w:t>
      </w:r>
    </w:p>
    <w:p w:rsidR="007419CB" w:rsidRDefault="007419CB" w:rsidP="0021751D">
      <w:pPr>
        <w:spacing w:after="160" w:line="480" w:lineRule="auto"/>
        <w:rPr>
          <w:lang w:val="en-US"/>
        </w:rPr>
      </w:pPr>
      <w:r w:rsidRPr="000A4838">
        <w:rPr>
          <w:lang w:val="en-US"/>
        </w:rPr>
        <w:lastRenderedPageBreak/>
        <w:br/>
      </w:r>
      <w:r w:rsidRPr="00D7341D">
        <w:rPr>
          <w:lang w:val="en-US"/>
        </w:rPr>
        <w:fldChar w:fldCharType="begin"/>
      </w:r>
      <w:r w:rsidRPr="00D7341D">
        <w:rPr>
          <w:lang w:val="en-US"/>
        </w:rPr>
        <w:instrText xml:space="preserve"> REF _Ref214212873 \h  \* MERGEFORMAT </w:instrText>
      </w:r>
      <w:r w:rsidRPr="00D7341D">
        <w:rPr>
          <w:lang w:val="en-US"/>
        </w:rPr>
      </w:r>
      <w:r w:rsidRPr="00D7341D">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33</w:t>
      </w:r>
      <w:r w:rsidRPr="00D7341D">
        <w:rPr>
          <w:lang w:val="en-US"/>
        </w:rPr>
        <w:fldChar w:fldCharType="end"/>
      </w:r>
      <w:r w:rsidRPr="00D7341D">
        <w:rPr>
          <w:lang w:val="en-US"/>
        </w:rPr>
        <w:t xml:space="preserve"> then summarizes the same information into a global importance ranking by plotting, for each feature, the mean absolute SHAP value. This bar plot ignores the sign of the contributions and reports only their average magnitude, providing a concise measure of how strongly each element influences the predictions on average. It thus complements both the permutation-importance plot, which is based on performance degradation, and the summary plot (</w:t>
      </w:r>
      <w:r w:rsidRPr="00242F45">
        <w:rPr>
          <w:lang w:val="en-US"/>
        </w:rPr>
        <w:fldChar w:fldCharType="begin"/>
      </w:r>
      <w:r w:rsidRPr="00242F45">
        <w:rPr>
          <w:lang w:val="en-US"/>
        </w:rPr>
        <w:instrText xml:space="preserve"> REF _Ref214211640 \h  \* MERGEFORMAT </w:instrText>
      </w:r>
      <w:r w:rsidRPr="00242F45">
        <w:rPr>
          <w:lang w:val="en-US"/>
        </w:rPr>
      </w:r>
      <w:r w:rsidRPr="00242F45">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32</w:t>
      </w:r>
      <w:r w:rsidRPr="00242F45">
        <w:rPr>
          <w:lang w:val="en-US"/>
        </w:rPr>
        <w:fldChar w:fldCharType="end"/>
      </w:r>
      <w:r w:rsidRPr="00D7341D">
        <w:rPr>
          <w:lang w:val="en-US"/>
        </w:rPr>
        <w:t>), which reveals the distribution and direction of local effects.</w:t>
      </w: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drawing>
          <wp:inline distT="0" distB="0" distL="0" distR="0" wp14:anchorId="26EF8A76" wp14:editId="4E9F8BE9">
            <wp:extent cx="5486400" cy="4114800"/>
            <wp:effectExtent l="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39"/>
                    <a:stretch/>
                  </pic:blipFill>
                  <pic:spPr bwMode="auto">
                    <a:xfrm>
                      <a:off x="0" y="0"/>
                      <a:ext cx="5486400" cy="4114800"/>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36" w:name="_Ref214212873"/>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33</w:t>
      </w:r>
      <w:r w:rsidRPr="000A4838">
        <w:rPr>
          <w:rFonts w:ascii="Arial" w:hAnsi="Arial" w:cs="Arial"/>
          <w:b/>
          <w:i w:val="0"/>
          <w:color w:val="auto"/>
          <w:sz w:val="20"/>
          <w:szCs w:val="20"/>
          <w:lang w:val="en-US"/>
        </w:rPr>
        <w:fldChar w:fldCharType="end"/>
      </w:r>
      <w:bookmarkEnd w:id="136"/>
      <w:r w:rsidRPr="000A4838">
        <w:rPr>
          <w:rFonts w:ascii="Arial" w:hAnsi="Arial" w:cs="Arial"/>
          <w:b/>
          <w:i w:val="0"/>
          <w:color w:val="auto"/>
          <w:sz w:val="20"/>
          <w:szCs w:val="20"/>
          <w:lang w:val="en-US"/>
        </w:rPr>
        <w:t>: Mean Absolute SHAP Value for each Element</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This bar plot summarizes the mean absolute SHAP value for each element, providing an average measure of its contribution magnitude across the dataset. Unlike feature importance, this captures both linear and non-linear effects. This figure complements the permutation plot and can confirm or refine which features matter most globally.</w:t>
      </w: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37" w:name="_Toc214314353"/>
      <w:bookmarkStart w:id="138" w:name="_Toc216021114"/>
      <w:r w:rsidRPr="000A4838">
        <w:rPr>
          <w:rFonts w:ascii="Times New Roman" w:hAnsi="Times New Roman" w:cs="Times New Roman"/>
          <w:color w:val="auto"/>
          <w:lang w:val="en-US"/>
        </w:rPr>
        <w:t>Partial Dependence Analysis</w:t>
      </w:r>
      <w:bookmarkEnd w:id="137"/>
      <w:bookmarkEnd w:id="138"/>
    </w:p>
    <w:p w:rsidR="007419CB" w:rsidRPr="000A4838" w:rsidRDefault="007419CB" w:rsidP="0021751D">
      <w:pPr>
        <w:spacing w:after="160" w:line="480" w:lineRule="auto"/>
        <w:rPr>
          <w:lang w:val="en-US"/>
        </w:rPr>
      </w:pPr>
      <w:r w:rsidRPr="000A4838">
        <w:rPr>
          <w:lang w:val="en-US"/>
        </w:rPr>
        <w:t>The analysis described here aims precisely at this objective: quantifying how each chemical element impacts significant physical quantities associated with HESA performance.</w:t>
      </w:r>
    </w:p>
    <w:p w:rsidR="007419CB" w:rsidRPr="000A4838" w:rsidRDefault="007419CB" w:rsidP="0021751D">
      <w:pPr>
        <w:spacing w:after="160" w:line="480" w:lineRule="auto"/>
        <w:rPr>
          <w:lang w:val="en-US"/>
        </w:rPr>
      </w:pPr>
      <w:r w:rsidRPr="000A4838">
        <w:rPr>
          <w:lang w:val="en-US"/>
        </w:rPr>
        <w:t>In the preceding analyses, various statistical tools have already been presented to estimate the global contribution of chemical elements – namely, the Feature Importance, Permutation Importance, SHAP Summary Plots, and Mean Absolute SHAP Values</w:t>
      </w:r>
      <w:r w:rsidRPr="000A4838">
        <w:rPr>
          <w:lang w:val="en-US"/>
        </w:rPr>
        <w:fldChar w:fldCharType="begin"/>
      </w:r>
      <w:r w:rsidR="00B77C17">
        <w:rPr>
          <w:lang w:val="en-US"/>
        </w:rPr>
        <w:instrText xml:space="preserve"> ADDIN ZOTERO_ITEM CSL_CITATION {"citationID":"gtMcoe5l","properties":{"formattedCitation":"\\super 43\\nosupersub{}","plainCitation":"43","noteIndex":0},"citationItems":[{"id":481,"uris":["http://zotero.org/users/local/hYny5ca1/items/VP83GX4Z"],"itemData":{"id":481,"type":"book","edition":"3","ISBN":"978-3-911578-03-5","title":"Interpretable Machine Learning: A Guide for Making Black Box Models Explainable","URL":"https://christophm.github.io/interpretable-ml-book","author":[{"family":"Molnar","given":"Christoph"}],"issued":{"date-parts":[["2025"]]}}}],"schema":"https://github.com/citation-style-language/schema/raw/master/csl-citation.json"} </w:instrText>
      </w:r>
      <w:r w:rsidRPr="000A4838">
        <w:rPr>
          <w:lang w:val="en-US"/>
        </w:rPr>
        <w:fldChar w:fldCharType="separate"/>
      </w:r>
      <w:r w:rsidR="00B77C17" w:rsidRPr="00B77C17">
        <w:rPr>
          <w:rFonts w:cs="Times New Roman"/>
          <w:szCs w:val="24"/>
          <w:vertAlign w:val="superscript"/>
          <w:lang w:val="en-US"/>
        </w:rPr>
        <w:t>43</w:t>
      </w:r>
      <w:r w:rsidRPr="000A4838">
        <w:rPr>
          <w:lang w:val="en-US"/>
        </w:rPr>
        <w:fldChar w:fldCharType="end"/>
      </w:r>
      <w:r w:rsidRPr="000A4838">
        <w:rPr>
          <w:lang w:val="en-US"/>
        </w:rPr>
        <w:t xml:space="preserve">. While these metrics are particularly adapted to explain a local prediction, when it comes to explaining a general trend like the “role” of one element regarding a given property, synthesizing information about every single prediction into a single scalar (for the sake of representation, see for instance </w:t>
      </w:r>
      <w:r w:rsidRPr="000A4838">
        <w:rPr>
          <w:lang w:val="en-US"/>
        </w:rPr>
        <w:fldChar w:fldCharType="begin"/>
      </w:r>
      <w:r w:rsidRPr="000A4838">
        <w:rPr>
          <w:lang w:val="en-US"/>
        </w:rPr>
        <w:instrText xml:space="preserve"> REF _Ref200728305 \h  \* MERGEFORMAT </w:instrText>
      </w:r>
      <w:r w:rsidRPr="000A4838">
        <w:rPr>
          <w:lang w:val="en-US"/>
        </w:rPr>
      </w:r>
      <w:r w:rsidRPr="000A4838">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34</w:t>
      </w:r>
      <w:r w:rsidRPr="000A4838">
        <w:rPr>
          <w:lang w:val="en-US"/>
        </w:rPr>
        <w:fldChar w:fldCharType="end"/>
      </w:r>
      <w:r w:rsidRPr="000A4838">
        <w:rPr>
          <w:lang w:val="en-US"/>
        </w:rPr>
        <w:t xml:space="preserve">) becomes an uneasy task, complexified by the side-effects of working on a simplex: indeed, if a material with 1% Re has a lower melting point than the materials, it does not mean than Re lowers the melting point, but more likely that the average content of Re in the database is above 1%. Therefore, to achieve a clearer and more straight forward understanding of elemental roles, the current approach employs a simple though robust statistical method known as </w:t>
      </w:r>
      <w:r w:rsidRPr="000A4838">
        <w:rPr>
          <w:b/>
          <w:bCs/>
          <w:lang w:val="en-US"/>
        </w:rPr>
        <w:t>Partial Dependence Analysis</w:t>
      </w:r>
      <w:r w:rsidRPr="000A4838">
        <w:rPr>
          <w:lang w:val="en-US"/>
        </w:rPr>
        <w:t>.</w:t>
      </w:r>
    </w:p>
    <w:p w:rsidR="007419CB" w:rsidRPr="000A4838" w:rsidRDefault="007419CB" w:rsidP="0021751D">
      <w:pPr>
        <w:spacing w:after="160" w:line="480" w:lineRule="auto"/>
        <w:rPr>
          <w:lang w:val="en-US"/>
        </w:rPr>
      </w:pPr>
      <w:r w:rsidRPr="006F2A42">
        <w:rPr>
          <w:lang w:val="en-US"/>
        </w:rPr>
        <w:t>Intuitively, the partial dependence function quantifies the average impact of changing one element’s proportion, keeping other compositional parameters randomly distributed. Thus, this method isolates and clarifies the direct effect of</w:t>
      </w:r>
      <w:r w:rsidRPr="000A4838">
        <w:rPr>
          <w:lang w:val="en-US"/>
        </w:rPr>
        <w:t xml:space="preserve"> a single element, even within complex alloy compositions where numerous interactions between elements exist.</w:t>
      </w:r>
    </w:p>
    <w:p w:rsidR="007419CB" w:rsidRPr="000A4838" w:rsidRDefault="007419CB" w:rsidP="0021751D">
      <w:pPr>
        <w:spacing w:after="160" w:line="480" w:lineRule="auto"/>
        <w:rPr>
          <w:lang w:val="en-US"/>
        </w:rPr>
      </w:pPr>
      <w:r w:rsidRPr="000A4838">
        <w:rPr>
          <w:lang w:val="en-US"/>
        </w:rPr>
        <w:t xml:space="preserve">The method adopted </w:t>
      </w:r>
      <w:r w:rsidR="006A29FC">
        <w:rPr>
          <w:lang w:val="en-US"/>
        </w:rPr>
        <w:t>here</w:t>
      </w:r>
      <w:r w:rsidRPr="000A4838">
        <w:rPr>
          <w:lang w:val="en-US"/>
        </w:rPr>
        <w:t xml:space="preserve"> involved applying partial dependence analysis separately to five meaningful physical properties of interest:</w:t>
      </w:r>
    </w:p>
    <w:p w:rsidR="007419CB" w:rsidRPr="000A4838" w:rsidRDefault="007419CB" w:rsidP="00F949EF">
      <w:pPr>
        <w:numPr>
          <w:ilvl w:val="0"/>
          <w:numId w:val="27"/>
        </w:numPr>
        <w:spacing w:after="160" w:line="480" w:lineRule="auto"/>
        <w:rPr>
          <w:lang w:val="en-US"/>
        </w:rPr>
      </w:pPr>
      <w:r w:rsidRPr="000A4838">
        <w:rPr>
          <w:b/>
          <w:bCs/>
          <w:lang w:val="en-US"/>
        </w:rPr>
        <w:t>Resistance to Creep</w:t>
      </w:r>
      <w:r w:rsidRPr="000A4838">
        <w:rPr>
          <w:lang w:val="en-US"/>
        </w:rPr>
        <w:t>: evaluated via the Larson-Miller Parameter (LMP), a key criterion for prolonged high-temperature serviceability.</w:t>
      </w:r>
    </w:p>
    <w:p w:rsidR="007419CB" w:rsidRPr="000A4838" w:rsidRDefault="007419CB" w:rsidP="00F949EF">
      <w:pPr>
        <w:numPr>
          <w:ilvl w:val="0"/>
          <w:numId w:val="27"/>
        </w:numPr>
        <w:spacing w:after="160" w:line="480" w:lineRule="auto"/>
        <w:rPr>
          <w:lang w:val="en-US"/>
        </w:rPr>
      </w:pPr>
      <w:r w:rsidRPr="000A4838">
        <w:rPr>
          <w:b/>
          <w:bCs/>
          <w:lang w:val="en-US"/>
        </w:rPr>
        <w:lastRenderedPageBreak/>
        <w:t>Density</w:t>
      </w:r>
      <w:r w:rsidRPr="000A4838">
        <w:rPr>
          <w:lang w:val="en-US"/>
        </w:rPr>
        <w:t>: an important criterion when considering lightweight structural materials.</w:t>
      </w:r>
    </w:p>
    <w:p w:rsidR="007419CB" w:rsidRPr="000A4838" w:rsidRDefault="007419CB" w:rsidP="00F949EF">
      <w:pPr>
        <w:numPr>
          <w:ilvl w:val="0"/>
          <w:numId w:val="27"/>
        </w:numPr>
        <w:spacing w:after="160" w:line="480" w:lineRule="auto"/>
        <w:rPr>
          <w:lang w:val="en-US"/>
        </w:rPr>
      </w:pPr>
      <w:r w:rsidRPr="000A4838">
        <w:rPr>
          <w:b/>
          <w:bCs/>
          <w:lang w:val="en-US"/>
        </w:rPr>
        <w:t>Melting Temperature</w:t>
      </w:r>
      <w:r w:rsidRPr="000A4838">
        <w:rPr>
          <w:lang w:val="en-US"/>
        </w:rPr>
        <w:t>: closely linked to the ability to operate under high thermal loads.</w:t>
      </w:r>
    </w:p>
    <w:p w:rsidR="007419CB" w:rsidRPr="000A4838" w:rsidRDefault="007419CB" w:rsidP="00F949EF">
      <w:pPr>
        <w:numPr>
          <w:ilvl w:val="0"/>
          <w:numId w:val="27"/>
        </w:numPr>
        <w:spacing w:after="160" w:line="480" w:lineRule="auto"/>
        <w:rPr>
          <w:lang w:val="en-US"/>
        </w:rPr>
      </w:pPr>
      <w:r w:rsidRPr="000A4838">
        <w:rPr>
          <w:b/>
          <w:bCs/>
          <w:lang w:val="en-US"/>
        </w:rPr>
        <w:t>Resistance to High-Temperature Oxidation</w:t>
      </w:r>
      <w:r w:rsidRPr="000A4838">
        <w:rPr>
          <w:lang w:val="en-US"/>
        </w:rPr>
        <w:t xml:space="preserve">: measured through the logarithm of the parabolic rate constant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lang w:val="en-US"/>
                  </w:rPr>
                  <m:t>log</m:t>
                </m:r>
              </m:e>
              <m:sub>
                <m:r>
                  <m:rPr>
                    <m:sty m:val="p"/>
                  </m:rPr>
                  <w:rPr>
                    <w:rFonts w:ascii="Cambria Math" w:hAnsi="Cambria Math"/>
                    <w:lang w:val="en-US"/>
                  </w:rPr>
                  <m:t>10</m:t>
                </m:r>
              </m:sub>
            </m:sSub>
          </m:fName>
          <m:e>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A</m:t>
                </m:r>
              </m:sub>
            </m:sSub>
          </m:e>
        </m:func>
      </m:oMath>
      <w:r w:rsidRPr="000A4838">
        <w:rPr>
          <w:lang w:val="en-US"/>
        </w:rPr>
        <w:t>, which strongly influences durability at elevated temperatures.</w:t>
      </w:r>
    </w:p>
    <w:p w:rsidR="007419CB" w:rsidRPr="000A4838" w:rsidRDefault="007419CB" w:rsidP="00F949EF">
      <w:pPr>
        <w:numPr>
          <w:ilvl w:val="0"/>
          <w:numId w:val="27"/>
        </w:numPr>
        <w:spacing w:after="160" w:line="480" w:lineRule="auto"/>
        <w:rPr>
          <w:lang w:val="en-US"/>
        </w:rPr>
      </w:pPr>
      <w:r w:rsidRPr="000A4838">
        <w:rPr>
          <w:b/>
          <w:bCs/>
          <w:lang w:val="en-US"/>
        </w:rPr>
        <w:t>Bulk Modulus</w:t>
      </w:r>
      <w:r w:rsidRPr="000A4838">
        <w:rPr>
          <w:lang w:val="en-US"/>
        </w:rPr>
        <w:t>: indicating stiffness and structural stability.</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0A4838">
        <w:rPr>
          <w:lang w:val="en-US"/>
        </w:rPr>
        <w:t>The analytical procedure was conducted as follows:</w:t>
      </w:r>
    </w:p>
    <w:p w:rsidR="007419CB" w:rsidRPr="000A4838" w:rsidRDefault="007419CB" w:rsidP="00F949EF">
      <w:pPr>
        <w:numPr>
          <w:ilvl w:val="0"/>
          <w:numId w:val="29"/>
        </w:numPr>
        <w:spacing w:after="160" w:line="480" w:lineRule="auto"/>
        <w:rPr>
          <w:lang w:val="en-US"/>
        </w:rPr>
      </w:pPr>
      <w:r w:rsidRPr="000A4838">
        <w:rPr>
          <w:bCs/>
          <w:lang w:val="en-US"/>
        </w:rPr>
        <w:t>Definition of Reference Expectation</w:t>
      </w:r>
      <w:r w:rsidRPr="000A4838">
        <w:rPr>
          <w:lang w:val="en-US"/>
        </w:rPr>
        <w:t>:</w:t>
      </w:r>
    </w:p>
    <w:p w:rsidR="007419CB" w:rsidRPr="000A4838" w:rsidRDefault="007419CB" w:rsidP="0021751D">
      <w:pPr>
        <w:spacing w:after="160" w:line="480" w:lineRule="auto"/>
        <w:rPr>
          <w:lang w:val="en-US"/>
        </w:rPr>
      </w:pPr>
      <w:r w:rsidRPr="000A4838">
        <w:rPr>
          <w:lang w:val="en-US"/>
        </w:rPr>
        <w:t>For each physical property, a large set of synthetic alloy compositions was randomly generated, conforming to realistic constraints (e.g., the total proportion of elements always summing up to unity, and alloys containing between five and seven distinct elements). Predictions were then calculated using the previously trained Gradient Boosting models. The mean predicted value across these randomly-generated alloys provided the reference expectation, representing a baseline expectation of each physical quantity.</w:t>
      </w:r>
    </w:p>
    <w:p w:rsidR="007419CB" w:rsidRPr="000A4838" w:rsidRDefault="007419CB" w:rsidP="00F949EF">
      <w:pPr>
        <w:numPr>
          <w:ilvl w:val="0"/>
          <w:numId w:val="29"/>
        </w:numPr>
        <w:spacing w:after="160" w:line="480" w:lineRule="auto"/>
        <w:rPr>
          <w:lang w:val="en-US"/>
        </w:rPr>
      </w:pPr>
      <w:r w:rsidRPr="000A4838">
        <w:rPr>
          <w:bCs/>
          <w:lang w:val="en-US"/>
        </w:rPr>
        <w:t>Partial Dependence Expectation Calculation</w:t>
      </w:r>
      <w:r w:rsidRPr="000A4838">
        <w:rPr>
          <w:lang w:val="en-US"/>
        </w:rPr>
        <w:t>:</w:t>
      </w:r>
    </w:p>
    <w:p w:rsidR="007419CB" w:rsidRPr="000A4838" w:rsidRDefault="007419CB" w:rsidP="0021751D">
      <w:pPr>
        <w:spacing w:after="160" w:line="480" w:lineRule="auto"/>
        <w:rPr>
          <w:lang w:val="en-US"/>
        </w:rPr>
      </w:pPr>
      <w:r w:rsidRPr="000A4838">
        <w:rPr>
          <w:lang w:val="en-US"/>
        </w:rPr>
        <w:t xml:space="preserve">To quantify the impact of each element </w:t>
      </w:r>
      <m:oMath>
        <m:r>
          <w:rPr>
            <w:rFonts w:ascii="Cambria Math" w:hAnsi="Cambria Math"/>
            <w:lang w:val="en-US"/>
          </w:rPr>
          <m:t>j</m:t>
        </m:r>
      </m:oMath>
      <w:r w:rsidRPr="000A4838">
        <w:rPr>
          <w:lang w:val="en-US"/>
        </w:rPr>
        <w:t>, another set of synthetic alloys was generated, this time with a fixed elemental fraction (30%) of the element under study, while the remaining fraction (70%) was randomly allocated among other elemen</w:t>
      </w:r>
      <w:proofErr w:type="spellStart"/>
      <w:r w:rsidRPr="000A4838">
        <w:rPr>
          <w:lang w:val="en-US"/>
        </w:rPr>
        <w:t>ts</w:t>
      </w:r>
      <w:proofErr w:type="spellEnd"/>
      <w:r w:rsidRPr="000A4838">
        <w:rPr>
          <w:lang w:val="en-US"/>
        </w:rPr>
        <w:t>. Predictions were again computed, yielding an expectation specific to the constrained element proportion.</w:t>
      </w:r>
    </w:p>
    <w:p w:rsidR="007419CB" w:rsidRPr="000A4838" w:rsidRDefault="007419CB" w:rsidP="0021751D">
      <w:pPr>
        <w:spacing w:after="160" w:line="480" w:lineRule="auto"/>
        <w:rPr>
          <w:lang w:val="en-US"/>
        </w:rPr>
      </w:pPr>
    </w:p>
    <w:p w:rsidR="007419CB" w:rsidRPr="000A4838" w:rsidRDefault="007419CB" w:rsidP="00F949EF">
      <w:pPr>
        <w:numPr>
          <w:ilvl w:val="0"/>
          <w:numId w:val="29"/>
        </w:numPr>
        <w:spacing w:after="160" w:line="480" w:lineRule="auto"/>
        <w:rPr>
          <w:lang w:val="en-US"/>
        </w:rPr>
      </w:pPr>
      <w:r w:rsidRPr="000A4838">
        <w:rPr>
          <w:bCs/>
          <w:lang w:val="en-US"/>
        </w:rPr>
        <w:lastRenderedPageBreak/>
        <w:t>Statistical Quantification</w:t>
      </w:r>
      <w:r w:rsidRPr="000A4838">
        <w:rPr>
          <w:lang w:val="en-US"/>
        </w:rPr>
        <w:t>:</w:t>
      </w:r>
    </w:p>
    <w:p w:rsidR="007419CB" w:rsidRPr="000A4838" w:rsidRDefault="007419CB" w:rsidP="0021751D">
      <w:pPr>
        <w:spacing w:after="160" w:line="480" w:lineRule="auto"/>
        <w:rPr>
          <w:lang w:val="en-US"/>
        </w:rPr>
      </w:pPr>
      <w:r w:rsidRPr="000A4838">
        <w:rPr>
          <w:lang w:val="en-US"/>
        </w:rPr>
        <w:t>The difference between the partial dependence expectation (with the element fraction fixed) and the global reference expectation reflects the average shift induced by imposing the presence of the element. To accurately characterize this difference, three complementary metrics were computed:</w:t>
      </w:r>
    </w:p>
    <w:p w:rsidR="007419CB" w:rsidRPr="000A4838" w:rsidRDefault="007419CB" w:rsidP="00F949EF">
      <w:pPr>
        <w:numPr>
          <w:ilvl w:val="0"/>
          <w:numId w:val="28"/>
        </w:numPr>
        <w:spacing w:after="160" w:line="480" w:lineRule="auto"/>
        <w:rPr>
          <w:lang w:val="en-US"/>
        </w:rPr>
      </w:pPr>
      <w:r w:rsidRPr="000A4838">
        <w:rPr>
          <w:b/>
          <w:bCs/>
          <w:lang w:val="en-US"/>
        </w:rPr>
        <w:t>Relative Delta (Mean Shift)</w:t>
      </w:r>
      <w:r w:rsidRPr="000A4838">
        <w:rPr>
          <w:lang w:val="en-US"/>
        </w:rPr>
        <w:t>: The relative difference in expectation, scaled by the global mean value of the property, offering a normalized interpretation of element’s impact direction and magnitude.</w:t>
      </w:r>
    </w:p>
    <w:p w:rsidR="007419CB" w:rsidRPr="000A4838" w:rsidRDefault="007419CB" w:rsidP="00F949EF">
      <w:pPr>
        <w:numPr>
          <w:ilvl w:val="0"/>
          <w:numId w:val="28"/>
        </w:numPr>
        <w:spacing w:after="160" w:line="480" w:lineRule="auto"/>
        <w:rPr>
          <w:lang w:val="en-US"/>
        </w:rPr>
      </w:pPr>
      <w:r w:rsidRPr="000A4838">
        <w:rPr>
          <w:b/>
          <w:bCs/>
          <w:lang w:val="en-US"/>
        </w:rPr>
        <w:t>Standard Deviation</w:t>
      </w:r>
      <w:r w:rsidRPr="000A4838">
        <w:rPr>
          <w:lang w:val="en-US"/>
        </w:rPr>
        <w:t>: The relative standard deviation of predictions with the element fixed, indicating the dispersion and reliability of the expectation shift.</w:t>
      </w:r>
    </w:p>
    <w:p w:rsidR="007419CB" w:rsidRPr="000A4838" w:rsidRDefault="007419CB" w:rsidP="00F949EF">
      <w:pPr>
        <w:numPr>
          <w:ilvl w:val="0"/>
          <w:numId w:val="28"/>
        </w:numPr>
        <w:spacing w:after="160" w:line="480" w:lineRule="auto"/>
        <w:rPr>
          <w:lang w:val="en-US"/>
        </w:rPr>
      </w:pPr>
      <w:r w:rsidRPr="000A4838">
        <w:rPr>
          <w:b/>
          <w:bCs/>
          <w:lang w:val="en-US"/>
        </w:rPr>
        <w:t>Proportion of Positive Contributions</w:t>
      </w:r>
      <w:r w:rsidRPr="000A4838">
        <w:rPr>
          <w:lang w:val="en-US"/>
        </w:rPr>
        <w:t>: Defined as the proportion of individual predictions exceeding the reference expectation, this metric provides a direct probabilistic insight into how consistently an element’s presence enhances or deteriorates a given physical property.</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21751D">
      <w:pPr>
        <w:spacing w:after="160" w:line="480" w:lineRule="auto"/>
        <w:rPr>
          <w:lang w:val="en-US"/>
        </w:rPr>
      </w:pPr>
      <w:r w:rsidRPr="000A4838">
        <w:rPr>
          <w:lang w:val="en-US"/>
        </w:rPr>
        <w:t>The synthesis of these metrics into coherent conclusions about each element’s role relies on a carefully structured visualization strategy, using two complementary heatmaps:</w:t>
      </w:r>
    </w:p>
    <w:p w:rsidR="007419CB" w:rsidRPr="000A4838" w:rsidRDefault="007419CB" w:rsidP="00F949EF">
      <w:pPr>
        <w:numPr>
          <w:ilvl w:val="0"/>
          <w:numId w:val="30"/>
        </w:numPr>
        <w:spacing w:after="160" w:line="480" w:lineRule="auto"/>
        <w:rPr>
          <w:lang w:val="en-US"/>
        </w:rPr>
      </w:pPr>
      <w:r w:rsidRPr="000A4838">
        <w:rPr>
          <w:b/>
          <w:bCs/>
          <w:lang w:val="en-US"/>
        </w:rPr>
        <w:t>Heatmap of Relative Delta with Standard Deviation (</w:t>
      </w:r>
      <w:r w:rsidRPr="000A4838">
        <w:rPr>
          <w:b/>
          <w:bCs/>
          <w:lang w:val="en-US"/>
        </w:rPr>
        <w:fldChar w:fldCharType="begin"/>
      </w:r>
      <w:r w:rsidRPr="000A4838">
        <w:rPr>
          <w:b/>
          <w:bCs/>
          <w:lang w:val="en-US"/>
        </w:rPr>
        <w:instrText xml:space="preserve"> REF _Ref200728338 \h  \* MERGEFORMAT </w:instrText>
      </w:r>
      <w:r w:rsidRPr="000A4838">
        <w:rPr>
          <w:b/>
          <w:bCs/>
          <w:lang w:val="en-US"/>
        </w:rPr>
      </w:r>
      <w:r w:rsidRPr="000A4838">
        <w:rPr>
          <w:b/>
          <w:bCs/>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35</w:t>
      </w:r>
      <w:r w:rsidRPr="000A4838">
        <w:rPr>
          <w:b/>
          <w:bCs/>
          <w:lang w:val="en-US"/>
        </w:rPr>
        <w:fldChar w:fldCharType="end"/>
      </w:r>
      <w:r w:rsidRPr="000A4838">
        <w:rPr>
          <w:b/>
          <w:bCs/>
          <w:lang w:val="en-US"/>
        </w:rPr>
        <w:t>)</w:t>
      </w:r>
      <w:r w:rsidRPr="000A4838">
        <w:rPr>
          <w:lang w:val="en-US"/>
        </w:rPr>
        <w:t>:</w:t>
      </w:r>
    </w:p>
    <w:p w:rsidR="007419CB" w:rsidRPr="006F2A42" w:rsidRDefault="007419CB" w:rsidP="0021751D">
      <w:pPr>
        <w:spacing w:after="160" w:line="480" w:lineRule="auto"/>
        <w:rPr>
          <w:lang w:val="en-US"/>
        </w:rPr>
      </w:pPr>
      <w:r w:rsidRPr="000A4838">
        <w:rPr>
          <w:lang w:val="en-US"/>
        </w:rPr>
        <w:t xml:space="preserve">This first visualization presents, for each physical quantity and each element, the magnitude and reliability of the mean shift (Relative Delta). The colors indicate clearly identified positive or negative effects, considering the uncertainty range defined by the standard deviation. Concretely, an element showing strong and reliably positive impact (large positive </w:t>
      </w:r>
      <w:r w:rsidRPr="000A4838">
        <w:rPr>
          <w:lang w:val="en-US"/>
        </w:rPr>
        <w:lastRenderedPageBreak/>
        <w:t xml:space="preserve">delta with small </w:t>
      </w:r>
      <w:r w:rsidRPr="006F2A42">
        <w:rPr>
          <w:lang w:val="en-US"/>
        </w:rPr>
        <w:t>standard deviation) is highlighted, whereas elements with ambiguous effects (small delta compared to the standard deviation) are visually distinguished.</w:t>
      </w:r>
    </w:p>
    <w:p w:rsidR="007419CB" w:rsidRPr="006F2A42" w:rsidRDefault="007419CB" w:rsidP="00F949EF">
      <w:pPr>
        <w:numPr>
          <w:ilvl w:val="0"/>
          <w:numId w:val="30"/>
        </w:numPr>
        <w:spacing w:after="160" w:line="480" w:lineRule="auto"/>
        <w:rPr>
          <w:lang w:val="en-US"/>
        </w:rPr>
      </w:pPr>
      <w:r w:rsidRPr="006F2A42">
        <w:rPr>
          <w:b/>
          <w:bCs/>
          <w:lang w:val="en-US"/>
        </w:rPr>
        <w:t>Heatmap of Positive Contribution Proportions (</w:t>
      </w:r>
      <w:r w:rsidRPr="006F2A42">
        <w:rPr>
          <w:b/>
          <w:bCs/>
          <w:lang w:val="en-US"/>
        </w:rPr>
        <w:fldChar w:fldCharType="begin"/>
      </w:r>
      <w:r w:rsidRPr="006F2A42">
        <w:rPr>
          <w:b/>
          <w:bCs/>
          <w:lang w:val="en-US"/>
        </w:rPr>
        <w:instrText xml:space="preserve"> REF _Ref200728305 \h  \* MERGEFORMAT </w:instrText>
      </w:r>
      <w:r w:rsidRPr="006F2A42">
        <w:rPr>
          <w:b/>
          <w:bCs/>
          <w:lang w:val="en-US"/>
        </w:rPr>
      </w:r>
      <w:r w:rsidRPr="006F2A42">
        <w:rPr>
          <w:b/>
          <w:bCs/>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34</w:t>
      </w:r>
      <w:r w:rsidRPr="006F2A42">
        <w:rPr>
          <w:b/>
          <w:bCs/>
          <w:lang w:val="en-US"/>
        </w:rPr>
        <w:fldChar w:fldCharType="end"/>
      </w:r>
      <w:r w:rsidRPr="006F2A42">
        <w:rPr>
          <w:b/>
          <w:bCs/>
          <w:lang w:val="en-US"/>
        </w:rPr>
        <w:t>)</w:t>
      </w:r>
      <w:r w:rsidRPr="006F2A42">
        <w:rPr>
          <w:lang w:val="en-US"/>
        </w:rPr>
        <w:t>:</w:t>
      </w:r>
    </w:p>
    <w:p w:rsidR="007419CB" w:rsidRPr="006F2A42" w:rsidRDefault="007419CB" w:rsidP="0021751D">
      <w:pPr>
        <w:spacing w:after="160" w:line="480" w:lineRule="auto"/>
        <w:rPr>
          <w:lang w:val="en-US"/>
        </w:rPr>
      </w:pPr>
      <w:r w:rsidRPr="006F2A42">
        <w:rPr>
          <w:lang w:val="en-US"/>
        </w:rPr>
        <w:t>This second heatmap complements the first by representing the consistency with which an element enhances a property. Elements consistently improving a property will yield high values close to 1, while those negatively impacting the property will approach values closer to 0.</w:t>
      </w:r>
    </w:p>
    <w:p w:rsidR="007419CB" w:rsidRPr="006F2A42"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6F2A42">
        <w:rPr>
          <w:lang w:val="en-US"/>
        </w:rPr>
        <w:t>By cross-analyzing these two heatmaps, one obtains comprehensive and interpretable insights regarding the elements. This approach precisely answers two fundamental questions guiding the research:</w:t>
      </w:r>
    </w:p>
    <w:p w:rsidR="007419CB" w:rsidRPr="000A4838" w:rsidRDefault="007419CB" w:rsidP="00F949EF">
      <w:pPr>
        <w:numPr>
          <w:ilvl w:val="0"/>
          <w:numId w:val="30"/>
        </w:numPr>
        <w:spacing w:after="160" w:line="480" w:lineRule="auto"/>
        <w:rPr>
          <w:lang w:val="en-US"/>
        </w:rPr>
      </w:pPr>
      <w:r w:rsidRPr="000A4838">
        <w:rPr>
          <w:b/>
          <w:lang w:val="en-US"/>
        </w:rPr>
        <w:t>Direction and Magnitude of Influence</w:t>
      </w:r>
      <w:r w:rsidRPr="000A4838">
        <w:rPr>
          <w:lang w:val="en-US"/>
        </w:rPr>
        <w:t>: Which elements significantly enhance or deteriorate specific physical properties?</w:t>
      </w:r>
    </w:p>
    <w:p w:rsidR="007419CB" w:rsidRPr="000A4838" w:rsidRDefault="007419CB" w:rsidP="00F949EF">
      <w:pPr>
        <w:numPr>
          <w:ilvl w:val="0"/>
          <w:numId w:val="30"/>
        </w:numPr>
        <w:spacing w:after="160" w:line="480" w:lineRule="auto"/>
        <w:rPr>
          <w:lang w:val="en-US"/>
        </w:rPr>
      </w:pPr>
      <w:r w:rsidRPr="000A4838">
        <w:rPr>
          <w:b/>
          <w:lang w:val="en-US"/>
        </w:rPr>
        <w:t>Consistency of Influence</w:t>
      </w:r>
      <w:r w:rsidRPr="000A4838">
        <w:rPr>
          <w:lang w:val="en-US"/>
        </w:rPr>
        <w:t>: Which elements consistently impact positively (or negatively) the property, versus those whose influence is ambiguous or inconsistent?</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59C74894" wp14:editId="4D3834ED">
            <wp:extent cx="5760720" cy="7959777"/>
            <wp:effectExtent l="0" t="0" r="0"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7959777"/>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39" w:name="_Ref200728305"/>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34</w:t>
      </w:r>
      <w:r w:rsidRPr="000A4838">
        <w:rPr>
          <w:rFonts w:ascii="Arial" w:hAnsi="Arial" w:cs="Arial"/>
          <w:b/>
          <w:i w:val="0"/>
          <w:color w:val="auto"/>
          <w:sz w:val="20"/>
          <w:szCs w:val="20"/>
          <w:lang w:val="en-US"/>
        </w:rPr>
        <w:fldChar w:fldCharType="end"/>
      </w:r>
      <w:bookmarkEnd w:id="139"/>
      <w:r w:rsidRPr="000A4838">
        <w:rPr>
          <w:rFonts w:ascii="Arial" w:hAnsi="Arial" w:cs="Arial"/>
          <w:b/>
          <w:i w:val="0"/>
          <w:color w:val="auto"/>
          <w:sz w:val="20"/>
          <w:szCs w:val="20"/>
          <w:lang w:val="en-US"/>
        </w:rPr>
        <w:t>: Proportion of Positive Contributions to Physical Properties of Alloys</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lastRenderedPageBreak/>
        <w:t>Heatmap representing the proportion of positive contributions for each element towards five key physical properties of interest in High-Entropy Superalloys (HESAs). Higher values (in yellow) indicate that increasing the element's content (at a fixed proportion of 30%) generally improves the considered physical property, while lower values (in black) suggest a negative impact.</w:t>
      </w: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005335CD" wp14:editId="1343BAD0">
            <wp:extent cx="5760720" cy="8511088"/>
            <wp:effectExtent l="0" t="0" r="0" b="444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8511088"/>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40" w:name="_Ref200728338"/>
      <w:r w:rsidRPr="000A4838">
        <w:rPr>
          <w:rFonts w:ascii="Arial" w:hAnsi="Arial" w:cs="Arial"/>
          <w:b/>
          <w:i w:val="0"/>
          <w:color w:val="auto"/>
          <w:sz w:val="20"/>
          <w:szCs w:val="20"/>
          <w:lang w:val="en-US"/>
        </w:rPr>
        <w:lastRenderedPageBreak/>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35</w:t>
      </w:r>
      <w:r w:rsidRPr="000A4838">
        <w:rPr>
          <w:rFonts w:ascii="Arial" w:hAnsi="Arial" w:cs="Arial"/>
          <w:b/>
          <w:i w:val="0"/>
          <w:color w:val="auto"/>
          <w:sz w:val="20"/>
          <w:szCs w:val="20"/>
          <w:lang w:val="en-US"/>
        </w:rPr>
        <w:fldChar w:fldCharType="end"/>
      </w:r>
      <w:bookmarkEnd w:id="140"/>
      <w:r w:rsidRPr="000A4838">
        <w:rPr>
          <w:rFonts w:ascii="Arial" w:hAnsi="Arial" w:cs="Arial"/>
          <w:b/>
          <w:i w:val="0"/>
          <w:color w:val="auto"/>
          <w:sz w:val="20"/>
          <w:szCs w:val="20"/>
          <w:lang w:val="en-US"/>
        </w:rPr>
        <w:t>: Mean Shift &amp; Standard Deviation of Physical Properties</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Heatmap depicting the significance and directionality of each element’s effect (when forced at a fixed proportion of 30%) on the five considered physical properties. Green regions correspond to consistently positive effects (mean relative Δ significantly above zero), red indicates consistently negative effects (mean relative Δ significantly below zero), yellow denotes ambiguous impacts (mean ± standard deviation includes zero), and white reflects neutral or negligible impacts.</w:t>
      </w:r>
    </w:p>
    <w:p w:rsidR="007419CB" w:rsidRPr="000A4838" w:rsidRDefault="007419CB" w:rsidP="0021751D">
      <w:pPr>
        <w:pStyle w:val="NormalWeb"/>
        <w:spacing w:before="0" w:beforeAutospacing="0" w:after="160" w:afterAutospacing="0" w:line="480" w:lineRule="auto"/>
        <w:rPr>
          <w:lang w:val="en-US"/>
        </w:rPr>
      </w:pPr>
    </w:p>
    <w:p w:rsidR="007419CB" w:rsidRPr="005F4557" w:rsidRDefault="007419CB" w:rsidP="0021751D">
      <w:pPr>
        <w:pStyle w:val="NormalWeb"/>
        <w:spacing w:before="0" w:beforeAutospacing="0" w:after="160" w:afterAutospacing="0" w:line="480" w:lineRule="auto"/>
        <w:rPr>
          <w:lang w:val="en-US"/>
        </w:rPr>
      </w:pPr>
      <w:r>
        <w:rPr>
          <w:lang w:val="en-US"/>
        </w:rPr>
        <w:t>Both</w:t>
      </w:r>
      <w:r w:rsidRPr="005F4557">
        <w:rPr>
          <w:lang w:val="en-US"/>
        </w:rPr>
        <w:t xml:space="preserve"> heatmaps provided (</w:t>
      </w:r>
      <w:r w:rsidRPr="005F4557">
        <w:rPr>
          <w:lang w:val="en-US"/>
        </w:rPr>
        <w:fldChar w:fldCharType="begin"/>
      </w:r>
      <w:r w:rsidRPr="005F4557">
        <w:rPr>
          <w:lang w:val="en-US"/>
        </w:rPr>
        <w:instrText xml:space="preserve"> REF _Ref200728305 \h  \* MERGEFORMAT </w:instrText>
      </w:r>
      <w:r w:rsidRPr="005F4557">
        <w:rPr>
          <w:lang w:val="en-US"/>
        </w:rPr>
      </w:r>
      <w:r w:rsidRPr="005F4557">
        <w:rPr>
          <w:lang w:val="en-US"/>
        </w:rPr>
        <w:fldChar w:fldCharType="separate"/>
      </w:r>
      <w:r w:rsidR="00380C88" w:rsidRPr="00380C88">
        <w:rPr>
          <w:rFonts w:ascii="Arial" w:hAnsi="Arial" w:cs="Arial"/>
          <w:b/>
          <w:sz w:val="20"/>
          <w:szCs w:val="20"/>
          <w:lang w:val="en-US"/>
        </w:rPr>
        <w:t>Figure 34</w:t>
      </w:r>
      <w:r w:rsidRPr="005F4557">
        <w:rPr>
          <w:lang w:val="en-US"/>
        </w:rPr>
        <w:fldChar w:fldCharType="end"/>
      </w:r>
      <w:r w:rsidRPr="005F4557">
        <w:rPr>
          <w:lang w:val="en-US"/>
        </w:rPr>
        <w:t xml:space="preserve"> and </w:t>
      </w:r>
      <w:r w:rsidRPr="005F4557">
        <w:rPr>
          <w:lang w:val="en-US"/>
        </w:rPr>
        <w:fldChar w:fldCharType="begin"/>
      </w:r>
      <w:r w:rsidRPr="005F4557">
        <w:rPr>
          <w:lang w:val="en-US"/>
        </w:rPr>
        <w:instrText xml:space="preserve"> REF _Ref200728338 \h  \* MERGEFORMAT </w:instrText>
      </w:r>
      <w:r w:rsidRPr="005F4557">
        <w:rPr>
          <w:lang w:val="en-US"/>
        </w:rPr>
      </w:r>
      <w:r w:rsidRPr="005F4557">
        <w:rPr>
          <w:lang w:val="en-US"/>
        </w:rPr>
        <w:fldChar w:fldCharType="separate"/>
      </w:r>
      <w:r w:rsidR="00380C88" w:rsidRPr="00380C88">
        <w:rPr>
          <w:rFonts w:ascii="Arial" w:hAnsi="Arial" w:cs="Arial"/>
          <w:b/>
          <w:sz w:val="20"/>
          <w:szCs w:val="20"/>
          <w:lang w:val="en-US"/>
        </w:rPr>
        <w:t>Figure 35</w:t>
      </w:r>
      <w:r w:rsidRPr="005F4557">
        <w:rPr>
          <w:lang w:val="en-US"/>
        </w:rPr>
        <w:fldChar w:fldCharType="end"/>
      </w:r>
      <w:r w:rsidRPr="005F4557">
        <w:rPr>
          <w:lang w:val="en-US"/>
        </w:rPr>
        <w:t>) summarize clearly the roles played by various elements in influencing the physical properties critical for the design of effective High-Entropy Superalloys (HESAs). These visualizations derive from Partial Dependence analyses conducted on robust machine learning models, allowing to quantitatively assess the impact of systematically fixing each element at a substantial atomic fraction (30%) within random compositions.</w:t>
      </w:r>
    </w:p>
    <w:p w:rsidR="007419CB" w:rsidRPr="00092C88" w:rsidRDefault="007419CB" w:rsidP="0021751D">
      <w:pPr>
        <w:pStyle w:val="NormalWeb"/>
        <w:spacing w:before="0" w:beforeAutospacing="0" w:after="160" w:afterAutospacing="0" w:line="480" w:lineRule="auto"/>
        <w:rPr>
          <w:highlight w:val="yellow"/>
          <w:lang w:val="en-US"/>
        </w:rPr>
      </w:pP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rFonts w:eastAsiaTheme="majorEastAsia"/>
          <w:sz w:val="28"/>
          <w:szCs w:val="28"/>
          <w:lang w:val="en-US"/>
        </w:rPr>
      </w:pPr>
      <w:r w:rsidRPr="000A4838">
        <w:rPr>
          <w:lang w:val="en-US"/>
        </w:rPr>
        <w:br w:type="page" w:clear="all"/>
      </w:r>
    </w:p>
    <w:p w:rsidR="007419CB" w:rsidRPr="000A4838" w:rsidRDefault="007419CB" w:rsidP="00F949EF">
      <w:pPr>
        <w:pStyle w:val="Titre1"/>
        <w:numPr>
          <w:ilvl w:val="0"/>
          <w:numId w:val="40"/>
        </w:numPr>
        <w:spacing w:before="0" w:after="160" w:line="480" w:lineRule="auto"/>
        <w:rPr>
          <w:rFonts w:ascii="Times New Roman" w:hAnsi="Times New Roman" w:cs="Times New Roman"/>
          <w:color w:val="auto"/>
          <w:lang w:val="en-US"/>
        </w:rPr>
      </w:pPr>
      <w:bookmarkStart w:id="141" w:name="_Ref204787069"/>
      <w:bookmarkStart w:id="142" w:name="_Toc214314354"/>
      <w:bookmarkStart w:id="143" w:name="_Toc216021115"/>
      <w:r w:rsidRPr="000A4838">
        <w:rPr>
          <w:rFonts w:ascii="Times New Roman" w:hAnsi="Times New Roman" w:cs="Times New Roman"/>
          <w:color w:val="auto"/>
          <w:lang w:val="en-US"/>
        </w:rPr>
        <w:lastRenderedPageBreak/>
        <w:t>GENERATIVE EXPLORATION &amp; FRONTIER EXPANSION</w:t>
      </w:r>
      <w:bookmarkEnd w:id="141"/>
      <w:bookmarkEnd w:id="142"/>
      <w:bookmarkEnd w:id="143"/>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44" w:name="_Ref205244211"/>
      <w:bookmarkStart w:id="145" w:name="_Toc214314368"/>
      <w:bookmarkStart w:id="146" w:name="_Toc216021116"/>
      <w:r w:rsidRPr="000A4838">
        <w:rPr>
          <w:rFonts w:ascii="Times New Roman" w:hAnsi="Times New Roman" w:cs="Times New Roman"/>
          <w:color w:val="auto"/>
          <w:sz w:val="24"/>
          <w:szCs w:val="24"/>
          <w:lang w:val="en-US"/>
        </w:rPr>
        <w:t>Data Preparation and Condition Specification</w:t>
      </w:r>
      <w:bookmarkEnd w:id="144"/>
      <w:bookmarkEnd w:id="145"/>
      <w:bookmarkEnd w:id="146"/>
    </w:p>
    <w:p w:rsidR="007419CB" w:rsidRPr="00E4223C" w:rsidRDefault="007419CB" w:rsidP="0021751D">
      <w:pPr>
        <w:spacing w:after="160" w:line="480" w:lineRule="auto"/>
        <w:rPr>
          <w:rFonts w:eastAsiaTheme="minorEastAsia"/>
          <w:lang w:val="en-US"/>
        </w:rPr>
      </w:pPr>
      <w:r w:rsidRPr="00224277">
        <w:rPr>
          <w:lang w:val="en-US"/>
        </w:rPr>
        <w:t xml:space="preserve">A rigorous data preparation pipeline is essential to ensure that the </w:t>
      </w:r>
      <w:r w:rsidR="0022131C">
        <w:rPr>
          <w:lang w:val="en-US"/>
        </w:rPr>
        <w:t>Conditional Variational Auto-Encoder (</w:t>
      </w:r>
      <w:r w:rsidRPr="00224277">
        <w:rPr>
          <w:lang w:val="en-US"/>
        </w:rPr>
        <w:t>CVAE</w:t>
      </w:r>
      <w:r w:rsidR="0022131C">
        <w:rPr>
          <w:lang w:val="en-US"/>
        </w:rPr>
        <w:t>)</w:t>
      </w:r>
      <w:r w:rsidRPr="00224277">
        <w:rPr>
          <w:lang w:val="en-US"/>
        </w:rPr>
        <w:t xml:space="preserve"> learns meaningful relationships among alloy compositions and respects the causal chain linking elemental makeup to final performance scores. The dataset comprises approximately 700 000 quinary and higher-order alloy compositions, for which a consistent suite of physicochemical descriptors, surrogate-model property estimates, and ten normalized performance scores</w:t>
      </w:r>
      <w:r w:rsidRPr="000A4838">
        <w:rPr>
          <w:lang w:val="en-US"/>
        </w:rPr>
        <w:t xml:space="preserve">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E4223C">
        <w:rPr>
          <w:lang w:val="en-US"/>
        </w:rPr>
        <w:t xml:space="preserve"> </w:t>
      </w:r>
      <w:r w:rsidRPr="00E4223C">
        <w:rPr>
          <w:rFonts w:eastAsiaTheme="minorEastAsia"/>
          <w:lang w:val="en-US"/>
        </w:rPr>
        <w:t>was computed. Each sample therefore preserves a complete lineage, from raw composition through descriptor space to predicted physical quantities and, ultimately, to the scalar scores guiding alloy selection.</w:t>
      </w:r>
    </w:p>
    <w:p w:rsidR="007419CB" w:rsidRPr="00092C88" w:rsidRDefault="007419CB" w:rsidP="0021751D">
      <w:pPr>
        <w:spacing w:after="160" w:line="480" w:lineRule="auto"/>
        <w:rPr>
          <w:highlight w:val="yellow"/>
          <w:lang w:val="en-US"/>
        </w:rPr>
      </w:pPr>
      <w:r w:rsidRPr="00E4223C">
        <w:rPr>
          <w:rFonts w:eastAsiaTheme="minorEastAsia"/>
          <w:lang w:val="en-US"/>
        </w:rPr>
        <w:t>To encode composition in a form suitable for neural-network models, the centered log-ratio (CLR) transformation is applied to the atomic fractions of each constituent element. CLR encoding removes the unit-sum constraint inherent to compositional data and embeds all fractional proportions within an unconstrained Euclidean space. In practice, the elemental fractions for each alloy are read and mapped via the CLR transform, yielding a vector whose dimensionality corresponds to the number of alloying elements minus one. This compact, continuous representation constitutes the first block of features in the input matrix</w:t>
      </w:r>
      <w:r w:rsidRPr="00E4223C">
        <w:rPr>
          <w:lang w:val="en-US"/>
        </w:rPr>
        <w:t xml:space="preserve"> </w:t>
      </w:r>
      <m:oMath>
        <m:r>
          <w:rPr>
            <w:rFonts w:ascii="Cambria Math" w:hAnsi="Cambria Math"/>
            <w:lang w:val="en-US"/>
          </w:rPr>
          <m:t>X</m:t>
        </m:r>
      </m:oMath>
      <w:r w:rsidRPr="00E4223C">
        <w:rPr>
          <w:lang w:val="en-US"/>
        </w:rPr>
        <w:t>.</w:t>
      </w:r>
    </w:p>
    <w:p w:rsidR="007419CB" w:rsidRPr="000A4838" w:rsidRDefault="007419CB" w:rsidP="0021751D">
      <w:pPr>
        <w:spacing w:after="160" w:line="480" w:lineRule="auto"/>
        <w:rPr>
          <w:lang w:val="en-US"/>
        </w:rPr>
      </w:pPr>
      <w:r w:rsidRPr="00E4223C">
        <w:rPr>
          <w:lang w:val="en-US"/>
        </w:rPr>
        <w:t>Beyond composition, the descriptor set includes atomic-size mismatch parameters, mixing enthalpies, electronegativity differences, valence-electron concentrations, and data-driven spectral features extracted from density-of-states predictions, among others.</w:t>
      </w:r>
      <w:r>
        <w:rPr>
          <w:lang w:val="en-US"/>
        </w:rPr>
        <w:t xml:space="preserve"> </w:t>
      </w:r>
      <w:r w:rsidRPr="000A4838">
        <w:rPr>
          <w:lang w:val="en-US"/>
        </w:rPr>
        <w:t xml:space="preserve">The surrogate models use these descriptors to predict continuous physical quantities such as elastic modulus, yield strength, ductility indices, thermal conductivity, and melting point. Each of these predicted properties was transformed into a dimensionless score </w:t>
      </w:r>
      <m:oMath>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∈[0,1]</m:t>
        </m:r>
      </m:oMath>
      <w:r w:rsidRPr="000A4838">
        <w:rPr>
          <w:lang w:val="en-US"/>
        </w:rPr>
        <w:t xml:space="preserve"> via a smooth </w:t>
      </w:r>
      <w:r w:rsidRPr="000A4838">
        <w:rPr>
          <w:lang w:val="en-US"/>
        </w:rPr>
        <w:lastRenderedPageBreak/>
        <w:t>scaling function that penalizes values outside desirable ranges. Collectively, these ten scores quantify a material’s overall “goodness” across multiple objectives.</w:t>
      </w:r>
    </w:p>
    <w:p w:rsidR="007419CB" w:rsidRPr="000A4838" w:rsidRDefault="007419CB" w:rsidP="0021751D">
      <w:pPr>
        <w:spacing w:after="160" w:line="480" w:lineRule="auto"/>
        <w:rPr>
          <w:lang w:val="en-US"/>
        </w:rPr>
      </w:pPr>
      <w:r w:rsidRPr="00E4223C">
        <w:rPr>
          <w:lang w:val="en-US"/>
        </w:rPr>
        <w:t xml:space="preserve">Having defined the input representations, the conditioning </w:t>
      </w:r>
      <w:r w:rsidRPr="00DC400B">
        <w:rPr>
          <w:lang w:val="en-US"/>
        </w:rPr>
        <w:t xml:space="preserve">vector </w:t>
      </w:r>
      <m:oMath>
        <m:r>
          <w:rPr>
            <w:rFonts w:ascii="Cambria Math" w:hAnsi="Cambria Math"/>
            <w:lang w:val="en-US"/>
          </w:rPr>
          <m:t>Y</m:t>
        </m:r>
      </m:oMath>
      <w:r w:rsidRPr="00DC400B">
        <w:rPr>
          <w:lang w:val="en-US"/>
        </w:rPr>
        <w:t xml:space="preserve"> </w:t>
      </w:r>
      <w:r w:rsidRPr="00E4223C">
        <w:rPr>
          <w:lang w:val="en-US"/>
        </w:rPr>
        <w:t>was specified to focus generative modeling on alloys exhibiting uniformly high performance. Specifically, each individual score</w:t>
      </w:r>
      <w:r>
        <w:rPr>
          <w:lang w:val="en-US"/>
        </w:rPr>
        <w:t xml:space="preserve"> </w:t>
      </w:r>
      <m:oMath>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i</m:t>
            </m:r>
          </m:sub>
        </m:sSub>
      </m:oMath>
      <w:r w:rsidRPr="000A4838">
        <w:rPr>
          <w:lang w:val="en-US"/>
        </w:rPr>
        <w:t xml:space="preserve">​ </w:t>
      </w:r>
      <w:r w:rsidRPr="00AD74C7">
        <w:rPr>
          <w:lang w:val="en-US"/>
        </w:rPr>
        <w:t>was required to exceed 0.3, ensuring that no single property falls below a minimal acceptable threshold. In addition, the sum of the ten scores was constrained to be at least 5.0, corresponding to an average score of 0.5 per property, thereby enforcing a balanced high-performance profile across all targeted criteria.</w:t>
      </w:r>
      <w:r>
        <w:rPr>
          <w:lang w:val="en-US"/>
        </w:rPr>
        <w:t xml:space="preserve"> </w:t>
      </w:r>
      <w:r w:rsidRPr="000A4838">
        <w:rPr>
          <w:lang w:val="en-US"/>
        </w:rPr>
        <w:t xml:space="preserve">Finally, to emphasize synergy among all objectives, the product </w:t>
      </w:r>
      <m:oMath>
        <m:nary>
          <m:naryPr>
            <m:chr m:val="∏"/>
            <m:limLoc m:val="subSup"/>
            <m:supHide m:val="1"/>
            <m:ctrlPr>
              <w:rPr>
                <w:rFonts w:ascii="Cambria Math" w:hAnsi="Cambria Math"/>
                <w:i/>
                <w:iCs/>
                <w:lang w:val="en-US"/>
              </w:rPr>
            </m:ctrlPr>
          </m:naryPr>
          <m:sub>
            <m:r>
              <w:rPr>
                <w:rFonts w:ascii="Cambria Math" w:hAnsi="Cambria Math"/>
                <w:lang w:val="en-US"/>
              </w:rPr>
              <m:t>i</m:t>
            </m:r>
          </m:sub>
          <m:sup/>
          <m:e>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i</m:t>
                </m:r>
              </m:sub>
            </m:sSub>
          </m:e>
        </m:nary>
      </m:oMath>
      <w:r>
        <w:rPr>
          <w:rFonts w:eastAsiaTheme="minorEastAsia"/>
          <w:iCs/>
          <w:lang w:val="en-US"/>
        </w:rPr>
        <w:t xml:space="preserve"> was </w:t>
      </w:r>
      <w:r w:rsidRPr="000A4838">
        <w:rPr>
          <w:lang w:val="en-US"/>
        </w:rPr>
        <w:t xml:space="preserve">originally considered​​, but in practice replaced it with the sum of natural logarithms </w:t>
      </w:r>
      <m:oMath>
        <m:nary>
          <m:naryPr>
            <m:chr m:val="∑"/>
            <m:limLoc m:val="subSup"/>
            <m:supHide m:val="1"/>
            <m:ctrlPr>
              <w:rPr>
                <w:rFonts w:ascii="Cambria Math" w:hAnsi="Cambria Math"/>
                <w:i/>
                <w:lang w:val="en-US"/>
              </w:rPr>
            </m:ctrlPr>
          </m:naryPr>
          <m:sub>
            <m:r>
              <w:rPr>
                <w:rFonts w:ascii="Cambria Math" w:hAnsi="Cambria Math"/>
                <w:lang w:val="en-US"/>
              </w:rPr>
              <m:t>i</m:t>
            </m:r>
          </m:sub>
          <m:sup/>
          <m:e>
            <m:func>
              <m:funcPr>
                <m:ctrlPr>
                  <w:rPr>
                    <w:rFonts w:ascii="Cambria Math" w:hAnsi="Cambria Math"/>
                    <w:i/>
                    <w:lang w:val="en-US"/>
                  </w:rPr>
                </m:ctrlPr>
              </m:funcPr>
              <m:fName>
                <m:r>
                  <m:rPr>
                    <m:sty m:val="p"/>
                  </m:rPr>
                  <w:rPr>
                    <w:rFonts w:ascii="Cambria Math" w:hAnsi="Cambria Math"/>
                    <w:lang w:val="en-US"/>
                  </w:rPr>
                  <m:t>ln</m:t>
                </m:r>
              </m:fName>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e>
            </m:func>
          </m:e>
        </m:nary>
      </m:oMath>
      <w:r w:rsidRPr="000A4838">
        <w:rPr>
          <w:lang w:val="en-US"/>
        </w:rPr>
        <w:t xml:space="preserve"> for numerical stability and smoother gradient behavior. These three criteria – per‐score minimum, total‐score minimum, and logarithm</w:t>
      </w:r>
      <w:proofErr w:type="spellStart"/>
      <w:r w:rsidRPr="000A4838">
        <w:rPr>
          <w:lang w:val="en-US"/>
        </w:rPr>
        <w:t>ic</w:t>
      </w:r>
      <w:proofErr w:type="spellEnd"/>
      <w:r w:rsidRPr="000A4838">
        <w:rPr>
          <w:lang w:val="en-US"/>
        </w:rPr>
        <w:t xml:space="preserve"> sum threshold – are concatenated to form the vector </w:t>
      </w:r>
      <m:oMath>
        <m:r>
          <w:rPr>
            <w:rFonts w:ascii="Cambria Math" w:hAnsi="Cambria Math"/>
            <w:lang w:val="en-US"/>
          </w:rPr>
          <m:t>Y</m:t>
        </m:r>
      </m:oMath>
      <w:r w:rsidRPr="000A4838">
        <w:rPr>
          <w:lang w:val="en-US"/>
        </w:rPr>
        <w:t>, which is supplied to both encoder and decoder during CVAE training.</w:t>
      </w:r>
    </w:p>
    <w:p w:rsidR="007419CB" w:rsidRPr="000A4838" w:rsidRDefault="007419CB" w:rsidP="0021751D">
      <w:pPr>
        <w:spacing w:after="160" w:line="480" w:lineRule="auto"/>
        <w:rPr>
          <w:lang w:val="en-US"/>
        </w:rPr>
      </w:pPr>
      <w:r w:rsidRPr="00AD74C7">
        <w:rPr>
          <w:lang w:val="en-US"/>
        </w:rPr>
        <w:t xml:space="preserve">To ensure a sufficient density of examples near the high-performance frontier, the raw dataset was enriched with perturbed compositions generated around the Pareto front obtained from an initial brute-force search. The enrichment procedure adds Gaussian noise to the elemental fractions of Pareto-optimal alloys, randomly varies atomic percentages within ±2 at.%, and introduces one or two trace elements at low concentrations to explore neighboring chemistries. For each newly generated composition, descriptors, surrogate predictions, and the ten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AD74C7">
        <w:rPr>
          <w:lang w:val="en-US"/>
        </w:rPr>
        <w:t xml:space="preserve"> scores are recomputed, and only those compositions that satisfy the </w:t>
      </w:r>
      <m:oMath>
        <m:r>
          <w:rPr>
            <w:rFonts w:ascii="Cambria Math" w:hAnsi="Cambria Math"/>
            <w:lang w:val="en-US"/>
          </w:rPr>
          <m:t>Y</m:t>
        </m:r>
      </m:oMath>
      <w:r w:rsidRPr="00AD74C7">
        <w:rPr>
          <w:lang w:val="en-US"/>
        </w:rPr>
        <w:t xml:space="preserve"> constraints are retained. </w:t>
      </w:r>
      <w:r w:rsidRPr="000A4838">
        <w:rPr>
          <w:lang w:val="en-US"/>
        </w:rPr>
        <w:t>This targeted augmentation ensures that the CVAE encounters ample positive examples during training, thereby improving its ability to model the conditioned high‐performance manifold.</w:t>
      </w:r>
    </w:p>
    <w:p w:rsidR="007419CB" w:rsidRPr="000A4838" w:rsidRDefault="007419CB" w:rsidP="0021751D">
      <w:pPr>
        <w:spacing w:after="160" w:line="480" w:lineRule="auto"/>
        <w:rPr>
          <w:lang w:val="en-US"/>
        </w:rPr>
      </w:pPr>
      <w:r w:rsidRPr="000A4838">
        <w:rPr>
          <w:lang w:val="en-US"/>
        </w:rPr>
        <w:t>The final training dataset thus comprises rows of the form:</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7419CB" w:rsidP="0021751D">
            <w:pPr>
              <w:spacing w:after="160" w:line="480" w:lineRule="auto"/>
              <w:rPr>
                <w:lang w:val="en-US"/>
              </w:rPr>
            </w:pPr>
            <m:oMathPara>
              <m:oMath>
                <m:r>
                  <m:rPr>
                    <m:sty m:val="bi"/>
                  </m:rPr>
                  <w:rPr>
                    <w:rFonts w:ascii="Cambria Math" w:hAnsi="Cambria Math"/>
                    <w:lang w:val="en-US"/>
                  </w:rPr>
                  <w:lastRenderedPageBreak/>
                  <m:t>X</m:t>
                </m:r>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CLR</m:t>
                    </m:r>
                    <m:d>
                      <m:dPr>
                        <m:ctrlPr>
                          <w:rPr>
                            <w:rFonts w:ascii="Cambria Math" w:hAnsi="Cambria Math"/>
                            <w:i/>
                            <w:lang w:val="en-US"/>
                          </w:rPr>
                        </m:ctrlPr>
                      </m:dPr>
                      <m:e>
                        <m:r>
                          <m:rPr>
                            <m:sty m:val="bi"/>
                          </m:rPr>
                          <w:rPr>
                            <w:rFonts w:ascii="Cambria Math" w:hAnsi="Cambria Math"/>
                            <w:lang w:val="en-US"/>
                          </w:rPr>
                          <m:t>c</m:t>
                        </m:r>
                      </m:e>
                    </m:d>
                    <m:r>
                      <w:rPr>
                        <w:rFonts w:ascii="Cambria Math" w:hAnsi="Cambria Math"/>
                        <w:lang w:val="en-US"/>
                      </w:rPr>
                      <m:t>,</m:t>
                    </m:r>
                    <m:r>
                      <m:rPr>
                        <m:sty m:val="bi"/>
                      </m:rPr>
                      <w:rPr>
                        <w:rFonts w:ascii="Cambria Math" w:hAnsi="Cambria Math"/>
                        <w:lang w:val="en-US"/>
                      </w:rPr>
                      <m:t>d</m:t>
                    </m:r>
                    <m:r>
                      <w:rPr>
                        <w:rFonts w:ascii="Cambria Math" w:hAnsi="Cambria Math"/>
                        <w:lang w:val="en-US"/>
                      </w:rPr>
                      <m:t>,</m:t>
                    </m:r>
                    <m:acc>
                      <m:accPr>
                        <m:ctrlPr>
                          <w:rPr>
                            <w:rFonts w:ascii="Cambria Math" w:hAnsi="Cambria Math"/>
                            <w:b/>
                            <w:i/>
                            <w:lang w:val="en-US"/>
                          </w:rPr>
                        </m:ctrlPr>
                      </m:accPr>
                      <m:e>
                        <m:r>
                          <m:rPr>
                            <m:sty m:val="bi"/>
                          </m:rPr>
                          <w:rPr>
                            <w:rFonts w:ascii="Cambria Math" w:hAnsi="Cambria Math"/>
                            <w:lang w:val="en-US"/>
                          </w:rPr>
                          <m:t>p</m:t>
                        </m:r>
                      </m:e>
                    </m:acc>
                    <m:r>
                      <w:rPr>
                        <w:rFonts w:ascii="Cambria Math" w:hAnsi="Cambria Math"/>
                        <w:lang w:val="en-US"/>
                      </w:rPr>
                      <m:t>,</m:t>
                    </m:r>
                    <m:r>
                      <m:rPr>
                        <m:sty m:val="bi"/>
                      </m:rPr>
                      <w:rPr>
                        <w:rFonts w:ascii="Cambria Math" w:hAnsi="Cambria Math"/>
                        <w:lang w:val="en-US"/>
                      </w:rPr>
                      <m:t>g</m:t>
                    </m:r>
                  </m:e>
                </m:d>
              </m:oMath>
            </m:oMathPara>
          </w:p>
        </w:tc>
        <w:tc>
          <w:tcPr>
            <w:tcW w:w="992" w:type="dxa"/>
            <w:vAlign w:val="center"/>
          </w:tcPr>
          <w:p w:rsidR="007419CB" w:rsidRPr="000A4838" w:rsidRDefault="00CC139D" w:rsidP="0021751D">
            <w:pPr>
              <w:spacing w:after="160" w:line="480" w:lineRule="auto"/>
              <w:rPr>
                <w:lang w:val="en-US"/>
              </w:rPr>
            </w:pPr>
            <m:oMathPara>
              <m:oMath>
                <m:d>
                  <m:dPr>
                    <m:ctrlPr>
                      <w:rPr>
                        <w:rFonts w:ascii="Cambria Math" w:eastAsia="Cambria Math" w:hAnsi="Cambria Math"/>
                        <w:i/>
                        <w:szCs w:val="24"/>
                        <w:lang w:val="en-US"/>
                      </w:rPr>
                    </m:ctrlPr>
                  </m:dPr>
                  <m:e>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1</m:t>
                    </m:r>
                    <m:r>
                      <m:rPr>
                        <m:sty m:val="p"/>
                      </m:rPr>
                      <w:rPr>
                        <w:rFonts w:ascii="Cambria Math" w:eastAsia="Cambria Math" w:hAnsi="Cambria Math"/>
                        <w:szCs w:val="24"/>
                        <w:lang w:val="en-US"/>
                      </w:rPr>
                      <w:fldChar w:fldCharType="end"/>
                    </m:r>
                  </m:e>
                </m:d>
              </m:oMath>
            </m:oMathPara>
          </w:p>
        </w:tc>
      </w:tr>
      <w:tr w:rsidR="007419CB" w:rsidRPr="000A4838" w:rsidTr="007419CB">
        <w:tc>
          <w:tcPr>
            <w:tcW w:w="8075" w:type="dxa"/>
          </w:tcPr>
          <w:p w:rsidR="007419CB" w:rsidRPr="000A4838" w:rsidRDefault="007419CB" w:rsidP="0021751D">
            <w:pPr>
              <w:spacing w:after="160" w:line="480" w:lineRule="auto"/>
              <w:rPr>
                <w:rFonts w:eastAsia="Calibri"/>
                <w:b/>
                <w:lang w:val="en-US"/>
              </w:rPr>
            </w:pPr>
            <w:r w:rsidRPr="000A4838">
              <w:rPr>
                <w:lang w:val="en-US"/>
              </w:rPr>
              <w:t xml:space="preserve">and </w:t>
            </w:r>
            <m:oMath>
              <m:r>
                <m:rPr>
                  <m:sty m:val="bi"/>
                </m:rPr>
                <w:rPr>
                  <w:rFonts w:ascii="Cambria Math" w:hAnsi="Cambria Math"/>
                  <w:lang w:val="en-US"/>
                </w:rPr>
                <m:t>Y</m:t>
              </m:r>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class</m:t>
                      </m:r>
                    </m:e>
                    <m:sub>
                      <m:r>
                        <w:rPr>
                          <w:rFonts w:ascii="Cambria Math" w:hAnsi="Cambria Math"/>
                          <w:lang w:val="en-US"/>
                        </w:rPr>
                        <m:t>1</m:t>
                      </m:r>
                    </m:sub>
                  </m:sSub>
                  <m:d>
                    <m:dPr>
                      <m:ctrlPr>
                        <w:rPr>
                          <w:rFonts w:ascii="Cambria Math" w:hAnsi="Cambria Math"/>
                          <w:i/>
                          <w:lang w:val="en-US"/>
                        </w:rPr>
                      </m:ctrlPr>
                    </m:dPr>
                    <m:e>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min</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e>
                      </m:func>
                    </m:e>
                  </m:d>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class</m:t>
                      </m:r>
                    </m:e>
                    <m:sub>
                      <m:r>
                        <w:rPr>
                          <w:rFonts w:ascii="Cambria Math" w:hAnsi="Cambria Math"/>
                          <w:lang w:val="en-US"/>
                        </w:rPr>
                        <m:t>2</m:t>
                      </m:r>
                    </m:sub>
                  </m:sSub>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e>
                      </m:nary>
                    </m:e>
                  </m:d>
                </m:e>
              </m:d>
            </m:oMath>
          </w:p>
        </w:tc>
        <w:tc>
          <w:tcPr>
            <w:tcW w:w="992" w:type="dxa"/>
            <w:vAlign w:val="center"/>
          </w:tcPr>
          <w:p w:rsidR="007419CB" w:rsidRPr="000A4838" w:rsidRDefault="00CC139D" w:rsidP="0021751D">
            <w:pPr>
              <w:spacing w:after="160" w:line="480" w:lineRule="auto"/>
              <w:rPr>
                <w:rFonts w:eastAsia="Calibri"/>
                <w:szCs w:val="24"/>
                <w:lang w:val="en-US"/>
              </w:rPr>
            </w:pPr>
            <m:oMathPara>
              <m:oMath>
                <m:d>
                  <m:dPr>
                    <m:ctrlPr>
                      <w:rPr>
                        <w:rFonts w:ascii="Cambria Math" w:eastAsia="Cambria Math" w:hAnsi="Cambria Math"/>
                        <w:i/>
                        <w:szCs w:val="24"/>
                        <w:lang w:val="en-US"/>
                      </w:rPr>
                    </m:ctrlPr>
                  </m:dPr>
                  <m:e>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2</m:t>
                    </m:r>
                    <m:r>
                      <m:rPr>
                        <m:sty m:val="p"/>
                      </m:rPr>
                      <w:rPr>
                        <w:rFonts w:ascii="Cambria Math" w:eastAsia="Cambria Math" w:hAnsi="Cambria Math"/>
                        <w:szCs w:val="24"/>
                        <w:lang w:val="en-US"/>
                      </w:rPr>
                      <w:fldChar w:fldCharType="end"/>
                    </m:r>
                  </m:e>
                </m:d>
              </m:oMath>
            </m:oMathPara>
          </w:p>
        </w:tc>
      </w:tr>
    </w:tbl>
    <w:p w:rsidR="007419CB" w:rsidRPr="00092C88" w:rsidRDefault="007419CB" w:rsidP="0021751D">
      <w:pPr>
        <w:spacing w:after="160" w:line="480" w:lineRule="auto"/>
        <w:rPr>
          <w:highlight w:val="yellow"/>
          <w:lang w:val="en-US"/>
        </w:rPr>
      </w:pPr>
      <w:r w:rsidRPr="000A4838">
        <w:rPr>
          <w:lang w:val="en-US"/>
        </w:rPr>
        <w:t xml:space="preserve">where </w:t>
      </w:r>
      <m:oMath>
        <m:r>
          <m:rPr>
            <m:sty m:val="bi"/>
          </m:rPr>
          <w:rPr>
            <w:rFonts w:ascii="Cambria Math" w:hAnsi="Cambria Math"/>
            <w:lang w:val="en-US"/>
          </w:rPr>
          <m:t>c</m:t>
        </m:r>
      </m:oMath>
      <w:r w:rsidRPr="000A4838">
        <w:rPr>
          <w:lang w:val="en-US"/>
        </w:rPr>
        <w:t xml:space="preserve"> is the vector of atomic fractions, </w:t>
      </w:r>
      <m:oMath>
        <m:r>
          <m:rPr>
            <m:sty m:val="bi"/>
          </m:rPr>
          <w:rPr>
            <w:rFonts w:ascii="Cambria Math" w:hAnsi="Cambria Math"/>
            <w:lang w:val="en-US"/>
          </w:rPr>
          <m:t>d</m:t>
        </m:r>
      </m:oMath>
      <w:r w:rsidRPr="000A4838">
        <w:rPr>
          <w:lang w:val="en-US"/>
        </w:rPr>
        <w:t xml:space="preserve"> the descriptor set, </w:t>
      </w:r>
      <m:oMath>
        <m:acc>
          <m:accPr>
            <m:ctrlPr>
              <w:rPr>
                <w:rFonts w:ascii="Cambria Math" w:hAnsi="Cambria Math"/>
                <w:b/>
                <w:i/>
                <w:lang w:val="en-US"/>
              </w:rPr>
            </m:ctrlPr>
          </m:accPr>
          <m:e>
            <m:r>
              <m:rPr>
                <m:sty m:val="bi"/>
              </m:rPr>
              <w:rPr>
                <w:rFonts w:ascii="Cambria Math" w:hAnsi="Cambria Math"/>
                <w:lang w:val="en-US"/>
              </w:rPr>
              <m:t>p</m:t>
            </m:r>
          </m:e>
        </m:acc>
      </m:oMath>
      <w:r w:rsidRPr="000A4838">
        <w:rPr>
          <w:lang w:val="en-US"/>
        </w:rPr>
        <w:t xml:space="preserve">​ the surrogate </w:t>
      </w:r>
      <w:proofErr w:type="spellStart"/>
      <w:r w:rsidRPr="000A4838">
        <w:rPr>
          <w:lang w:val="en-US"/>
        </w:rPr>
        <w:t>XGBoost</w:t>
      </w:r>
      <w:proofErr w:type="spellEnd"/>
      <w:r w:rsidRPr="000A4838">
        <w:rPr>
          <w:lang w:val="en-US"/>
        </w:rPr>
        <w:t xml:space="preserve"> predictions</w:t>
      </w:r>
      <w:r>
        <w:rPr>
          <w:lang w:val="en-US"/>
        </w:rPr>
        <w:t xml:space="preserve"> of the materials properties</w:t>
      </w:r>
      <w:r w:rsidRPr="000A4838">
        <w:rPr>
          <w:lang w:val="en-US"/>
        </w:rPr>
        <w:t xml:space="preserve">, and </w:t>
      </w:r>
      <m:oMath>
        <m:r>
          <m:rPr>
            <m:sty m:val="bi"/>
          </m:rPr>
          <w:rPr>
            <w:rFonts w:ascii="Cambria Math" w:hAnsi="Cambria Math"/>
            <w:lang w:val="en-US"/>
          </w:rPr>
          <m:t>g</m:t>
        </m:r>
      </m:oMath>
      <w:r w:rsidRPr="000A4838">
        <w:rPr>
          <w:lang w:val="en-US"/>
        </w:rPr>
        <w:t xml:space="preserve"> the normalized scores. Practically, the three classes are 0-1 values depe</w:t>
      </w:r>
      <w:proofErr w:type="spellStart"/>
      <w:r w:rsidRPr="000A4838">
        <w:rPr>
          <w:lang w:val="en-US"/>
        </w:rPr>
        <w:t>nding</w:t>
      </w:r>
      <w:proofErr w:type="spellEnd"/>
      <w:r w:rsidRPr="000A4838">
        <w:rPr>
          <w:lang w:val="en-US"/>
        </w:rPr>
        <w:t xml:space="preserve"> on the comparison to a threshold. </w:t>
      </w:r>
      <w:r w:rsidRPr="00AD74C7">
        <w:rPr>
          <w:lang w:val="en-US"/>
        </w:rPr>
        <w:t>By preserving the logical progression from composition to score and by carefully defining the conditioning signals, a foundation is established on which the CVAE can learn both to reconstruct existing alloys and to generate novel candidates that satisfy stringent multi-objective performance criteria.</w:t>
      </w:r>
    </w:p>
    <w:p w:rsidR="007419CB" w:rsidRPr="00092C88" w:rsidRDefault="007419CB" w:rsidP="0021751D">
      <w:pPr>
        <w:spacing w:after="160" w:line="480" w:lineRule="auto"/>
        <w:rPr>
          <w:highlight w:val="yellow"/>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47" w:name="_Ref205244212"/>
      <w:bookmarkStart w:id="148" w:name="_Toc214314369"/>
      <w:bookmarkStart w:id="149" w:name="_Toc216021117"/>
      <w:r w:rsidRPr="000A4838">
        <w:rPr>
          <w:rFonts w:ascii="Times New Roman" w:hAnsi="Times New Roman" w:cs="Times New Roman"/>
          <w:color w:val="auto"/>
          <w:sz w:val="24"/>
          <w:szCs w:val="24"/>
          <w:lang w:val="en-US"/>
        </w:rPr>
        <w:t>CVAE Architecture and Adaptive Training Strategy</w:t>
      </w:r>
      <w:bookmarkEnd w:id="147"/>
      <w:bookmarkEnd w:id="148"/>
      <w:bookmarkEnd w:id="149"/>
    </w:p>
    <w:p w:rsidR="007419CB" w:rsidRPr="00092C88" w:rsidRDefault="007419CB" w:rsidP="0021751D">
      <w:pPr>
        <w:spacing w:after="160" w:line="480" w:lineRule="auto"/>
        <w:rPr>
          <w:highlight w:val="yellow"/>
          <w:lang w:val="en-US"/>
        </w:rPr>
      </w:pPr>
      <w:r w:rsidRPr="00BB26E7">
        <w:rPr>
          <w:lang w:val="en-US"/>
        </w:rPr>
        <w:t>In designing the Conditional Variational Auto-Encoder (CVAE) for high-entropy single-phase alloy generation, the network topology was selected to balance sufficient representational capacity with computational tractability. Both the encoder and the decoder are implemented with two fully connected hidden layers.</w:t>
      </w:r>
      <w:r>
        <w:rPr>
          <w:lang w:val="en-US"/>
        </w:rPr>
        <w:t xml:space="preserve"> </w:t>
      </w:r>
      <w:r w:rsidRPr="000A4838">
        <w:rPr>
          <w:lang w:val="en-US"/>
        </w:rPr>
        <w:t xml:space="preserve">The first hidden layer contains 64 neurons, a choice motivated by the need to project the high‐dimensional (~100) input vector </w:t>
      </w:r>
      <m:oMath>
        <m:r>
          <m:rPr>
            <m:sty m:val="bi"/>
          </m:rPr>
          <w:rPr>
            <w:rFonts w:ascii="Cambria Math" w:hAnsi="Cambria Math"/>
            <w:lang w:val="en-US"/>
          </w:rPr>
          <m:t>X</m:t>
        </m:r>
      </m:oMath>
      <w:r w:rsidRPr="000A4838">
        <w:rPr>
          <w:lang w:val="en-US"/>
        </w:rPr>
        <w:t xml:space="preserve"> – comprising CLR‐transformed compositions, physicochemical descriptors, surrogate model predictions, and performance scores – into a more compact feature space without excessive compression loss. </w:t>
      </w:r>
      <w:r w:rsidRPr="00BB26E7">
        <w:rPr>
          <w:lang w:val="en-US"/>
        </w:rPr>
        <w:t>By keeping the layer size below the raw input dimensionality, the network is prevented from trivially memorizing the data and is instead encouraged to learn meaningful feature combinations.</w:t>
      </w:r>
    </w:p>
    <w:p w:rsidR="007419CB" w:rsidRPr="000A4838" w:rsidRDefault="007419CB" w:rsidP="0021751D">
      <w:pPr>
        <w:spacing w:after="160" w:line="480" w:lineRule="auto"/>
        <w:rPr>
          <w:rFonts w:eastAsia="Times New Roman" w:cs="Times New Roman"/>
          <w:szCs w:val="24"/>
          <w:lang w:val="en-US" w:eastAsia="fr-FR"/>
        </w:rPr>
      </w:pPr>
      <w:r w:rsidRPr="000A4838">
        <w:rPr>
          <w:rFonts w:eastAsia="Times New Roman" w:cs="Times New Roman"/>
          <w:szCs w:val="24"/>
          <w:lang w:val="en-US" w:eastAsia="fr-FR"/>
        </w:rPr>
        <w:t xml:space="preserve">The encoder and decoder each comprise two fully connected hidden layers with </w:t>
      </w:r>
      <w:proofErr w:type="spellStart"/>
      <w:r w:rsidRPr="000A4838">
        <w:rPr>
          <w:rFonts w:eastAsia="Times New Roman" w:cs="Times New Roman"/>
          <w:szCs w:val="24"/>
          <w:lang w:val="en-US" w:eastAsia="fr-FR"/>
        </w:rPr>
        <w:t>ReLU</w:t>
      </w:r>
      <w:proofErr w:type="spellEnd"/>
      <w:r w:rsidRPr="000A4838">
        <w:rPr>
          <w:rFonts w:eastAsia="Times New Roman" w:cs="Times New Roman"/>
          <w:szCs w:val="24"/>
          <w:lang w:val="en-US" w:eastAsia="fr-FR"/>
        </w:rPr>
        <w:t xml:space="preserve"> activations; only the encoder’s two output heads (the mean </w:t>
      </w:r>
      <m:oMath>
        <m:r>
          <m:rPr>
            <m:sty m:val="bi"/>
          </m:rPr>
          <w:rPr>
            <w:rFonts w:ascii="Cambria Math" w:hAnsi="Cambria Math"/>
            <w:lang w:val="en-US"/>
          </w:rPr>
          <m:t>μ</m:t>
        </m:r>
      </m:oMath>
      <w:r w:rsidRPr="000A4838">
        <w:rPr>
          <w:rFonts w:eastAsia="Times New Roman" w:cs="Times New Roman"/>
          <w:szCs w:val="24"/>
          <w:lang w:val="en-US" w:eastAsia="fr-FR"/>
        </w:rPr>
        <w:t xml:space="preserve"> and the log-variance </w:t>
      </w:r>
      <m:oMath>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p>
                  <m:sSupPr>
                    <m:ctrlPr>
                      <w:rPr>
                        <w:rFonts w:ascii="Cambria Math" w:hAnsi="Cambria Math"/>
                        <w:i/>
                        <w:lang w:val="en-US"/>
                      </w:rPr>
                    </m:ctrlPr>
                  </m:sSupPr>
                  <m:e>
                    <m:r>
                      <m:rPr>
                        <m:sty m:val="bi"/>
                      </m:rPr>
                      <w:rPr>
                        <w:rFonts w:ascii="Cambria Math" w:hAnsi="Cambria Math"/>
                        <w:lang w:val="en-US"/>
                      </w:rPr>
                      <m:t>σ</m:t>
                    </m:r>
                  </m:e>
                  <m:sup>
                    <m:r>
                      <w:rPr>
                        <w:rFonts w:ascii="Cambria Math" w:hAnsi="Cambria Math"/>
                        <w:lang w:val="en-US"/>
                      </w:rPr>
                      <m:t>2</m:t>
                    </m:r>
                  </m:sup>
                </m:sSup>
              </m:e>
            </m:d>
          </m:e>
        </m:func>
      </m:oMath>
      <w:r w:rsidRPr="000A4838">
        <w:rPr>
          <w:rFonts w:eastAsia="Times New Roman" w:cs="Times New Roman"/>
          <w:szCs w:val="24"/>
          <w:lang w:val="en-US" w:eastAsia="fr-FR"/>
        </w:rPr>
        <w:t xml:space="preserve">) and the decoder’s final layer are linear. The second hidden layer has 32 neurons, forming an </w:t>
      </w:r>
      <w:r w:rsidRPr="000A4838">
        <w:rPr>
          <w:rFonts w:eastAsia="Times New Roman" w:cs="Times New Roman"/>
          <w:szCs w:val="24"/>
          <w:lang w:val="en-US" w:eastAsia="fr-FR"/>
        </w:rPr>
        <w:lastRenderedPageBreak/>
        <w:t xml:space="preserve">additional bottleneck that encourages abstraction while retaining sufficient information for accurate reconstruction. From this layer, two parallel linear projections parameterize the latent Gaussian: one 16-dimensional vector for </w:t>
      </w:r>
      <m:oMath>
        <m:r>
          <m:rPr>
            <m:sty m:val="bi"/>
          </m:rPr>
          <w:rPr>
            <w:rFonts w:ascii="Cambria Math" w:hAnsi="Cambria Math"/>
            <w:lang w:val="en-US"/>
          </w:rPr>
          <m:t>μ</m:t>
        </m:r>
      </m:oMath>
      <w:r w:rsidRPr="000A4838">
        <w:rPr>
          <w:rFonts w:eastAsia="Times New Roman" w:cs="Times New Roman"/>
          <w:szCs w:val="24"/>
          <w:lang w:val="en-US" w:eastAsia="fr-FR"/>
        </w:rPr>
        <w:t xml:space="preserve"> and one 16-dimensional vector for </w:t>
      </w:r>
      <m:oMath>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p>
                  <m:sSupPr>
                    <m:ctrlPr>
                      <w:rPr>
                        <w:rFonts w:ascii="Cambria Math" w:hAnsi="Cambria Math"/>
                        <w:i/>
                        <w:lang w:val="en-US"/>
                      </w:rPr>
                    </m:ctrlPr>
                  </m:sSupPr>
                  <m:e>
                    <m:r>
                      <m:rPr>
                        <m:sty m:val="bi"/>
                      </m:rPr>
                      <w:rPr>
                        <w:rFonts w:ascii="Cambria Math" w:hAnsi="Cambria Math"/>
                        <w:lang w:val="en-US"/>
                      </w:rPr>
                      <m:t>σ</m:t>
                    </m:r>
                  </m:e>
                  <m:sup>
                    <m:r>
                      <w:rPr>
                        <w:rFonts w:ascii="Cambria Math" w:hAnsi="Cambria Math"/>
                        <w:lang w:val="en-US"/>
                      </w:rPr>
                      <m:t>2</m:t>
                    </m:r>
                  </m:sup>
                </m:sSup>
              </m:e>
            </m:d>
          </m:e>
        </m:func>
      </m:oMath>
      <w:r w:rsidRPr="000A4838">
        <w:rPr>
          <w:rFonts w:eastAsia="Times New Roman" w:cs="Times New Roman"/>
          <w:szCs w:val="24"/>
          <w:lang w:val="en-US" w:eastAsia="fr-FR"/>
        </w:rPr>
        <w:t xml:space="preserve">, yielding a latent variable </w:t>
      </w:r>
      <m:oMath>
        <m:r>
          <m:rPr>
            <m:sty m:val="bi"/>
          </m:rPr>
          <w:rPr>
            <w:rFonts w:ascii="Cambria Math" w:eastAsia="Times New Roman" w:hAnsi="Cambria Math" w:cs="Times New Roman"/>
            <w:szCs w:val="24"/>
            <w:lang w:val="en-US" w:eastAsia="fr-FR"/>
          </w:rPr>
          <m:t>z</m:t>
        </m:r>
        <m:r>
          <w:rPr>
            <w:rFonts w:ascii="Cambria Math" w:eastAsia="Times New Roman" w:hAnsi="Cambria Math" w:cs="Times New Roman"/>
            <w:szCs w:val="24"/>
            <w:lang w:val="en-US" w:eastAsia="fr-FR"/>
          </w:rPr>
          <m:t>∈</m:t>
        </m:r>
        <m:sSup>
          <m:sSupPr>
            <m:ctrlPr>
              <w:rPr>
                <w:rFonts w:ascii="Cambria Math" w:eastAsia="Times New Roman" w:hAnsi="Cambria Math" w:cs="Times New Roman"/>
                <w:i/>
                <w:szCs w:val="24"/>
                <w:lang w:val="en-US" w:eastAsia="fr-FR"/>
              </w:rPr>
            </m:ctrlPr>
          </m:sSupPr>
          <m:e>
            <m:r>
              <m:rPr>
                <m:scr m:val="double-struck"/>
              </m:rPr>
              <w:rPr>
                <w:rFonts w:ascii="Cambria Math" w:eastAsia="Times New Roman" w:hAnsi="Cambria Math" w:cs="Times New Roman"/>
                <w:szCs w:val="24"/>
                <w:lang w:val="en-US" w:eastAsia="fr-FR"/>
              </w:rPr>
              <m:t>R</m:t>
            </m:r>
          </m:e>
          <m:sup>
            <m:r>
              <w:rPr>
                <w:rFonts w:ascii="Cambria Math" w:eastAsia="Times New Roman" w:hAnsi="Cambria Math" w:cs="Times New Roman"/>
                <w:szCs w:val="24"/>
                <w:lang w:val="en-US" w:eastAsia="fr-FR"/>
              </w:rPr>
              <m:t>16</m:t>
            </m:r>
          </m:sup>
        </m:sSup>
      </m:oMath>
      <w:r w:rsidRPr="000A4838">
        <w:rPr>
          <w:rFonts w:eastAsia="Times New Roman" w:cs="Times New Roman"/>
          <w:szCs w:val="24"/>
          <w:lang w:val="en-US" w:eastAsia="fr-FR"/>
        </w:rPr>
        <w:t xml:space="preserve"> via the reparameterization trick.</w:t>
      </w:r>
    </w:p>
    <w:p w:rsidR="007419CB" w:rsidRPr="000A4838" w:rsidRDefault="007419CB" w:rsidP="0021751D">
      <w:pPr>
        <w:spacing w:after="160" w:line="480" w:lineRule="auto"/>
        <w:rPr>
          <w:rFonts w:eastAsia="Times New Roman" w:cs="Times New Roman"/>
          <w:szCs w:val="24"/>
          <w:lang w:val="en-US" w:eastAsia="fr-FR"/>
        </w:rPr>
      </w:pPr>
      <w:r w:rsidRPr="00BB26E7">
        <w:rPr>
          <w:rFonts w:eastAsia="Times New Roman" w:cs="Times New Roman"/>
          <w:szCs w:val="24"/>
          <w:lang w:val="en-US" w:eastAsia="fr-FR"/>
        </w:rPr>
        <w:t>A sweep over latent dimensionalities from 8 to 24 was performed, and a size of 16 was found to provide a balanced operating point.</w:t>
      </w:r>
      <w:r>
        <w:rPr>
          <w:rFonts w:eastAsia="Times New Roman" w:cs="Times New Roman"/>
          <w:szCs w:val="24"/>
          <w:lang w:val="en-US" w:eastAsia="fr-FR"/>
        </w:rPr>
        <w:t xml:space="preserve"> </w:t>
      </w:r>
      <w:r w:rsidRPr="000A4838">
        <w:rPr>
          <w:rFonts w:eastAsia="Times New Roman" w:cs="Times New Roman"/>
          <w:szCs w:val="24"/>
          <w:lang w:val="en-US" w:eastAsia="fr-FR"/>
        </w:rPr>
        <w:t>Very small latent dimensions degrade reconstruction and constrain generative diversity, whereas very large ones tend to erode KL regularization, encouraging memorization and a less smooth latent manifold. At 16 dimensions, the model achieves low reconstruction error while preserving a well-shaped, regularized latent space that supports robust sampling and property-conditioned generation.</w:t>
      </w:r>
    </w:p>
    <w:p w:rsidR="007419CB" w:rsidRPr="00BB26E7" w:rsidRDefault="007419CB" w:rsidP="0021751D">
      <w:pPr>
        <w:spacing w:after="160" w:line="480" w:lineRule="auto"/>
        <w:rPr>
          <w:lang w:val="en-US"/>
        </w:rPr>
      </w:pPr>
      <w:r w:rsidRPr="000A4838">
        <w:rPr>
          <w:lang w:val="en-US"/>
        </w:rPr>
        <w:t>Rather than relying on a fixed‐weight training loss, an adaptive training schedule</w:t>
      </w:r>
      <w:r w:rsidRPr="005D372F">
        <w:rPr>
          <w:lang w:val="en-US"/>
        </w:rPr>
        <w:t xml:space="preserve"> </w:t>
      </w:r>
      <w:r>
        <w:rPr>
          <w:lang w:val="en-US"/>
        </w:rPr>
        <w:t>was</w:t>
      </w:r>
      <w:r w:rsidRPr="000A4838">
        <w:rPr>
          <w:lang w:val="en-US"/>
        </w:rPr>
        <w:t xml:space="preserve"> implemented to guide the CVAE through successive learning phases</w:t>
      </w:r>
      <w:r>
        <w:rPr>
          <w:lang w:val="en-US"/>
        </w:rPr>
        <w:t xml:space="preserve"> (a strategy to improve convergence inspired from successful attempts of other researchers </w:t>
      </w:r>
      <w:r>
        <w:rPr>
          <w:lang w:val="en-US"/>
        </w:rPr>
        <w:fldChar w:fldCharType="begin"/>
      </w:r>
      <w:r w:rsidR="00B77C17">
        <w:rPr>
          <w:lang w:val="en-US"/>
        </w:rPr>
        <w:instrText xml:space="preserve"> ADDIN ZOTERO_ITEM CSL_CITATION {"citationID":"zIiUNrZW","properties":{"formattedCitation":"\\super 81,82\\nosupersub{}","plainCitation":"81,82","noteIndex":0},"citationItems":[{"id":591,"uris":["http://zotero.org/users/local/hYny5ca1/items/DAJQZKAS"],"itemData":{"id":591,"type":"article-journal","abstract":"Designing organic fluorescent molecules with tailored optical properties has been a long-standing challenge. Recently, statistical models have opened new avenues for tackling this problem. Inverse design has attracted considerable attention in organic materials\nscience; however, most existing approaches focus on arbitrary design or theoretical properties. Here, we introduce a strategy that enables the direct optimization of specific experimental properties during the inverse design process. Our method employs an adaptive β-variational autoencoder (adaptive β-VAE) combined with a latent vector-based\nprediction model. By dynamically tuning the Kullback–Leibler\ndivergence scaling factor (β) and employing a separate training\nstrategy, we enhance both the robustness of the generator and the diversity of the generated molecules. We demonstrate that latent\nvectors from the adaptive β-VAE serve as powerful inputs for\ndownstream prediction models of experimental properties, such as\nfluorescence energy and quantum yield. Our optimized search framework for organic fluorescent materialsguided by gradients in latent space and validated by newly synthesized molecules sampled from optimal regions in the high-dimensional spaceshows strong potential for\nbroader applications in the design of diverse organic materials.","archive":"Crossref","container-title":"JACS Au","DOI":"10.1021/jacsau.5c00052","ISSN":"2691-3704","issue":"7","journalAbbreviation":"JACS Au","language":"en","page":"3082-3091","title":"Exploring Optimized Organic Fluorophore Search through Experimental Data-Driven Adaptive β-VAE","volume":"5","author":[{"family":"Xu","given":"Yuzhi"},{"family":"Luo","given":"Yongrui"},{"family":"Li","given":"Bo"},{"family":"Jiang","given":"Weikang"},{"family":"Zhang","given":"Jinyu"},{"family":"Wei","given":"Jiangbo"},{"family":"Bai","given":"Hanzhi"},{"family":"Wang","given":"Zhiqiang"},{"family":"Ge","given":"Jiankai"},{"family":"Lin","given":"Ruiming"},{"family":"Mi","given":"Zehan"},{"family":"Zhang","given":"Haozhe"},{"family":"Tang","given":"Yifeng"},{"family":"Jones","given":"Michael S."},{"family":"Li","given":"Xiaotian"},{"family":"Zhang","given":"John Z.H."},{"family":"Ju","given":"Cheng-Wei"}],"issued":{"date-parts":[["2025",6,30]]}},"label":"page"},{"id":586,"uris":["http://zotero.org/users/local/hYny5ca1/items/NR3IH2SU"],"itemData":{"id":586,"type":"article-journal","container-title":"Arxiv","journalAbbreviation":"Arxiv","title":"Ladder Variational Autoencoders","author":[{"family":"Sønderby","given":"Casper"},{"family":"Raiko","given":"Tapani"},{"family":"Maaløe","given":"Lars"},{"family":"Sønderby","given":"Søren"},{"family":"Winther","given":"Ole"}],"issued":{"date-parts":[["2016",2,1]]}},"label":"page"}],"schema":"https://github.com/citation-style-language/schema/raw/master/csl-citation.json"} </w:instrText>
      </w:r>
      <w:r>
        <w:rPr>
          <w:lang w:val="en-US"/>
        </w:rPr>
        <w:fldChar w:fldCharType="separate"/>
      </w:r>
      <w:r w:rsidR="00B77C17" w:rsidRPr="00B77C17">
        <w:rPr>
          <w:rFonts w:cs="Times New Roman"/>
          <w:szCs w:val="24"/>
          <w:vertAlign w:val="superscript"/>
          <w:lang w:val="en-US"/>
        </w:rPr>
        <w:t>81,82</w:t>
      </w:r>
      <w:r>
        <w:rPr>
          <w:lang w:val="en-US"/>
        </w:rPr>
        <w:fldChar w:fldCharType="end"/>
      </w:r>
      <w:r>
        <w:rPr>
          <w:lang w:val="en-US"/>
        </w:rPr>
        <w:t>)</w:t>
      </w:r>
      <w:r w:rsidRPr="000A4838">
        <w:rPr>
          <w:lang w:val="en-US"/>
        </w:rPr>
        <w:t xml:space="preserve">. At the outset, only the reconstruction loss </w:t>
      </w:r>
      <w:r w:rsidRPr="00BB26E7">
        <w:rPr>
          <w:lang w:val="en-US"/>
        </w:rPr>
        <w:t xml:space="preserve">is active. In this “warm‐up” period, the network </w:t>
      </w:r>
      <w:r>
        <w:rPr>
          <w:lang w:val="en-US"/>
        </w:rPr>
        <w:t xml:space="preserve">is trained </w:t>
      </w:r>
      <w:r w:rsidRPr="00BB26E7">
        <w:rPr>
          <w:lang w:val="en-US"/>
        </w:rPr>
        <w:t xml:space="preserve">exclusively to minimize mean squared error between each input vector </w:t>
      </w:r>
      <m:oMath>
        <m:r>
          <m:rPr>
            <m:sty m:val="bi"/>
          </m:rPr>
          <w:rPr>
            <w:rFonts w:ascii="Cambria Math" w:hAnsi="Cambria Math"/>
            <w:lang w:val="en-US"/>
          </w:rPr>
          <m:t>X</m:t>
        </m:r>
      </m:oMath>
      <w:r w:rsidRPr="00BB26E7">
        <w:rPr>
          <w:lang w:val="en-US"/>
        </w:rPr>
        <w:t xml:space="preserve"> and i</w:t>
      </w:r>
      <w:proofErr w:type="spellStart"/>
      <w:r w:rsidRPr="00BB26E7">
        <w:rPr>
          <w:lang w:val="en-US"/>
        </w:rPr>
        <w:t>ts</w:t>
      </w:r>
      <w:proofErr w:type="spellEnd"/>
      <w:r w:rsidRPr="00BB26E7">
        <w:rPr>
          <w:lang w:val="en-US"/>
        </w:rPr>
        <w:t xml:space="preserve"> reconstruction </w:t>
      </w:r>
      <m:oMath>
        <m:acc>
          <m:accPr>
            <m:ctrlPr>
              <w:rPr>
                <w:rFonts w:ascii="Cambria Math" w:hAnsi="Cambria Math"/>
                <w:b/>
                <w:i/>
                <w:lang w:val="en-US"/>
              </w:rPr>
            </m:ctrlPr>
          </m:accPr>
          <m:e>
            <m:r>
              <m:rPr>
                <m:sty m:val="bi"/>
              </m:rPr>
              <w:rPr>
                <w:rFonts w:ascii="Cambria Math" w:hAnsi="Cambria Math"/>
                <w:lang w:val="en-US"/>
              </w:rPr>
              <m:t>X</m:t>
            </m:r>
          </m:e>
        </m:acc>
      </m:oMath>
      <w:r w:rsidRPr="00BB26E7">
        <w:rPr>
          <w:lang w:val="en-US"/>
        </w:rPr>
        <w:t xml:space="preserve">, allowing the encoder–decoder pipeline to establish a baseline mapping without the pressure to regularize the latent distribution. After a preset number of epochs, the Kullback–Leibler (KL) divergence term is introduced with a small initial weight </w:t>
      </w:r>
      <m:oMath>
        <m:r>
          <w:rPr>
            <w:rFonts w:ascii="Cambria Math" w:hAnsi="Cambria Math"/>
            <w:lang w:val="en-US"/>
          </w:rPr>
          <m:t>β</m:t>
        </m:r>
      </m:oMath>
      <w:r w:rsidRPr="00BB26E7">
        <w:rPr>
          <w:lang w:val="en-US"/>
        </w:rPr>
        <w:t>. Over subsequent epochs</w:t>
      </w:r>
      <w:r w:rsidRPr="000A4838">
        <w:rPr>
          <w:lang w:val="en-US"/>
        </w:rPr>
        <w:t xml:space="preserve">, </w:t>
      </w:r>
      <m:oMath>
        <m:r>
          <w:rPr>
            <w:rFonts w:ascii="Cambria Math" w:hAnsi="Cambria Math"/>
            <w:lang w:val="en-US"/>
          </w:rPr>
          <m:t>β</m:t>
        </m:r>
      </m:oMath>
      <w:r w:rsidRPr="000A4838">
        <w:rPr>
          <w:lang w:val="en-US"/>
        </w:rPr>
        <w:t xml:space="preserve"> is increased linearly (as a percentage of its target value) until the average KL loss stabilizes around 0.1 – a value </w:t>
      </w:r>
      <w:r w:rsidRPr="000A4838">
        <w:rPr>
          <w:u w:val="single"/>
          <w:lang w:val="en-US"/>
        </w:rPr>
        <w:t>empirically</w:t>
      </w:r>
      <w:r w:rsidRPr="000A4838">
        <w:rPr>
          <w:lang w:val="en-US"/>
        </w:rPr>
        <w:t xml:space="preserve"> shown to produce a well‐shaped Gaussian latent manifold </w:t>
      </w:r>
      <w:r w:rsidRPr="00BB26E7">
        <w:rPr>
          <w:lang w:val="en-US"/>
        </w:rPr>
        <w:t>without collapsing the encoder’s output onto the prior.</w:t>
      </w:r>
    </w:p>
    <w:p w:rsidR="007419CB" w:rsidRPr="00BB26E7" w:rsidRDefault="007419CB" w:rsidP="0021751D">
      <w:pPr>
        <w:spacing w:after="160" w:line="480" w:lineRule="auto"/>
        <w:rPr>
          <w:lang w:val="en-US"/>
        </w:rPr>
      </w:pPr>
      <w:r w:rsidRPr="00BB26E7">
        <w:rPr>
          <w:lang w:val="en-US"/>
        </w:rPr>
        <w:t xml:space="preserve">Once the KL term is stabilized, an entropic regularization loss is introduced, weighted by a factor </w:t>
      </w:r>
      <m:oMath>
        <m:r>
          <w:rPr>
            <w:rFonts w:ascii="Cambria Math" w:hAnsi="Cambria Math"/>
            <w:lang w:val="en-US"/>
          </w:rPr>
          <m:t>γ</m:t>
        </m:r>
      </m:oMath>
      <w:r w:rsidRPr="00BB26E7">
        <w:rPr>
          <w:lang w:val="en-US"/>
        </w:rPr>
        <w:t>, to remain in the HESA entropy range in the decoder’s outputs:</w:t>
      </w:r>
    </w:p>
    <w:p w:rsidR="007419CB" w:rsidRPr="000A4838" w:rsidRDefault="007419CB" w:rsidP="0021751D">
      <w:pPr>
        <w:spacing w:after="160" w:line="480" w:lineRule="auto"/>
        <w:rPr>
          <w:lang w:val="en-US"/>
        </w:rPr>
      </w:pPr>
      <m:oMathPara>
        <m:oMath>
          <m:r>
            <m:rPr>
              <m:scr m:val="script"/>
            </m:rPr>
            <w:rPr>
              <w:rFonts w:ascii="Cambria Math" w:hAnsi="Cambria Math"/>
              <w:lang w:val="en-US"/>
            </w:rPr>
            <m:t>L=</m:t>
          </m:r>
          <m:sSub>
            <m:sSubPr>
              <m:ctrlPr>
                <w:rPr>
                  <w:rFonts w:ascii="Cambria Math" w:hAnsi="Cambria Math"/>
                  <w:i/>
                  <w:lang w:val="en-US"/>
                </w:rPr>
              </m:ctrlPr>
            </m:sSubPr>
            <m:e>
              <m:r>
                <m:rPr>
                  <m:scr m:val="script"/>
                </m:rPr>
                <w:rPr>
                  <w:rFonts w:ascii="Cambria Math" w:hAnsi="Cambria Math"/>
                  <w:lang w:val="en-US"/>
                </w:rPr>
                <m:t>L</m:t>
              </m:r>
            </m:e>
            <m:sub>
              <m:r>
                <m:rPr>
                  <m:sty m:val="p"/>
                </m:rPr>
                <w:rPr>
                  <w:rFonts w:ascii="Cambria Math" w:hAnsi="Cambria Math"/>
                  <w:lang w:val="en-US"/>
                </w:rPr>
                <m:t>recon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r>
                <m:rPr>
                  <m:scr m:val="script"/>
                </m:rPr>
                <w:rPr>
                  <w:rFonts w:ascii="Cambria Math" w:hAnsi="Cambria Math"/>
                  <w:lang w:val="en-US"/>
                </w:rPr>
                <m:t>L</m:t>
              </m:r>
            </m:e>
            <m:sub>
              <m:r>
                <w:rPr>
                  <w:rFonts w:ascii="Cambria Math" w:hAnsi="Cambria Math"/>
                  <w:lang w:val="en-US"/>
                </w:rPr>
                <m:t>KL</m:t>
              </m:r>
            </m:sub>
          </m:sSub>
          <m:r>
            <w:rPr>
              <w:rFonts w:ascii="Cambria Math" w:hAnsi="Cambria Math"/>
              <w:lang w:val="en-US"/>
            </w:rPr>
            <m:t>+γ</m:t>
          </m:r>
          <m:sSub>
            <m:sSubPr>
              <m:ctrlPr>
                <w:rPr>
                  <w:rFonts w:ascii="Cambria Math" w:hAnsi="Cambria Math"/>
                  <w:i/>
                  <w:lang w:val="en-US"/>
                </w:rPr>
              </m:ctrlPr>
            </m:sSubPr>
            <m:e>
              <m:r>
                <m:rPr>
                  <m:scr m:val="script"/>
                </m:rPr>
                <w:rPr>
                  <w:rFonts w:ascii="Cambria Math" w:hAnsi="Cambria Math"/>
                  <w:lang w:val="en-US"/>
                </w:rPr>
                <m:t>L</m:t>
              </m:r>
            </m:e>
            <m:sub>
              <m:r>
                <m:rPr>
                  <m:sty m:val="p"/>
                </m:rPr>
                <w:rPr>
                  <w:rFonts w:ascii="Cambria Math" w:hAnsi="Cambria Math"/>
                  <w:lang w:val="en-US"/>
                </w:rPr>
                <m:t>entropy</m:t>
              </m:r>
            </m:sub>
          </m:sSub>
        </m:oMath>
      </m:oMathPara>
    </w:p>
    <w:p w:rsidR="007419CB" w:rsidRPr="000A4838" w:rsidRDefault="007419CB" w:rsidP="0021751D">
      <w:pPr>
        <w:spacing w:after="160" w:line="480" w:lineRule="auto"/>
        <w:rPr>
          <w:lang w:val="en-US"/>
        </w:rPr>
      </w:pPr>
      <w:r w:rsidRPr="000A4838">
        <w:rPr>
          <w:lang w:val="en-US"/>
        </w:rPr>
        <w:lastRenderedPageBreak/>
        <w:t xml:space="preserve">This loss penalizes random entropies, effectively enforcing a target latent‐space entropy to remain approximatively in a </w:t>
      </w:r>
      <m:oMath>
        <m:d>
          <m:dPr>
            <m:begChr m:val="["/>
            <m:endChr m:val="]"/>
            <m:ctrlPr>
              <w:rPr>
                <w:rFonts w:ascii="Cambria Math" w:hAnsi="Cambria Math"/>
                <w:i/>
                <w:lang w:val="en-US"/>
              </w:rPr>
            </m:ctrlPr>
          </m:dPr>
          <m:e>
            <m:r>
              <w:rPr>
                <w:rFonts w:ascii="Cambria Math" w:hAnsi="Cambria Math"/>
                <w:lang w:val="en-US"/>
              </w:rPr>
              <m:t>1.2,2.2</m:t>
            </m:r>
          </m:e>
        </m:d>
      </m:oMath>
      <w:r w:rsidRPr="000A4838">
        <w:rPr>
          <w:lang w:val="en-US"/>
        </w:rPr>
        <w:t xml:space="preserve"> range. The schedule for </w:t>
      </w:r>
      <m:oMath>
        <m:r>
          <w:rPr>
            <w:rFonts w:ascii="Cambria Math" w:hAnsi="Cambria Math"/>
            <w:lang w:val="en-US"/>
          </w:rPr>
          <m:t>γ</m:t>
        </m:r>
      </m:oMath>
      <w:r w:rsidRPr="000A4838">
        <w:rPr>
          <w:lang w:val="en-US"/>
        </w:rPr>
        <w:t xml:space="preserve"> mirrors that of </w:t>
      </w:r>
      <m:oMath>
        <m:r>
          <w:rPr>
            <w:rFonts w:ascii="Cambria Math" w:hAnsi="Cambria Math"/>
            <w:lang w:val="en-US"/>
          </w:rPr>
          <m:t>β</m:t>
        </m:r>
      </m:oMath>
      <w:r w:rsidRPr="000A4838">
        <w:rPr>
          <w:lang w:val="en-US"/>
        </w:rPr>
        <w:t xml:space="preserve">: it ramps up gradually until the measured entropy of the encoded distributions falls within a narrow window around the target. Both </w:t>
      </w:r>
      <m:oMath>
        <m:r>
          <w:rPr>
            <w:rFonts w:ascii="Cambria Math" w:hAnsi="Cambria Math"/>
            <w:lang w:val="en-US"/>
          </w:rPr>
          <m:t>β</m:t>
        </m:r>
      </m:oMath>
      <w:r w:rsidRPr="000A4838">
        <w:rPr>
          <w:lang w:val="en-US"/>
        </w:rPr>
        <w:t xml:space="preserve"> and </w:t>
      </w:r>
      <m:oMath>
        <m:r>
          <w:rPr>
            <w:rFonts w:ascii="Cambria Math" w:hAnsi="Cambria Math"/>
            <w:lang w:val="en-US"/>
          </w:rPr>
          <m:t>γ</m:t>
        </m:r>
      </m:oMath>
      <w:r w:rsidRPr="000A4838">
        <w:rPr>
          <w:lang w:val="en-US"/>
        </w:rPr>
        <w:t xml:space="preserve"> schedules are defined in </w:t>
      </w:r>
      <w:r w:rsidRPr="000A4838">
        <w:rPr>
          <w:bCs/>
          <w:lang w:val="en-US"/>
        </w:rPr>
        <w:t>the script</w:t>
      </w:r>
      <w:r w:rsidRPr="000A4838">
        <w:rPr>
          <w:lang w:val="en-US"/>
        </w:rPr>
        <w:t>, allowing reproducible experiments and easy adjustment.</w:t>
      </w:r>
    </w:p>
    <w:p w:rsidR="007419CB" w:rsidRPr="000A4838" w:rsidRDefault="007419CB" w:rsidP="0021751D">
      <w:pPr>
        <w:spacing w:after="160" w:line="480" w:lineRule="auto"/>
        <w:rPr>
          <w:lang w:val="en-US"/>
        </w:rPr>
      </w:pPr>
      <w:r w:rsidRPr="000A4838">
        <w:rPr>
          <w:lang w:val="en-US"/>
        </w:rPr>
        <w:t xml:space="preserve">With a stable latent </w:t>
      </w:r>
      <w:r w:rsidRPr="00024FDB">
        <w:rPr>
          <w:lang w:val="en-US"/>
        </w:rPr>
        <w:t>manifold (</w:t>
      </w:r>
      <m:oMath>
        <m:sSub>
          <m:sSubPr>
            <m:ctrlPr>
              <w:rPr>
                <w:rFonts w:ascii="Cambria Math" w:hAnsi="Cambria Math"/>
                <w:i/>
                <w:lang w:val="en-US"/>
              </w:rPr>
            </m:ctrlPr>
          </m:sSubPr>
          <m:e>
            <m:r>
              <m:rPr>
                <m:scr m:val="script"/>
              </m:rPr>
              <w:rPr>
                <w:rFonts w:ascii="Cambria Math" w:hAnsi="Cambria Math"/>
                <w:lang w:val="en-US"/>
              </w:rPr>
              <m:t>L</m:t>
            </m:r>
          </m:e>
          <m:sub>
            <m:r>
              <m:rPr>
                <m:sty m:val="p"/>
              </m:rPr>
              <w:rPr>
                <w:rFonts w:ascii="Cambria Math" w:hAnsi="Cambria Math"/>
                <w:lang w:val="en-US"/>
              </w:rPr>
              <m:t>recon</m:t>
            </m:r>
          </m:sub>
        </m:sSub>
      </m:oMath>
      <w:r w:rsidRPr="00024FDB">
        <w:rPr>
          <w:rFonts w:eastAsiaTheme="minorEastAsia"/>
          <w:lang w:val="en-US"/>
        </w:rPr>
        <w:t>&lt;</w:t>
      </w:r>
      <w:r w:rsidRPr="00024FDB">
        <w:rPr>
          <w:rFonts w:ascii="Courier New" w:eastAsiaTheme="minorEastAsia" w:hAnsi="Courier New" w:cs="Courier New"/>
          <w:sz w:val="20"/>
          <w:szCs w:val="20"/>
          <w:lang w:val="en-US"/>
        </w:rPr>
        <w:t>RECON_THRESHOLD</w:t>
      </w:r>
      <w:r w:rsidRPr="00024FDB">
        <w:rPr>
          <w:lang w:val="en-US"/>
        </w:rPr>
        <w:t>) and controlled entropy (</w:t>
      </w:r>
      <m:oMath>
        <m:sSub>
          <m:sSubPr>
            <m:ctrlPr>
              <w:rPr>
                <w:rFonts w:ascii="Cambria Math" w:hAnsi="Cambria Math"/>
                <w:i/>
                <w:lang w:val="en-US"/>
              </w:rPr>
            </m:ctrlPr>
          </m:sSubPr>
          <m:e>
            <m:r>
              <m:rPr>
                <m:scr m:val="script"/>
              </m:rPr>
              <w:rPr>
                <w:rFonts w:ascii="Cambria Math" w:hAnsi="Cambria Math"/>
                <w:lang w:val="en-US"/>
              </w:rPr>
              <m:t>L</m:t>
            </m:r>
          </m:e>
          <m:sub>
            <m:r>
              <w:rPr>
                <w:rFonts w:ascii="Cambria Math" w:hAnsi="Cambria Math"/>
                <w:lang w:val="en-US"/>
              </w:rPr>
              <m:t>KL</m:t>
            </m:r>
          </m:sub>
        </m:sSub>
      </m:oMath>
      <w:r w:rsidRPr="00024FDB">
        <w:rPr>
          <w:rFonts w:eastAsiaTheme="minorEastAsia"/>
          <w:lang w:val="en-US"/>
        </w:rPr>
        <w:t>&lt;</w:t>
      </w:r>
      <w:r w:rsidRPr="00024FDB">
        <w:rPr>
          <w:rFonts w:ascii="Courier New" w:eastAsiaTheme="minorEastAsia" w:hAnsi="Courier New" w:cs="Courier New"/>
          <w:sz w:val="20"/>
          <w:szCs w:val="20"/>
          <w:lang w:val="en-US"/>
        </w:rPr>
        <w:t>KL_THRESHOLD</w:t>
      </w:r>
      <w:r w:rsidRPr="00024FDB">
        <w:rPr>
          <w:lang w:val="en-US"/>
        </w:rPr>
        <w:t>), a reward term is then added into the loss function to bias generation toward high‐scoring alloys. Th</w:t>
      </w:r>
      <w:r w:rsidRPr="000A4838">
        <w:rPr>
          <w:lang w:val="en-US"/>
        </w:rPr>
        <w:t xml:space="preserve">is reward is computed as </w:t>
      </w:r>
      <m:oMath>
        <m:sSub>
          <m:sSubPr>
            <m:ctrlPr>
              <w:rPr>
                <w:rFonts w:ascii="Cambria Math" w:hAnsi="Cambria Math"/>
                <w:i/>
                <w:lang w:val="en-US"/>
              </w:rPr>
            </m:ctrlPr>
          </m:sSubPr>
          <m:e>
            <m:r>
              <m:rPr>
                <m:scr m:val="script"/>
              </m:rPr>
              <w:rPr>
                <w:rFonts w:ascii="Cambria Math" w:hAnsi="Cambria Math"/>
                <w:lang w:val="en-US"/>
              </w:rPr>
              <m:t>L</m:t>
            </m:r>
          </m:e>
          <m:sub>
            <m:r>
              <m:rPr>
                <m:sty m:val="p"/>
              </m:rPr>
              <w:rPr>
                <w:rFonts w:ascii="Cambria Math" w:hAnsi="Cambria Math"/>
                <w:lang w:val="en-US"/>
              </w:rPr>
              <m:t>reward</m:t>
            </m:r>
          </m:sub>
        </m:sSub>
        <m:r>
          <w:rPr>
            <w:rFonts w:ascii="Cambria Math" w:hAnsi="Cambria Math"/>
            <w:lang w:val="en-US"/>
          </w:rPr>
          <m:t>=-</m:t>
        </m:r>
        <m:d>
          <m:dPr>
            <m:begChr m:val="〈"/>
            <m:endChr m:val="〉"/>
            <m:ctrlPr>
              <w:rPr>
                <w:rFonts w:ascii="Cambria Math" w:hAnsi="Cambria Math"/>
                <w:i/>
                <w:lang w:val="en-US"/>
              </w:rPr>
            </m:ctrlPr>
          </m:dPr>
          <m:e>
            <m:r>
              <m:rPr>
                <m:sty m:val="bi"/>
              </m:rPr>
              <w:rPr>
                <w:rFonts w:ascii="Cambria Math" w:hAnsi="Cambria Math"/>
                <w:lang w:val="en-US"/>
              </w:rPr>
              <m:t>α</m:t>
            </m:r>
            <m:r>
              <w:rPr>
                <w:rFonts w:ascii="Cambria Math" w:hAnsi="Cambria Math"/>
                <w:lang w:val="en-US"/>
              </w:rPr>
              <m:t>,</m:t>
            </m:r>
            <m:r>
              <m:rPr>
                <m:sty m:val="bi"/>
              </m:rPr>
              <w:rPr>
                <w:rFonts w:ascii="Cambria Math" w:hAnsi="Cambria Math"/>
                <w:lang w:val="en-US"/>
              </w:rPr>
              <m:t>g</m:t>
            </m:r>
          </m:e>
        </m:d>
      </m:oMath>
      <w:r w:rsidRPr="000A4838">
        <w:rPr>
          <w:lang w:val="en-US"/>
        </w:rPr>
        <w:t xml:space="preserve">, where </w:t>
      </w:r>
      <m:oMath>
        <m:f>
          <m:fPr>
            <m:type m:val="lin"/>
            <m:ctrlPr>
              <w:rPr>
                <w:rFonts w:ascii="Cambria Math" w:hAnsi="Cambria Math"/>
                <w:b/>
                <w:i/>
                <w:lang w:val="en-US"/>
              </w:rPr>
            </m:ctrlPr>
          </m:fPr>
          <m:num>
            <m:r>
              <m:rPr>
                <m:sty m:val="bi"/>
              </m:rPr>
              <w:rPr>
                <w:rFonts w:ascii="Cambria Math" w:hAnsi="Cambria Math"/>
                <w:lang w:val="en-US"/>
              </w:rPr>
              <m:t>α</m:t>
            </m:r>
          </m:num>
          <m:den>
            <m:d>
              <m:dPr>
                <m:begChr m:val="‖"/>
                <m:endChr m:val="‖"/>
                <m:ctrlPr>
                  <w:rPr>
                    <w:rFonts w:ascii="Cambria Math" w:hAnsi="Cambria Math"/>
                    <w:b/>
                    <w:i/>
                    <w:lang w:val="en-US"/>
                  </w:rPr>
                </m:ctrlPr>
              </m:dPr>
              <m:e>
                <m:r>
                  <m:rPr>
                    <m:sty m:val="bi"/>
                  </m:rPr>
                  <w:rPr>
                    <w:rFonts w:ascii="Cambria Math" w:hAnsi="Cambria Math"/>
                    <w:lang w:val="en-US"/>
                  </w:rPr>
                  <m:t>α</m:t>
                </m:r>
              </m:e>
            </m:d>
          </m:den>
        </m:f>
      </m:oMath>
      <w:r w:rsidRPr="000A4838">
        <w:rPr>
          <w:lang w:val="en-US"/>
        </w:rPr>
        <w:t xml:space="preserve"> ​is the fixed ponderation vector – several runs with different ponderations were conducted to explore spaces c</w:t>
      </w:r>
      <w:proofErr w:type="spellStart"/>
      <w:r w:rsidRPr="000A4838">
        <w:rPr>
          <w:lang w:val="en-US"/>
        </w:rPr>
        <w:t>orresponding</w:t>
      </w:r>
      <w:proofErr w:type="spellEnd"/>
      <w:r w:rsidRPr="000A4838">
        <w:rPr>
          <w:lang w:val="en-US"/>
        </w:rPr>
        <w:t xml:space="preserve"> to different </w:t>
      </w:r>
      <w:proofErr w:type="spellStart"/>
      <w:r w:rsidRPr="000A4838">
        <w:rPr>
          <w:lang w:val="en-US"/>
        </w:rPr>
        <w:t>priorizations</w:t>
      </w:r>
      <w:proofErr w:type="spellEnd"/>
      <w:r w:rsidRPr="000A4838">
        <w:rPr>
          <w:lang w:val="en-US"/>
        </w:rPr>
        <w:t xml:space="preserve">. The factor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0A4838">
        <w:rPr>
          <w:lang w:val="en-US"/>
        </w:rPr>
        <w:t xml:space="preserve"> begins at zero and increases incrementally with each epoch. At every training step, if the current model’s reward exceeds a predefined threshold, an active‐learning subroutine</w:t>
      </w:r>
      <w:r>
        <w:rPr>
          <w:lang w:val="en-US"/>
        </w:rPr>
        <w:t xml:space="preserve"> described in subsection </w:t>
      </w:r>
      <w:r>
        <w:rPr>
          <w:lang w:val="en-US"/>
        </w:rPr>
        <w:fldChar w:fldCharType="begin"/>
      </w:r>
      <w:r>
        <w:rPr>
          <w:lang w:val="en-US"/>
        </w:rPr>
        <w:instrText xml:space="preserve"> REF _Ref205244214 \n \h </w:instrText>
      </w:r>
      <w:r w:rsidR="0021751D">
        <w:rPr>
          <w:lang w:val="en-US"/>
        </w:rPr>
        <w:instrText xml:space="preserve"> \* MERGEFORMAT </w:instrText>
      </w:r>
      <w:r>
        <w:rPr>
          <w:lang w:val="en-US"/>
        </w:rPr>
      </w:r>
      <w:r>
        <w:rPr>
          <w:lang w:val="en-US"/>
        </w:rPr>
        <w:fldChar w:fldCharType="separate"/>
      </w:r>
      <w:r w:rsidR="00380C88">
        <w:rPr>
          <w:lang w:val="en-US"/>
        </w:rPr>
        <w:t>4.3</w:t>
      </w:r>
      <w:r>
        <w:rPr>
          <w:lang w:val="en-US"/>
        </w:rPr>
        <w:fldChar w:fldCharType="end"/>
      </w:r>
      <w:r w:rsidRPr="000A4838">
        <w:rPr>
          <w:lang w:val="en-US"/>
        </w:rPr>
        <w:t xml:space="preserve"> </w:t>
      </w:r>
      <w:r>
        <w:rPr>
          <w:lang w:val="en-US"/>
        </w:rPr>
        <w:t>is</w:t>
      </w:r>
      <w:r w:rsidRPr="000A4838">
        <w:rPr>
          <w:lang w:val="en-US"/>
        </w:rPr>
        <w:t xml:space="preserve"> trigger</w:t>
      </w:r>
      <w:r>
        <w:rPr>
          <w:lang w:val="en-US"/>
        </w:rPr>
        <w:t>ed</w:t>
      </w:r>
      <w:r w:rsidRPr="000A4838">
        <w:rPr>
          <w:lang w:val="en-US"/>
        </w:rPr>
        <w:t xml:space="preserve"> to generate a batch of candidate compositions. Each candidate is decoded under the fixed condition vector </w:t>
      </w:r>
      <w:r w:rsidRPr="000A4838">
        <w:rPr>
          <w:b/>
          <w:i/>
          <w:lang w:val="en-US"/>
        </w:rPr>
        <w:t>Y</w:t>
      </w:r>
      <w:r w:rsidRPr="000A4838">
        <w:rPr>
          <w:lang w:val="en-US"/>
        </w:rPr>
        <w:t>, then subjected to an entropic viability filter and rescored via the surrogate property models.</w:t>
      </w:r>
    </w:p>
    <w:p w:rsidR="007419CB" w:rsidRPr="000A4838" w:rsidRDefault="007419CB" w:rsidP="0021751D">
      <w:pPr>
        <w:spacing w:after="160" w:line="480" w:lineRule="auto"/>
        <w:rPr>
          <w:lang w:val="en-US"/>
        </w:rPr>
      </w:pPr>
      <w:r w:rsidRPr="000A4838">
        <w:rPr>
          <w:lang w:val="en-US"/>
        </w:rPr>
        <w:t xml:space="preserve">If any candidates pass the per‐score threshold </w:t>
      </w:r>
      <m:oMath>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&gt;0.3</m:t>
        </m:r>
      </m:oMath>
      <w:r w:rsidRPr="000A4838">
        <w:rPr>
          <w:lang w:val="en-US"/>
        </w:rPr>
        <w:t xml:space="preserve">,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0A4838">
        <w:rPr>
          <w:lang w:val="en-US"/>
        </w:rPr>
        <w:t xml:space="preserve"> </w:t>
      </w:r>
      <w:r>
        <w:rPr>
          <w:lang w:val="en-US"/>
        </w:rPr>
        <w:t>is</w:t>
      </w:r>
      <w:r w:rsidRPr="000A4838">
        <w:rPr>
          <w:lang w:val="en-US"/>
        </w:rPr>
        <w:t xml:space="preserve"> further increase</w:t>
      </w:r>
      <w:r>
        <w:rPr>
          <w:lang w:val="en-US"/>
        </w:rPr>
        <w:t>d</w:t>
      </w:r>
      <w:r w:rsidRPr="000A4838">
        <w:rPr>
          <w:lang w:val="en-US"/>
        </w:rPr>
        <w:t xml:space="preserve"> to intensify the reward signal and accelerate exploration of that high‐performance subspace. Conversely, if no candidates survive the filters,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0A4838">
        <w:rPr>
          <w:lang w:val="en-US"/>
        </w:rPr>
        <w:t xml:space="preserve"> </w:t>
      </w:r>
      <w:r>
        <w:rPr>
          <w:lang w:val="en-US"/>
        </w:rPr>
        <w:t>is</w:t>
      </w:r>
      <w:r w:rsidRPr="000A4838">
        <w:rPr>
          <w:lang w:val="en-US"/>
        </w:rPr>
        <w:t xml:space="preserve"> reduce</w:t>
      </w:r>
      <w:r>
        <w:rPr>
          <w:lang w:val="en-US"/>
        </w:rPr>
        <w:t>d</w:t>
      </w:r>
      <w:r w:rsidRPr="000A4838">
        <w:rPr>
          <w:lang w:val="en-US"/>
        </w:rPr>
        <w:t xml:space="preserve"> and revisit the </w:t>
      </w:r>
      <m:oMath>
        <m:r>
          <w:rPr>
            <w:rFonts w:ascii="Cambria Math" w:hAnsi="Cambria Math"/>
            <w:lang w:val="en-US"/>
          </w:rPr>
          <m:t>β</m:t>
        </m:r>
      </m:oMath>
      <w:r w:rsidRPr="000A4838">
        <w:rPr>
          <w:lang w:val="en-US"/>
        </w:rPr>
        <w:t xml:space="preserve"> and </w:t>
      </w:r>
      <m:oMath>
        <m:r>
          <w:rPr>
            <w:rFonts w:ascii="Cambria Math" w:hAnsi="Cambria Math"/>
            <w:lang w:val="en-US"/>
          </w:rPr>
          <m:t>γ</m:t>
        </m:r>
      </m:oMath>
      <w:r w:rsidRPr="000A4838">
        <w:rPr>
          <w:lang w:val="en-US"/>
        </w:rPr>
        <w:t xml:space="preserve"> schedules to reinforce reconstruction and latent‐space regularity. This feedback loop continues until the reward‐guided loss consistently yields viable candidates at each epoch.</w:t>
      </w:r>
    </w:p>
    <w:p w:rsidR="007419CB" w:rsidRPr="00092C88" w:rsidRDefault="007419CB" w:rsidP="0021751D">
      <w:pPr>
        <w:spacing w:after="160" w:line="480" w:lineRule="auto"/>
        <w:rPr>
          <w:highlight w:val="yellow"/>
          <w:lang w:val="en-US"/>
        </w:rPr>
      </w:pPr>
      <w:r w:rsidRPr="000A4838">
        <w:rPr>
          <w:lang w:val="en-US"/>
        </w:rPr>
        <w:t xml:space="preserve">In combination, this adaptive strategy – warm‐up reconstruction, progressive KL and entropy regularization, and reward integration with candidate filtering – ensures that the CVAE not only learns to reconstruct known alloy chemistries but also to generate novel compositions that satisfy stringent multi‐objective criteria. </w:t>
      </w:r>
      <w:r w:rsidRPr="00024FDB">
        <w:rPr>
          <w:lang w:val="en-US"/>
        </w:rPr>
        <w:t xml:space="preserve">By automating loss-weight adjustments in </w:t>
      </w:r>
      <w:r w:rsidRPr="00024FDB">
        <w:rPr>
          <w:lang w:val="en-US"/>
        </w:rPr>
        <w:lastRenderedPageBreak/>
        <w:t>response to model performance, the training protocol robustly navigates the trade-offs between fidelity, diversity, and targeted exploration, thereby enabling efficient discovery of promising high-entropy alloys.</w:t>
      </w:r>
    </w:p>
    <w:p w:rsidR="007419CB" w:rsidRPr="00092C88" w:rsidRDefault="007419CB" w:rsidP="0021751D">
      <w:pPr>
        <w:spacing w:after="160" w:line="480" w:lineRule="auto"/>
        <w:rPr>
          <w:highlight w:val="yellow"/>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50" w:name="_Ref205244214"/>
      <w:bookmarkStart w:id="151" w:name="_Toc214314370"/>
      <w:bookmarkStart w:id="152" w:name="_Toc216021118"/>
      <w:r w:rsidRPr="000A4838">
        <w:rPr>
          <w:rFonts w:ascii="Times New Roman" w:hAnsi="Times New Roman" w:cs="Times New Roman"/>
          <w:color w:val="auto"/>
          <w:sz w:val="24"/>
          <w:szCs w:val="24"/>
          <w:lang w:val="en-US"/>
        </w:rPr>
        <w:t>Generative Exploration Loop and Filtering</w:t>
      </w:r>
      <w:bookmarkEnd w:id="150"/>
      <w:bookmarkEnd w:id="151"/>
      <w:bookmarkEnd w:id="152"/>
    </w:p>
    <w:p w:rsidR="007419CB" w:rsidRPr="000A4838" w:rsidRDefault="007419CB" w:rsidP="0021751D">
      <w:pPr>
        <w:spacing w:after="160" w:line="480" w:lineRule="auto"/>
        <w:rPr>
          <w:lang w:val="en-US"/>
        </w:rPr>
      </w:pPr>
      <w:r w:rsidRPr="00024FDB">
        <w:rPr>
          <w:lang w:val="en-US"/>
        </w:rPr>
        <w:t>To translate the trained CVAE into a practical materials-discovery engine, a generative exploration loop is implemented that iteratively proposes new alloy compositions, evaluates their viability, and adjusts the training loss to emphasize high-performing regions of composition space.</w:t>
      </w:r>
      <w:r>
        <w:rPr>
          <w:lang w:val="en-US"/>
        </w:rPr>
        <w:t xml:space="preserve"> </w:t>
      </w:r>
      <w:r w:rsidRPr="000A4838">
        <w:rPr>
          <w:lang w:val="en-US"/>
        </w:rPr>
        <w:t xml:space="preserve">This loop is orchestrated by a training driver with candidate evaluation. At each training epoch, after computing the reconstruction, KL, and entropy terms, a scheduling callback generates a synthetic batch and uses its scores to update the reward weights </w:t>
      </w:r>
      <m:oMath>
        <m:r>
          <m:rPr>
            <m:sty m:val="bi"/>
          </m:rPr>
          <w:rPr>
            <w:rFonts w:ascii="Cambria Math" w:hAnsi="Cambria Math"/>
            <w:lang w:val="en-US"/>
          </w:rPr>
          <m:t>α</m:t>
        </m:r>
      </m:oMath>
      <w:r w:rsidRPr="000A4838">
        <w:rPr>
          <w:rFonts w:eastAsiaTheme="minorEastAsia"/>
          <w:lang w:val="en-US"/>
        </w:rPr>
        <w:t>.</w:t>
      </w:r>
      <w:r w:rsidRPr="000A4838">
        <w:rPr>
          <w:lang w:val="en-US"/>
        </w:rPr>
        <w:t xml:space="preserve"> This batch is an adaptive objective-shaping (self-paced) mechanism. A real “active learning” done later with the final augmentation (subsection </w:t>
      </w:r>
      <w:r w:rsidRPr="000A4838">
        <w:rPr>
          <w:lang w:val="en-US"/>
        </w:rPr>
        <w:fldChar w:fldCharType="begin"/>
      </w:r>
      <w:r w:rsidRPr="000A4838">
        <w:rPr>
          <w:lang w:val="en-US"/>
        </w:rPr>
        <w:instrText xml:space="preserve"> REF _Ref205244212 \r \h </w:instrText>
      </w:r>
      <w:r w:rsidR="0021751D">
        <w:rPr>
          <w:lang w:val="en-US"/>
        </w:rPr>
        <w:instrText xml:space="preserve"> \* MERGEFORMAT </w:instrText>
      </w:r>
      <w:r w:rsidRPr="000A4838">
        <w:rPr>
          <w:lang w:val="en-US"/>
        </w:rPr>
      </w:r>
      <w:r w:rsidRPr="000A4838">
        <w:rPr>
          <w:lang w:val="en-US"/>
        </w:rPr>
        <w:fldChar w:fldCharType="separate"/>
      </w:r>
      <w:r w:rsidR="00380C88">
        <w:rPr>
          <w:lang w:val="en-US"/>
        </w:rPr>
        <w:t>4.2</w:t>
      </w:r>
      <w:r w:rsidRPr="000A4838">
        <w:rPr>
          <w:lang w:val="en-US"/>
        </w:rPr>
        <w:fldChar w:fldCharType="end"/>
      </w:r>
      <w:r w:rsidRPr="000A4838">
        <w:rPr>
          <w:lang w:val="en-US"/>
        </w:rPr>
        <w:t>), where top-ranked generated candidates are labeled and fed back to retrain the model.</w:t>
      </w:r>
    </w:p>
    <w:p w:rsidR="007419CB" w:rsidRPr="000A4838" w:rsidRDefault="007419CB" w:rsidP="0021751D">
      <w:pPr>
        <w:spacing w:after="160" w:line="480" w:lineRule="auto"/>
        <w:rPr>
          <w:lang w:val="en-US"/>
        </w:rPr>
      </w:pPr>
      <w:r w:rsidRPr="000A4838">
        <w:rPr>
          <w:lang w:val="en-US"/>
        </w:rPr>
        <w:t xml:space="preserve">First, a batch of latent samples </w:t>
      </w:r>
      <m:oMath>
        <m:r>
          <m:rPr>
            <m:sty m:val="bi"/>
          </m:rPr>
          <w:rPr>
            <w:rFonts w:ascii="Cambria Math" w:hAnsi="Cambria Math"/>
            <w:lang w:val="en-US"/>
          </w:rPr>
          <m:t>z</m:t>
        </m:r>
        <m:r>
          <m:rPr>
            <m:scr m:val="script"/>
          </m:rPr>
          <w:rPr>
            <w:rFonts w:ascii="Cambria Math" w:hAnsi="Cambria Math"/>
            <w:lang w:val="en-US"/>
          </w:rPr>
          <m:t>∼N</m:t>
        </m:r>
        <m:r>
          <w:rPr>
            <w:rFonts w:ascii="Cambria Math" w:hAnsi="Cambria Math"/>
            <w:lang w:val="en-US"/>
          </w:rPr>
          <m:t>(0,I)</m:t>
        </m:r>
      </m:oMath>
      <w:r w:rsidRPr="000A4838">
        <w:rPr>
          <w:lang w:val="en-US"/>
        </w:rPr>
        <w:t xml:space="preserve"> </w:t>
      </w:r>
      <w:r>
        <w:rPr>
          <w:lang w:val="en-US"/>
        </w:rPr>
        <w:t xml:space="preserve">is </w:t>
      </w:r>
      <w:r w:rsidRPr="000A4838">
        <w:rPr>
          <w:lang w:val="en-US"/>
        </w:rPr>
        <w:t>draw</w:t>
      </w:r>
      <w:r>
        <w:rPr>
          <w:lang w:val="en-US"/>
        </w:rPr>
        <w:t>n</w:t>
      </w:r>
      <w:r w:rsidRPr="000A4838">
        <w:rPr>
          <w:lang w:val="en-US"/>
        </w:rPr>
        <w:t xml:space="preserve"> and </w:t>
      </w:r>
      <w:r>
        <w:rPr>
          <w:lang w:val="en-US"/>
        </w:rPr>
        <w:t xml:space="preserve">they are </w:t>
      </w:r>
      <w:r w:rsidRPr="000A4838">
        <w:rPr>
          <w:lang w:val="en-US"/>
        </w:rPr>
        <w:t>decode</w:t>
      </w:r>
      <w:r>
        <w:rPr>
          <w:lang w:val="en-US"/>
        </w:rPr>
        <w:t>d</w:t>
      </w:r>
      <w:r w:rsidRPr="000A4838">
        <w:rPr>
          <w:lang w:val="en-US"/>
        </w:rPr>
        <w:t xml:space="preserve"> </w:t>
      </w:r>
      <w:r>
        <w:rPr>
          <w:lang w:val="en-US"/>
        </w:rPr>
        <w:t>u</w:t>
      </w:r>
      <w:r w:rsidRPr="000A4838">
        <w:rPr>
          <w:lang w:val="en-US"/>
        </w:rPr>
        <w:t xml:space="preserve">nder the fixed condition vector </w:t>
      </w:r>
      <m:oMath>
        <m:r>
          <m:rPr>
            <m:sty m:val="bi"/>
          </m:rPr>
          <w:rPr>
            <w:rFonts w:ascii="Cambria Math" w:hAnsi="Cambria Math"/>
            <w:lang w:val="en-US"/>
          </w:rPr>
          <m:t>Y=</m:t>
        </m:r>
        <m:d>
          <m:dPr>
            <m:begChr m:val="["/>
            <m:endChr m:val="]"/>
            <m:ctrlPr>
              <w:rPr>
                <w:rFonts w:ascii="Cambria Math" w:hAnsi="Cambria Math"/>
                <w:i/>
                <w:lang w:val="en-US"/>
              </w:rPr>
            </m:ctrlPr>
          </m:dPr>
          <m:e>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min</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e>
            </m:func>
            <m:r>
              <w:rPr>
                <w:rFonts w:ascii="Cambria Math" w:hAnsi="Cambria Math"/>
                <w:lang w:val="en-US"/>
              </w:rPr>
              <m:t>≥0.4,</m:t>
            </m:r>
            <m:nary>
              <m:naryPr>
                <m:chr m:val="∑"/>
                <m:limLoc m:val="undOvr"/>
                <m:supHide m:val="1"/>
                <m:ctrlPr>
                  <w:rPr>
                    <w:rFonts w:ascii="Cambria Math" w:hAnsi="Cambria Math"/>
                    <w:i/>
                    <w:lang w:val="en-US"/>
                  </w:rPr>
                </m:ctrlPr>
              </m:naryPr>
              <m:sub>
                <m:r>
                  <w:rPr>
                    <w:rFonts w:ascii="Cambria Math" w:hAnsi="Cambria Math"/>
                    <w:lang w:val="en-US"/>
                  </w:rPr>
                  <m:t>i</m:t>
                </m:r>
              </m:sub>
              <m:sup/>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e>
            </m:nary>
            <m:r>
              <w:rPr>
                <w:rFonts w:ascii="Cambria Math" w:hAnsi="Cambria Math"/>
                <w:lang w:val="en-US"/>
              </w:rPr>
              <m:t>≥5</m:t>
            </m:r>
          </m:e>
        </m:d>
      </m:oMath>
      <w:r w:rsidRPr="000A4838">
        <w:rPr>
          <w:lang w:val="en-US"/>
        </w:rPr>
        <w:t xml:space="preserve">. The number of samples per epoch, denoted </w:t>
      </w:r>
      <m:oMath>
        <m:r>
          <w:rPr>
            <w:rFonts w:ascii="Cambria Math" w:hAnsi="Cambria Math"/>
            <w:lang w:val="en-US"/>
          </w:rPr>
          <m:t>n</m:t>
        </m:r>
      </m:oMath>
      <w:r w:rsidRPr="000A4838">
        <w:rPr>
          <w:lang w:val="en-US"/>
        </w:rPr>
        <w:t xml:space="preserve">, is specified in the configuration file; typical values range from 200 to 500, balancing exploration throughput against computational cost. Decoding yields a corresponding set of raw composition vectors in CLR‐space, which are immediately subjected to an </w:t>
      </w:r>
      <w:r w:rsidRPr="000A4838">
        <w:rPr>
          <w:bCs/>
          <w:lang w:val="en-US"/>
        </w:rPr>
        <w:t>entropic viability filter</w:t>
      </w:r>
      <w:r w:rsidRPr="000A4838">
        <w:rPr>
          <w:lang w:val="en-US"/>
        </w:rPr>
        <w:t>: the Shannon entropy of each decoded mixture’s elemental distribution</w:t>
      </w:r>
      <w:r>
        <w:rPr>
          <w:lang w:val="en-US"/>
        </w:rPr>
        <w:t xml:space="preserve"> is computed</w:t>
      </w:r>
      <w:r w:rsidRPr="000A4838">
        <w:rPr>
          <w:lang w:val="en-US"/>
        </w:rPr>
        <w:t xml:space="preserve">, and any sample whose entropy falls below a minimum threshold </w:t>
      </w:r>
      <m:oMath>
        <m:sSub>
          <m:sSubPr>
            <m:ctrlPr>
              <w:rPr>
                <w:rFonts w:ascii="Cambria Math" w:hAnsi="Cambria Math"/>
                <w:i/>
                <w:lang w:val="en-US"/>
              </w:rPr>
            </m:ctrlPr>
          </m:sSubPr>
          <m:e>
            <m:r>
              <w:rPr>
                <w:rFonts w:ascii="Cambria Math" w:hAnsi="Cambria Math"/>
                <w:lang w:val="en-US"/>
              </w:rPr>
              <m:t>ε</m:t>
            </m:r>
          </m:e>
          <m:sub>
            <m:r>
              <m:rPr>
                <m:sty m:val="p"/>
              </m:rPr>
              <w:rPr>
                <w:rFonts w:ascii="Cambria Math" w:hAnsi="Cambria Math"/>
                <w:lang w:val="en-US"/>
              </w:rPr>
              <m:t>min</m:t>
            </m:r>
          </m:sub>
        </m:sSub>
      </m:oMath>
      <w:r w:rsidRPr="000A4838">
        <w:rPr>
          <w:lang w:val="en-US"/>
        </w:rPr>
        <w:t>​</w:t>
      </w:r>
      <w:r>
        <w:rPr>
          <w:lang w:val="en-US"/>
        </w:rPr>
        <w:t xml:space="preserve"> is </w:t>
      </w:r>
      <w:r w:rsidRPr="000A4838">
        <w:rPr>
          <w:lang w:val="en-US"/>
        </w:rPr>
        <w:t>reject</w:t>
      </w:r>
      <w:r>
        <w:rPr>
          <w:lang w:val="en-US"/>
        </w:rPr>
        <w:t>ed</w:t>
      </w:r>
      <w:r w:rsidRPr="000A4838">
        <w:rPr>
          <w:lang w:val="en-US"/>
        </w:rPr>
        <w:t>. This filter removes implausible or overly concentrated compositions – situations where the decoder has collapsed to a near‐singular element mixture rather than a true high-entropy alloy.</w:t>
      </w:r>
    </w:p>
    <w:p w:rsidR="007419CB" w:rsidRPr="00092C88" w:rsidRDefault="007419CB" w:rsidP="0021751D">
      <w:pPr>
        <w:spacing w:after="160" w:line="480" w:lineRule="auto"/>
        <w:rPr>
          <w:highlight w:val="yellow"/>
          <w:lang w:val="en-US"/>
        </w:rPr>
      </w:pPr>
      <w:r w:rsidRPr="000A4838">
        <w:rPr>
          <w:lang w:val="en-US"/>
        </w:rPr>
        <w:lastRenderedPageBreak/>
        <w:t xml:space="preserve">Next, all </w:t>
      </w:r>
      <w:r>
        <w:rPr>
          <w:lang w:val="en-US"/>
        </w:rPr>
        <w:t>remaini</w:t>
      </w:r>
      <w:r w:rsidRPr="000A4838">
        <w:rPr>
          <w:lang w:val="en-US"/>
        </w:rPr>
        <w:t>ng candidates are passed through the surrogate property models. For each candidate, the full set of continuous physical predictions (elastic modulus, yield strength, ductility, etc.)</w:t>
      </w:r>
      <w:r w:rsidRPr="008735FA">
        <w:rPr>
          <w:lang w:val="en-US"/>
        </w:rPr>
        <w:t xml:space="preserve"> </w:t>
      </w:r>
      <w:r>
        <w:rPr>
          <w:lang w:val="en-US"/>
        </w:rPr>
        <w:t>is</w:t>
      </w:r>
      <w:r w:rsidRPr="000A4838">
        <w:rPr>
          <w:lang w:val="en-US"/>
        </w:rPr>
        <w:t xml:space="preserve"> recompute</w:t>
      </w:r>
      <w:r>
        <w:rPr>
          <w:lang w:val="en-US"/>
        </w:rPr>
        <w:t>d</w:t>
      </w:r>
      <w:r w:rsidRPr="000A4838">
        <w:rPr>
          <w:lang w:val="en-US"/>
        </w:rPr>
        <w:t>, transform</w:t>
      </w:r>
      <w:r>
        <w:rPr>
          <w:lang w:val="en-US"/>
        </w:rPr>
        <w:t>ed</w:t>
      </w:r>
      <w:r w:rsidRPr="000A4838">
        <w:rPr>
          <w:lang w:val="en-US"/>
        </w:rPr>
        <w:t xml:space="preserve"> into normalized scores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0A4838">
        <w:rPr>
          <w:lang w:val="en-US"/>
        </w:rPr>
        <w:t xml:space="preserve">​, and then the condition vector </w:t>
      </w:r>
      <m:oMath>
        <m:r>
          <m:rPr>
            <m:sty m:val="bi"/>
          </m:rPr>
          <w:rPr>
            <w:rFonts w:ascii="Cambria Math" w:hAnsi="Cambria Math"/>
            <w:lang w:val="en-US"/>
          </w:rPr>
          <m:t>Y</m:t>
        </m:r>
      </m:oMath>
      <w:r w:rsidRPr="000A4838">
        <w:rPr>
          <w:lang w:val="en-US"/>
        </w:rPr>
        <w:t xml:space="preserve"> </w:t>
      </w:r>
      <w:r>
        <w:rPr>
          <w:lang w:val="en-US"/>
        </w:rPr>
        <w:t xml:space="preserve">is </w:t>
      </w:r>
      <w:r w:rsidRPr="000A4838">
        <w:rPr>
          <w:lang w:val="en-US"/>
        </w:rPr>
        <w:t>reassemble</w:t>
      </w:r>
      <w:r>
        <w:rPr>
          <w:lang w:val="en-US"/>
        </w:rPr>
        <w:t>d</w:t>
      </w:r>
      <w:r w:rsidRPr="000A4838">
        <w:rPr>
          <w:lang w:val="en-US"/>
        </w:rPr>
        <w:t xml:space="preserve"> to verify </w:t>
      </w:r>
      <w:r w:rsidRPr="00024FDB">
        <w:rPr>
          <w:lang w:val="en-US"/>
        </w:rPr>
        <w:t xml:space="preserve">whether each individual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024FDB">
        <w:rPr>
          <w:lang w:val="en-US"/>
        </w:rPr>
        <w:t xml:space="preserve"> still exceeds the minimum threshold (0.3). Any candidate failing even one of these checks is discarded, ensuring that only truly high-quality alloys survive the filtering stage.</w:t>
      </w:r>
    </w:p>
    <w:p w:rsidR="007419CB" w:rsidRPr="00E5753F" w:rsidRDefault="007419CB" w:rsidP="0021751D">
      <w:pPr>
        <w:spacing w:after="160" w:line="480" w:lineRule="auto"/>
        <w:rPr>
          <w:lang w:val="en-US"/>
        </w:rPr>
      </w:pPr>
      <w:r w:rsidRPr="00E5753F">
        <w:rPr>
          <w:lang w:val="en-US"/>
        </w:rPr>
        <w:t xml:space="preserve">The </w:t>
      </w:r>
      <w:r w:rsidRPr="00D62DDC">
        <w:rPr>
          <w:lang w:val="en-US"/>
        </w:rPr>
        <w:t xml:space="preserve">training procedure progresses gradually over many epochs. First, </w:t>
      </w:r>
      <m:oMath>
        <m:r>
          <w:rPr>
            <w:rFonts w:ascii="Cambria Math" w:hAnsi="Cambria Math"/>
            <w:lang w:val="en-US"/>
          </w:rPr>
          <m:t>β</m:t>
        </m:r>
      </m:oMath>
      <w:r w:rsidRPr="00D62DDC">
        <w:rPr>
          <w:lang w:val="en-US"/>
        </w:rPr>
        <w:t xml:space="preserve"> is increased slowly until the KL loss </w:t>
      </w:r>
      <m:oMath>
        <m:sSub>
          <m:sSubPr>
            <m:ctrlPr>
              <w:rPr>
                <w:rFonts w:ascii="Cambria Math" w:hAnsi="Cambria Math"/>
                <w:i/>
                <w:lang w:val="en-US"/>
              </w:rPr>
            </m:ctrlPr>
          </m:sSubPr>
          <m:e>
            <m:r>
              <m:rPr>
                <m:scr m:val="script"/>
              </m:rPr>
              <w:rPr>
                <w:rFonts w:ascii="Cambria Math" w:hAnsi="Cambria Math"/>
                <w:lang w:val="en-US"/>
              </w:rPr>
              <m:t>L</m:t>
            </m:r>
          </m:e>
          <m:sub>
            <m:r>
              <w:rPr>
                <w:rFonts w:ascii="Cambria Math" w:hAnsi="Cambria Math"/>
                <w:lang w:val="en-US"/>
              </w:rPr>
              <m:t>KL</m:t>
            </m:r>
          </m:sub>
        </m:sSub>
      </m:oMath>
      <w:r w:rsidRPr="00D62DDC">
        <w:rPr>
          <w:lang w:val="en-US"/>
        </w:rPr>
        <w:t xml:space="preserve"> enters an empirically identified target range; only then is the reward term activated by progressively increasing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D62DDC">
        <w:rPr>
          <w:lang w:val="en-US"/>
        </w:rPr>
        <w:t xml:space="preserve">. Once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D62DDC">
        <w:rPr>
          <w:lang w:val="en-US"/>
        </w:rPr>
        <w:t xml:space="preserve"> exceeds a predefined threshold, candidate alloys are generated and evaluated at each epoch. When the first candidates satisfy both the entropy and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D62DDC">
        <w:rPr>
          <w:lang w:val="en-US"/>
        </w:rPr>
        <w:t xml:space="preserve"> filters, the model is already in </w:t>
      </w:r>
      <w:r w:rsidRPr="00E5753F">
        <w:rPr>
          <w:lang w:val="en-US"/>
        </w:rPr>
        <w:t>an advanced stage of learning, and the large size of the training database allows substantial improvements to be achieved at every subsequent epoch.</w:t>
      </w:r>
      <w:r>
        <w:rPr>
          <w:lang w:val="en-US"/>
        </w:rPr>
        <w:t xml:space="preserve"> </w:t>
      </w:r>
      <w:r w:rsidRPr="00E5753F">
        <w:rPr>
          <w:lang w:val="en-US"/>
        </w:rPr>
        <w:t xml:space="preserve">If at least one candidate remains, the generation loop is deemed successful for that epoch, and surviving candidates are saved. The process goes on, with an increased reward factor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E5753F">
        <w:rPr>
          <w:lang w:val="en-US"/>
        </w:rPr>
        <w:t xml:space="preserve"> in the loss function –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E5753F">
        <w:rPr>
          <w:rFonts w:eastAsiaTheme="minorEastAsia"/>
          <w:b/>
          <w:lang w:val="en-US"/>
        </w:rPr>
        <w:t xml:space="preserve"> </w:t>
      </w:r>
      <w:r w:rsidRPr="00E5753F">
        <w:rPr>
          <w:lang w:val="en-US"/>
        </w:rPr>
        <w:t xml:space="preserve">is multiplied by a fixed percentage. This steeper reward gradient in subsequent epochs further biases the CVAE toward regions of latent space that produce high-scoring alloys. By gradually intensifying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E5753F">
        <w:rPr>
          <w:lang w:val="en-US"/>
        </w:rPr>
        <w:t>, the model is encouraged to refine its latent manifold to concentrate probability mass on the most promising chemistries.</w:t>
      </w:r>
    </w:p>
    <w:p w:rsidR="007419CB" w:rsidRPr="00A26E59" w:rsidRDefault="007419CB" w:rsidP="0021751D">
      <w:pPr>
        <w:spacing w:after="160" w:line="480" w:lineRule="auto"/>
        <w:rPr>
          <w:lang w:val="en-US"/>
        </w:rPr>
      </w:pPr>
      <w:r w:rsidRPr="000A4838">
        <w:rPr>
          <w:lang w:val="en-US"/>
        </w:rPr>
        <w:t xml:space="preserve">Conversely, if no </w:t>
      </w:r>
      <w:r w:rsidRPr="00C04C80">
        <w:rPr>
          <w:lang w:val="en-US"/>
        </w:rPr>
        <w:t xml:space="preserve">decoded samples clear the entropy and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C04C80">
        <w:rPr>
          <w:lang w:val="en-US"/>
        </w:rPr>
        <w:t xml:space="preserve"> thresholds, this is interpreted as a sign that the current latent manifold or decoder mapping is insufficiently calibrated for high-performance generation. In that case,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C04C80">
        <w:rPr>
          <w:lang w:val="en-US"/>
        </w:rPr>
        <w:t xml:space="preserve"> is decremented to reduce the pressure of the reward term, and the schedules for </w:t>
      </w:r>
      <m:oMath>
        <m:r>
          <w:rPr>
            <w:rFonts w:ascii="Cambria Math" w:hAnsi="Cambria Math"/>
            <w:lang w:val="en-US"/>
          </w:rPr>
          <m:t>β</m:t>
        </m:r>
      </m:oMath>
      <w:r w:rsidRPr="00C04C80">
        <w:rPr>
          <w:lang w:val="en-US"/>
        </w:rPr>
        <w:t xml:space="preserve"> and </w:t>
      </w:r>
      <m:oMath>
        <m:r>
          <w:rPr>
            <w:rFonts w:ascii="Cambria Math" w:hAnsi="Cambria Math"/>
            <w:lang w:val="en-US"/>
          </w:rPr>
          <m:t>γ</m:t>
        </m:r>
      </m:oMath>
      <w:r w:rsidRPr="00C04C80">
        <w:rPr>
          <w:rFonts w:eastAsiaTheme="minorEastAsia"/>
          <w:lang w:val="en-US"/>
        </w:rPr>
        <w:t xml:space="preserve"> </w:t>
      </w:r>
      <w:r w:rsidRPr="00C04C80">
        <w:rPr>
          <w:lang w:val="en-US"/>
        </w:rPr>
        <w:t xml:space="preserve">are revisited, temporarily holding </w:t>
      </w:r>
      <m:oMath>
        <m:r>
          <w:rPr>
            <w:rFonts w:ascii="Cambria Math" w:hAnsi="Cambria Math"/>
            <w:lang w:val="en-US"/>
          </w:rPr>
          <m:t>γ</m:t>
        </m:r>
      </m:oMath>
      <w:r w:rsidRPr="00C04C80">
        <w:rPr>
          <w:lang w:val="en-US"/>
        </w:rPr>
        <w:t xml:space="preserve"> constant or even rolling it back slightly to reinforce reconstruction accuracy. This</w:t>
      </w:r>
      <w:r w:rsidRPr="000A4838">
        <w:rPr>
          <w:lang w:val="en-US"/>
        </w:rPr>
        <w:t xml:space="preserve"> corrective mechanism prevents the network from over-biasing toward high rewards at the expense of generative </w:t>
      </w:r>
      <w:r w:rsidRPr="000A4838">
        <w:rPr>
          <w:lang w:val="en-US"/>
        </w:rPr>
        <w:lastRenderedPageBreak/>
        <w:t>fidelity, ensuring that subsequent epochs restore balance between reconstruction, regularization, and performance bias.</w:t>
      </w:r>
    </w:p>
    <w:p w:rsidR="007419CB" w:rsidRPr="00A26E59" w:rsidRDefault="007419CB" w:rsidP="0021751D">
      <w:pPr>
        <w:spacing w:after="160" w:line="480" w:lineRule="auto"/>
        <w:rPr>
          <w:lang w:val="en-US"/>
        </w:rPr>
      </w:pPr>
      <w:r w:rsidRPr="00A26E59">
        <w:rPr>
          <w:lang w:val="en-US"/>
        </w:rPr>
        <w:t xml:space="preserve">This generate–filter–adapt cycle repeats at every epoch until a convergence criterion is met – either a maximum number of epochs is reached or the reconstruction loss starts diverging. Throughout training, key metrics are logged: entropy statistics, average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A26E59">
        <w:rPr>
          <w:lang w:val="en-US"/>
        </w:rPr>
        <w:t xml:space="preserve">​ scores of decoded batches, and the evolution of </w:t>
      </w:r>
      <m:oMath>
        <m:d>
          <m:dPr>
            <m:begChr m:val="‖"/>
            <m:endChr m:val="‖"/>
            <m:ctrlPr>
              <w:rPr>
                <w:rFonts w:ascii="Cambria Math" w:hAnsi="Cambria Math"/>
                <w:b/>
                <w:i/>
                <w:lang w:val="en-US"/>
              </w:rPr>
            </m:ctrlPr>
          </m:dPr>
          <m:e>
            <m:r>
              <m:rPr>
                <m:sty m:val="bi"/>
              </m:rPr>
              <w:rPr>
                <w:rFonts w:ascii="Cambria Math" w:hAnsi="Cambria Math"/>
                <w:lang w:val="en-US"/>
              </w:rPr>
              <m:t>α</m:t>
            </m:r>
          </m:e>
        </m:d>
      </m:oMath>
      <w:r w:rsidRPr="00A26E59">
        <w:rPr>
          <w:lang w:val="en-US"/>
        </w:rPr>
        <w:t xml:space="preserve">, </w:t>
      </w:r>
      <m:oMath>
        <m:r>
          <w:rPr>
            <w:rFonts w:ascii="Cambria Math" w:hAnsi="Cambria Math"/>
            <w:lang w:val="en-US"/>
          </w:rPr>
          <m:t>β</m:t>
        </m:r>
      </m:oMath>
      <w:r w:rsidRPr="00A26E59">
        <w:rPr>
          <w:lang w:val="en-US"/>
        </w:rPr>
        <w:t xml:space="preserve">, </w:t>
      </w:r>
      <m:oMath>
        <m:r>
          <w:rPr>
            <w:rFonts w:ascii="Cambria Math" w:hAnsi="Cambria Math"/>
            <w:lang w:val="en-US"/>
          </w:rPr>
          <m:t>γ</m:t>
        </m:r>
      </m:oMath>
      <w:r w:rsidRPr="00A26E59">
        <w:rPr>
          <w:lang w:val="en-US"/>
        </w:rPr>
        <w:t xml:space="preserve"> and their associated losses. These diagnostics indicate that the training dynamics remain stable and that the CVAE progressively refines its ability to generate valid high-entropy alloys. </w:t>
      </w:r>
    </w:p>
    <w:p w:rsidR="007419CB" w:rsidRPr="000A4838" w:rsidRDefault="007419CB" w:rsidP="0021751D">
      <w:pPr>
        <w:spacing w:after="160" w:line="480" w:lineRule="auto"/>
        <w:rPr>
          <w:lang w:val="en-US"/>
        </w:rPr>
      </w:pPr>
      <w:r w:rsidRPr="000A4838">
        <w:rPr>
          <w:lang w:val="en-US"/>
        </w:rPr>
        <w:t>Finally, once training concludes, all candidates that passed the filters across every epoch are aggregated and de-duplicated, then appended to the master training database. This “self-training” step enriches the sample distribution available for the next CVAE runs, closing the loop between discovery and model refinement. In this way, the generative exploration loop not only yields novel alloy suggestions in real time but also continually expands the CVAE’s knowledge of the high-performance alloy frontier, setting the stage for increasingly effective inverse design in subsequent iterations.</w:t>
      </w: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53" w:name="_Ref204593103"/>
      <w:bookmarkStart w:id="154" w:name="_Toc214314371"/>
      <w:bookmarkStart w:id="155" w:name="_Toc216021119"/>
      <w:r w:rsidRPr="000A4838">
        <w:rPr>
          <w:rFonts w:ascii="Times New Roman" w:hAnsi="Times New Roman" w:cs="Times New Roman"/>
          <w:color w:val="auto"/>
          <w:sz w:val="24"/>
          <w:szCs w:val="24"/>
          <w:lang w:val="en-US"/>
        </w:rPr>
        <w:t>Latent Space Augmentation via Hamming-Based Sampling</w:t>
      </w:r>
      <w:bookmarkEnd w:id="153"/>
      <w:bookmarkEnd w:id="154"/>
      <w:bookmarkEnd w:id="155"/>
    </w:p>
    <w:p w:rsidR="007419CB" w:rsidRPr="00F94A43" w:rsidRDefault="007419CB" w:rsidP="0021751D">
      <w:pPr>
        <w:pStyle w:val="NormalWeb"/>
        <w:spacing w:before="0" w:beforeAutospacing="0" w:after="160" w:afterAutospacing="0" w:line="480" w:lineRule="auto"/>
        <w:rPr>
          <w:lang w:val="en-US"/>
        </w:rPr>
      </w:pPr>
      <w:r w:rsidRPr="0028077B">
        <w:rPr>
          <w:lang w:val="en-US"/>
        </w:rPr>
        <w:t xml:space="preserve">Although the CVAE’s latent manifold provides a smooth, continuous representation of chemically plausible alloys, its ability to generate meaningful candidates remains intrinsically limited by the compositions seen during training. As discussed in </w:t>
      </w:r>
      <w:r>
        <w:rPr>
          <w:lang w:val="en-US"/>
        </w:rPr>
        <w:fldChar w:fldCharType="begin"/>
      </w:r>
      <w:r>
        <w:rPr>
          <w:lang w:val="en-US"/>
        </w:rPr>
        <w:instrText xml:space="preserve"> REF _Ref205243857 \r \h </w:instrText>
      </w:r>
      <w:r w:rsidR="0021751D">
        <w:rPr>
          <w:lang w:val="en-US"/>
        </w:rPr>
        <w:instrText xml:space="preserve"> \* MERGEFORMAT </w:instrText>
      </w:r>
      <w:r>
        <w:rPr>
          <w:lang w:val="en-US"/>
        </w:rPr>
      </w:r>
      <w:r>
        <w:rPr>
          <w:lang w:val="en-US"/>
        </w:rPr>
        <w:fldChar w:fldCharType="separate"/>
      </w:r>
      <w:r w:rsidR="00380C88">
        <w:rPr>
          <w:lang w:val="en-US"/>
        </w:rPr>
        <w:t>3</w:t>
      </w:r>
      <w:r>
        <w:rPr>
          <w:lang w:val="en-US"/>
        </w:rPr>
        <w:fldChar w:fldCharType="end"/>
      </w:r>
      <w:r>
        <w:rPr>
          <w:lang w:val="en-US"/>
        </w:rPr>
        <w:t xml:space="preserve"> </w:t>
      </w:r>
      <w:r>
        <w:rPr>
          <w:lang w:val="en-US"/>
        </w:rPr>
        <w:fldChar w:fldCharType="begin"/>
      </w:r>
      <w:r>
        <w:rPr>
          <w:lang w:val="en-US"/>
        </w:rPr>
        <w:instrText xml:space="preserve"> REF _Ref205243857 \h </w:instrText>
      </w:r>
      <w:r w:rsidR="0021751D">
        <w:rPr>
          <w:lang w:val="en-US"/>
        </w:rPr>
        <w:instrText xml:space="preserve"> \* MERGEFORMAT </w:instrText>
      </w:r>
      <w:r>
        <w:rPr>
          <w:lang w:val="en-US"/>
        </w:rPr>
      </w:r>
      <w:r>
        <w:rPr>
          <w:lang w:val="en-US"/>
        </w:rPr>
        <w:fldChar w:fldCharType="separate"/>
      </w:r>
      <w:r w:rsidR="00380C88" w:rsidRPr="000A4838">
        <w:rPr>
          <w:rFonts w:cs="Times New Roman"/>
          <w:lang w:val="en-US"/>
        </w:rPr>
        <w:t>STOCHASTIC BRUTE-FORCE SCREENING OF 5-ELEMENTS HEA</w:t>
      </w:r>
      <w:r>
        <w:rPr>
          <w:lang w:val="en-US"/>
        </w:rPr>
        <w:fldChar w:fldCharType="end"/>
      </w:r>
      <w:r w:rsidRPr="0028077B">
        <w:rPr>
          <w:lang w:val="en-US"/>
        </w:rPr>
        <w:t xml:space="preserve">, the quinary HEA space was initially explored using the </w:t>
      </w:r>
      <w:r w:rsidRPr="00F94A43">
        <w:rPr>
          <w:lang w:val="en-US"/>
        </w:rPr>
        <w:t xml:space="preserve">thermodynamic map of Chen et al., which identifies compositions that are likely to form high-entropy solid solutions </w:t>
      </w:r>
      <w:r w:rsidRPr="00F94A43">
        <w:rPr>
          <w:lang w:val="en-US"/>
        </w:rPr>
        <w:fldChar w:fldCharType="begin"/>
      </w:r>
      <w:r w:rsidR="00B77C17">
        <w:rPr>
          <w:lang w:val="en-US"/>
        </w:rPr>
        <w:instrText xml:space="preserve"> ADDIN ZOTERO_ITEM CSL_CITATION {"citationID":"OXTj4NeR","properties":{"formattedCitation":"\\super 27\\nosupersub{}","plainCitation":"27","noteIndex":0},"citationItems":[{"id":178,"uris":["http://zotero.org/users/local/hYny5ca1/items/DZJP4BUU"],"itemData":{"id":178,"type":"article-journal","abstract":"High-entropy alloys have exhibited unusual materials properties. The stability of equimolar single-phase solid solution of five or more elements is supposedly rare and identifying the existence of such alloys has been challenging because of the vast chemical space of possible combinations. Herein, based on high-throughput density-functional theory calculations, we construct a chemical map of single-phase equimolar high-entropy alloys by investigating over 658,000 equimolar quinary alloys through a binary regular solid-solution model. We identify 30,201 potential single-phase equimolar alloys (5% of the possible combinations) forming mainly in body-centered cubic structures. We unveil the chemistries that are likely to form high-entropy alloys, and identify the complex interplay among mixing enthalpy, intermetallics formation, and melting point that drives the formation of these solid solutions. We demonstrate the power of our method by predicting the existence of two new high-entropy alloys, i.e. the body-centered cubic AlCoMnNiV and the face-centered cubic CoFeMnNiZn, which are successfully synthesized.","container-title":"Nature Communications","DOI":"10.1038/s41467-023-38423-7","ISSN":"2041-1723","issue":"1","journalAbbreviation":"Nature Communications","page":"2856","title":"A map of single-phase high-entropy alloys","volume":"14","author":[{"family":"Chen","given":"Wei"},{"family":"Hilhorst","given":"Antoine"},{"family":"Bokas","given":"Georgios"},{"family":"Gorsse","given":"Stéphane"},{"family":"Jacques","given":"Pascal J."},{"family":"Hautier","given":"Geoffroy"}],"issued":{"date-parts":[["2023",5,19]]}}}],"schema":"https://github.com/citation-style-language/schema/raw/master/csl-citation.json"} </w:instrText>
      </w:r>
      <w:r w:rsidRPr="00F94A43">
        <w:rPr>
          <w:lang w:val="en-US"/>
        </w:rPr>
        <w:fldChar w:fldCharType="separate"/>
      </w:r>
      <w:r w:rsidR="00B77C17" w:rsidRPr="00B77C17">
        <w:rPr>
          <w:rFonts w:cs="Times New Roman"/>
          <w:szCs w:val="24"/>
          <w:vertAlign w:val="superscript"/>
          <w:lang w:val="en-US"/>
        </w:rPr>
        <w:t>27</w:t>
      </w:r>
      <w:r w:rsidRPr="00F94A43">
        <w:rPr>
          <w:lang w:val="en-US"/>
        </w:rPr>
        <w:fldChar w:fldCharType="end"/>
      </w:r>
      <w:r w:rsidRPr="00F94A43">
        <w:rPr>
          <w:lang w:val="en-US"/>
        </w:rPr>
        <w:t xml:space="preserve">. These chemistries occupy only a very small </w:t>
      </w:r>
      <w:r w:rsidRPr="00F94A43">
        <w:rPr>
          <w:lang w:val="en-US"/>
        </w:rPr>
        <w:lastRenderedPageBreak/>
        <w:t>fraction of the full combinatorial space, and therefore introduce a bias that confines the generative model’s “imagination” to a narrow region.</w:t>
      </w:r>
    </w:p>
    <w:p w:rsidR="007419CB" w:rsidRPr="0005008B" w:rsidRDefault="007419CB" w:rsidP="0021751D">
      <w:pPr>
        <w:pStyle w:val="NormalWeb"/>
        <w:spacing w:before="0" w:beforeAutospacing="0" w:after="160" w:afterAutospacing="0" w:line="480" w:lineRule="auto"/>
        <w:rPr>
          <w:lang w:val="en-US"/>
        </w:rPr>
      </w:pPr>
      <w:r w:rsidRPr="00F94A43">
        <w:rPr>
          <w:lang w:val="en-US"/>
        </w:rPr>
        <w:t xml:space="preserve">To formalize the exploration of the broader composition space, alloy compositions are viewed as constant-weight codewords in the sense of coding theory. Each alloy is encoded as a binary vector of length 39 (one position per element), with exactly </w:t>
      </w:r>
      <m:oMath>
        <m:r>
          <w:rPr>
            <w:rFonts w:ascii="Cambria Math" w:hAnsi="Cambria Math"/>
            <w:lang w:val="en-US"/>
          </w:rPr>
          <m:t>w = 5</m:t>
        </m:r>
      </m:oMath>
      <w:r w:rsidRPr="00F94A43">
        <w:rPr>
          <w:lang w:val="en-US"/>
        </w:rPr>
        <w:t xml:space="preserve"> entries equal to one, indicating the presence of five alloying elements. The Hamming distance between two such codewords is the number of positions at which they differ. If two quinary alloys share </w:t>
      </w:r>
      <m:oMath>
        <m:r>
          <w:rPr>
            <w:rFonts w:ascii="Cambria Math" w:hAnsi="Cambria Math"/>
            <w:lang w:val="en-US"/>
          </w:rPr>
          <m:t>t</m:t>
        </m:r>
      </m:oMath>
      <w:r w:rsidRPr="00F94A43">
        <w:rPr>
          <w:lang w:val="en-US"/>
        </w:rPr>
        <w:t xml:space="preserve"> common elements, their binary encodings have Hamming distance </w:t>
      </w:r>
      <m:oMath>
        <m:r>
          <w:rPr>
            <w:rFonts w:ascii="Cambria Math" w:hAnsi="Cambria Math"/>
            <w:lang w:val="en-US"/>
          </w:rPr>
          <m:t>d = 2(w - t)</m:t>
        </m:r>
      </m:oMath>
      <w:r w:rsidRPr="00F94A43">
        <w:rPr>
          <w:lang w:val="en-US"/>
        </w:rPr>
        <w:t xml:space="preserve">. Imposing a minimum Hamming distance </w:t>
      </w:r>
      <m:oMath>
        <m:sSub>
          <m:sSubPr>
            <m:ctrlPr>
              <w:rPr>
                <w:rStyle w:val="katex-mathml"/>
                <w:rFonts w:ascii="Cambria Math" w:eastAsia="Arial" w:hAnsi="Cambria Math"/>
                <w:i/>
                <w:lang w:val="en-US"/>
              </w:rPr>
            </m:ctrlPr>
          </m:sSubPr>
          <m:e>
            <m:r>
              <w:rPr>
                <w:rStyle w:val="katex-mathml"/>
                <w:rFonts w:ascii="Cambria Math" w:eastAsia="Arial" w:hAnsi="Cambria Math"/>
                <w:lang w:val="en-US"/>
              </w:rPr>
              <m:t>d</m:t>
            </m:r>
          </m:e>
          <m:sub>
            <m:r>
              <m:rPr>
                <m:sty m:val="p"/>
              </m:rPr>
              <w:rPr>
                <w:rStyle w:val="katex-mathml"/>
                <w:rFonts w:ascii="Cambria Math" w:eastAsia="Arial" w:hAnsi="Cambria Math"/>
                <w:lang w:val="en-US"/>
              </w:rPr>
              <m:t>min</m:t>
            </m:r>
          </m:sub>
        </m:sSub>
      </m:oMath>
      <w:r w:rsidRPr="00F94A43">
        <w:rPr>
          <w:lang w:val="en-US"/>
        </w:rPr>
        <w:t xml:space="preserve"> </w:t>
      </w:r>
      <w:r>
        <w:rPr>
          <w:lang w:val="en-US"/>
        </w:rPr>
        <w:t>(</w:t>
      </w:r>
      <m:oMath>
        <m:sSub>
          <m:sSubPr>
            <m:ctrlPr>
              <w:rPr>
                <w:rStyle w:val="katex-mathml"/>
                <w:rFonts w:ascii="Cambria Math" w:eastAsia="Arial" w:hAnsi="Cambria Math"/>
                <w:i/>
                <w:lang w:val="en-US"/>
              </w:rPr>
            </m:ctrlPr>
          </m:sSubPr>
          <m:e>
            <m:r>
              <w:rPr>
                <w:rStyle w:val="katex-mathml"/>
                <w:rFonts w:ascii="Cambria Math" w:eastAsia="Arial" w:hAnsi="Cambria Math"/>
                <w:lang w:val="en-US"/>
              </w:rPr>
              <m:t>d</m:t>
            </m:r>
          </m:e>
          <m:sub>
            <m:r>
              <m:rPr>
                <m:sty m:val="p"/>
              </m:rPr>
              <w:rPr>
                <w:rStyle w:val="katex-mathml"/>
                <w:rFonts w:ascii="Cambria Math" w:eastAsia="Arial" w:hAnsi="Cambria Math"/>
                <w:lang w:val="en-US"/>
              </w:rPr>
              <m:t>min</m:t>
            </m:r>
          </m:sub>
        </m:sSub>
        <m:r>
          <w:rPr>
            <w:rStyle w:val="katex-mathml"/>
            <w:rFonts w:ascii="Cambria Math" w:eastAsia="Arial" w:hAnsi="Cambria Math"/>
            <w:lang w:val="en-US"/>
          </w:rPr>
          <m:t>=6</m:t>
        </m:r>
      </m:oMath>
      <w:r>
        <w:rPr>
          <w:rStyle w:val="katex-mathml"/>
          <w:rFonts w:eastAsiaTheme="minorEastAsia"/>
          <w:lang w:val="en-US"/>
        </w:rPr>
        <w:t xml:space="preserve"> for instance</w:t>
      </w:r>
      <w:r>
        <w:rPr>
          <w:lang w:val="en-US"/>
        </w:rPr>
        <w:t xml:space="preserve">) </w:t>
      </w:r>
      <w:r w:rsidRPr="00F94A43">
        <w:rPr>
          <w:lang w:val="en-US"/>
        </w:rPr>
        <w:t>is e</w:t>
      </w:r>
      <w:r w:rsidRPr="0028077B">
        <w:rPr>
          <w:lang w:val="en-US"/>
        </w:rPr>
        <w:t xml:space="preserve">quivalent to constraining the maximum number of shared elements, and thus to enforcing that any two selected alloys are </w:t>
      </w:r>
      <w:r w:rsidRPr="0005008B">
        <w:rPr>
          <w:lang w:val="en-US"/>
        </w:rPr>
        <w:t>separated by at least a certain number of substitutions in composition space:</w:t>
      </w:r>
    </w:p>
    <w:p w:rsidR="007419CB" w:rsidRPr="0005008B" w:rsidRDefault="007419CB" w:rsidP="0021751D">
      <w:pPr>
        <w:spacing w:after="160" w:line="480" w:lineRule="auto"/>
        <w:rPr>
          <w:lang w:val="en-US"/>
        </w:rPr>
      </w:pPr>
      <m:oMathPara>
        <m:oMath>
          <m:r>
            <w:rPr>
              <w:rStyle w:val="mpunct"/>
              <w:rFonts w:ascii="Cambria Math" w:hAnsi="Cambria Math"/>
              <w:lang w:val="en-US"/>
            </w:rPr>
            <m:t>2</m:t>
          </m:r>
          <m:d>
            <m:dPr>
              <m:ctrlPr>
                <w:rPr>
                  <w:rStyle w:val="mpunct"/>
                  <w:rFonts w:ascii="Cambria Math" w:hAnsi="Cambria Math"/>
                  <w:i/>
                  <w:lang w:val="en-US"/>
                </w:rPr>
              </m:ctrlPr>
            </m:dPr>
            <m:e>
              <m:r>
                <w:rPr>
                  <w:rStyle w:val="mpunct"/>
                  <w:rFonts w:ascii="Cambria Math" w:hAnsi="Cambria Math"/>
                  <w:lang w:val="en-US"/>
                </w:rPr>
                <m:t>w-t</m:t>
              </m:r>
            </m:e>
          </m:d>
          <m:r>
            <w:rPr>
              <w:rStyle w:val="mpunct"/>
              <w:rFonts w:ascii="Cambria Math" w:hAnsi="Cambria Math"/>
              <w:lang w:val="en-US"/>
            </w:rPr>
            <m:t>≥</m:t>
          </m:r>
          <m:sSub>
            <m:sSubPr>
              <m:ctrlPr>
                <w:rPr>
                  <w:rStyle w:val="katex-mathml"/>
                  <w:rFonts w:ascii="Cambria Math" w:eastAsia="Arial" w:hAnsi="Cambria Math"/>
                  <w:i/>
                  <w:lang w:val="en-US"/>
                </w:rPr>
              </m:ctrlPr>
            </m:sSubPr>
            <m:e>
              <m:r>
                <w:rPr>
                  <w:rStyle w:val="katex-mathml"/>
                  <w:rFonts w:ascii="Cambria Math" w:eastAsia="Arial" w:hAnsi="Cambria Math"/>
                  <w:lang w:val="en-US"/>
                </w:rPr>
                <m:t>d</m:t>
              </m:r>
            </m:e>
            <m:sub>
              <m:r>
                <m:rPr>
                  <m:sty m:val="p"/>
                </m:rPr>
                <w:rPr>
                  <w:rStyle w:val="katex-mathml"/>
                  <w:rFonts w:ascii="Cambria Math" w:eastAsia="Arial" w:hAnsi="Cambria Math"/>
                  <w:lang w:val="en-US"/>
                </w:rPr>
                <m:t>min</m:t>
              </m:r>
            </m:sub>
          </m:sSub>
          <m:r>
            <w:rPr>
              <w:rStyle w:val="katex-mathml"/>
              <w:rFonts w:ascii="Cambria Math" w:eastAsia="Arial" w:hAnsi="Cambria Math"/>
              <w:lang w:val="en-US"/>
            </w:rPr>
            <m:t>⇒t≤w-</m:t>
          </m:r>
          <m:f>
            <m:fPr>
              <m:ctrlPr>
                <w:rPr>
                  <w:rStyle w:val="katex-mathml"/>
                  <w:rFonts w:ascii="Cambria Math" w:eastAsia="Arial" w:hAnsi="Cambria Math"/>
                  <w:i/>
                  <w:lang w:val="en-US"/>
                </w:rPr>
              </m:ctrlPr>
            </m:fPr>
            <m:num>
              <m:sSub>
                <m:sSubPr>
                  <m:ctrlPr>
                    <w:rPr>
                      <w:rStyle w:val="katex-mathml"/>
                      <w:rFonts w:ascii="Cambria Math" w:eastAsia="Arial" w:hAnsi="Cambria Math"/>
                      <w:i/>
                      <w:lang w:val="en-US"/>
                    </w:rPr>
                  </m:ctrlPr>
                </m:sSubPr>
                <m:e>
                  <m:r>
                    <w:rPr>
                      <w:rStyle w:val="katex-mathml"/>
                      <w:rFonts w:ascii="Cambria Math" w:eastAsia="Arial" w:hAnsi="Cambria Math"/>
                      <w:lang w:val="en-US"/>
                    </w:rPr>
                    <m:t>d</m:t>
                  </m:r>
                </m:e>
                <m:sub>
                  <m:r>
                    <m:rPr>
                      <m:sty m:val="p"/>
                    </m:rPr>
                    <w:rPr>
                      <w:rStyle w:val="katex-mathml"/>
                      <w:rFonts w:ascii="Cambria Math" w:eastAsia="Arial" w:hAnsi="Cambria Math"/>
                      <w:lang w:val="en-US"/>
                    </w:rPr>
                    <m:t>min</m:t>
                  </m:r>
                </m:sub>
              </m:sSub>
            </m:num>
            <m:den>
              <m:r>
                <w:rPr>
                  <w:rStyle w:val="katex-mathml"/>
                  <w:rFonts w:ascii="Cambria Math" w:eastAsia="Arial" w:hAnsi="Cambria Math"/>
                  <w:lang w:val="en-US"/>
                </w:rPr>
                <m:t>2</m:t>
              </m:r>
            </m:den>
          </m:f>
          <m:r>
            <w:rPr>
              <w:rStyle w:val="katex-mathml"/>
              <w:rFonts w:ascii="Cambria Math" w:eastAsia="Arial" w:hAnsi="Cambria Math"/>
              <w:lang w:val="en-US"/>
            </w:rPr>
            <m:t>=5-3=2</m:t>
          </m:r>
        </m:oMath>
      </m:oMathPara>
    </w:p>
    <w:p w:rsidR="007419CB" w:rsidRPr="0028077B" w:rsidRDefault="007419CB" w:rsidP="0021751D">
      <w:pPr>
        <w:pStyle w:val="NormalWeb"/>
        <w:spacing w:before="0" w:beforeAutospacing="0" w:after="160" w:afterAutospacing="0" w:line="480" w:lineRule="auto"/>
        <w:rPr>
          <w:lang w:val="en-US"/>
        </w:rPr>
      </w:pPr>
      <w:r w:rsidRPr="0028077B">
        <w:rPr>
          <w:lang w:val="en-US"/>
        </w:rPr>
        <w:t>In coding-theory terms, this corresponds to constructing a constant-weight code that “covers” the design space with well-separated codewords.</w:t>
      </w:r>
    </w:p>
    <w:p w:rsidR="007419CB" w:rsidRPr="0028077B" w:rsidRDefault="007419CB" w:rsidP="0021751D">
      <w:pPr>
        <w:pStyle w:val="NormalWeb"/>
        <w:spacing w:before="0" w:beforeAutospacing="0" w:after="160" w:afterAutospacing="0" w:line="480" w:lineRule="auto"/>
        <w:rPr>
          <w:lang w:val="en-US"/>
        </w:rPr>
      </w:pPr>
      <w:r w:rsidRPr="0028077B">
        <w:rPr>
          <w:lang w:val="en-US"/>
        </w:rPr>
        <w:t xml:space="preserve">This viewpoint is particularly useful when the number of allowed elements and the maximum number of constituents per alloy are large (e.g. up to eight elements or more): the total number of combinations becomes astronomically high, and only a sparse, well-dispersed subset of compositions can be evaluated. A Hamming-based sampling scheme then provides a principled way to select such a subset: starting from an empty set, candidate codewords are examined in turn and retained only if their Hamming distance to all previously chosen codewords exceeds </w:t>
      </w:r>
      <w:r w:rsidRPr="0028077B">
        <w:rPr>
          <w:rFonts w:ascii="Cambria Math" w:hAnsi="Cambria Math"/>
          <w:lang w:val="en-US"/>
        </w:rPr>
        <w:t>𝑑</w:t>
      </w:r>
      <w:r w:rsidRPr="0028077B">
        <w:rPr>
          <w:lang w:val="en-US"/>
        </w:rPr>
        <w:t>min. The result is a collection of alloys that are mutually distant in terms of composition, thereby “paving” the space with non-overlapping Hamming balls and ensuring that every unexplored region lies close to at least one evaluated alloy.</w:t>
      </w:r>
    </w:p>
    <w:p w:rsidR="007419CB" w:rsidRPr="0028077B" w:rsidRDefault="007419CB" w:rsidP="0021751D">
      <w:pPr>
        <w:pStyle w:val="NormalWeb"/>
        <w:spacing w:before="0" w:beforeAutospacing="0" w:after="160" w:afterAutospacing="0" w:line="480" w:lineRule="auto"/>
        <w:rPr>
          <w:lang w:val="en-US"/>
        </w:rPr>
      </w:pPr>
      <w:r w:rsidRPr="0028077B">
        <w:rPr>
          <w:lang w:val="en-US"/>
        </w:rPr>
        <w:lastRenderedPageBreak/>
        <w:t xml:space="preserve">In the present </w:t>
      </w:r>
      <w:r w:rsidRPr="00F51317">
        <w:rPr>
          <w:lang w:val="en-US"/>
        </w:rPr>
        <w:t xml:space="preserve">study, the practical situation is more favorable. The search is restricted to equimolar, five-element alloys drawn from 39 candidate elements, so that the total number of distinct compositions </w:t>
      </w:r>
      <m:oMath>
        <m:d>
          <m:dPr>
            <m:ctrlPr>
              <w:rPr>
                <w:rFonts w:ascii="Cambria Math" w:hAnsi="Cambria Math"/>
                <w:lang w:val="en-US"/>
              </w:rPr>
            </m:ctrlPr>
          </m:dPr>
          <m:e>
            <m:m>
              <m:mPr>
                <m:mcs>
                  <m:mc>
                    <m:mcPr>
                      <m:count m:val="1"/>
                      <m:mcJc m:val="center"/>
                    </m:mcPr>
                  </m:mc>
                </m:mcs>
                <m:ctrlPr>
                  <w:rPr>
                    <w:rFonts w:ascii="Cambria Math" w:hAnsi="Cambria Math"/>
                    <w:lang w:val="en-US"/>
                  </w:rPr>
                </m:ctrlPr>
              </m:mPr>
              <m:mr>
                <m:e>
                  <m:r>
                    <m:rPr>
                      <m:sty m:val="p"/>
                    </m:rPr>
                    <w:rPr>
                      <w:rFonts w:ascii="Cambria Math" w:hAnsi="Cambria Math"/>
                      <w:lang w:val="en-US"/>
                    </w:rPr>
                    <m:t>39</m:t>
                  </m:r>
                </m:e>
              </m:mr>
              <m:mr>
                <m:e>
                  <m:r>
                    <m:rPr>
                      <m:sty m:val="p"/>
                    </m:rPr>
                    <w:rPr>
                      <w:rFonts w:ascii="Cambria Math" w:hAnsi="Cambria Math"/>
                      <w:lang w:val="en-US"/>
                    </w:rPr>
                    <m:t>5</m:t>
                  </m:r>
                </m:e>
              </m:mr>
            </m:m>
          </m:e>
        </m:d>
        <m:r>
          <m:rPr>
            <m:sty m:val="p"/>
          </m:rPr>
          <w:rPr>
            <w:rFonts w:ascii="Cambria Math" w:hAnsi="Cambria Math"/>
            <w:lang w:val="en-US"/>
          </w:rPr>
          <m:t>=575757</m:t>
        </m:r>
      </m:oMath>
      <w:r w:rsidRPr="00F51317">
        <w:rPr>
          <w:rFonts w:eastAsiaTheme="minorEastAsia"/>
          <w:lang w:val="en-US"/>
        </w:rPr>
        <w:t xml:space="preserve"> </w:t>
      </w:r>
      <w:r w:rsidRPr="00F51317">
        <w:rPr>
          <w:lang w:val="en-US"/>
        </w:rPr>
        <w:t xml:space="preserve">remains tractable on a modern workstation. Instead of selecting a sparse Hamming code, the algorithm therefore enumerates all quinary combinations and evaluates each of them. In this regime, enforcing a minimal Hamming distance </w:t>
      </w:r>
      <w:r w:rsidRPr="00F51317">
        <w:rPr>
          <w:rFonts w:ascii="Cambria Math" w:hAnsi="Cambria Math"/>
          <w:lang w:val="en-US"/>
        </w:rPr>
        <w:t>𝑑</w:t>
      </w:r>
      <w:r w:rsidRPr="00F51317">
        <w:rPr>
          <w:lang w:val="en-US"/>
        </w:rPr>
        <w:t xml:space="preserve">min reduces to the trivial condition </w:t>
      </w:r>
      <m:oMath>
        <m:sSub>
          <m:sSubPr>
            <m:ctrlPr>
              <w:rPr>
                <w:rStyle w:val="katex-mathml"/>
                <w:rFonts w:eastAsia="Arial"/>
                <w:i/>
                <w:lang w:val="en-US"/>
              </w:rPr>
            </m:ctrlPr>
          </m:sSubPr>
          <m:e>
            <m:r>
              <w:rPr>
                <w:rStyle w:val="katex-mathml"/>
                <w:rFonts w:eastAsia="Arial"/>
                <w:lang w:val="en-US"/>
              </w:rPr>
              <m:t>d</m:t>
            </m:r>
          </m:e>
          <m:sub>
            <m:r>
              <m:rPr>
                <m:sty m:val="p"/>
              </m:rPr>
              <w:rPr>
                <w:rStyle w:val="katex-mathml"/>
                <w:rFonts w:eastAsia="Arial"/>
                <w:lang w:val="en-US"/>
              </w:rPr>
              <m:t>min</m:t>
            </m:r>
          </m:sub>
        </m:sSub>
        <m:r>
          <w:rPr>
            <w:rStyle w:val="katex-mathml"/>
            <w:rFonts w:ascii="Cambria Math" w:eastAsiaTheme="minorEastAsia" w:hAnsi="Cambria Math"/>
            <w:lang w:val="en-US"/>
          </w:rPr>
          <m:t>=1</m:t>
        </m:r>
      </m:oMath>
      <w:r w:rsidRPr="00F51317">
        <w:rPr>
          <w:lang w:val="en-US"/>
        </w:rPr>
        <w:t xml:space="preserve">, </w:t>
      </w:r>
      <w:r w:rsidRPr="0028077B">
        <w:rPr>
          <w:lang w:val="en-US"/>
        </w:rPr>
        <w:t>which simply guarantees that no two selected codewords are identical. The Hamming formalism is thus used here mainly as a unifying language to describe composition space, while the actual exploration corresponds to an exhaustive scan of the equimolar 5-element subspace.</w:t>
      </w:r>
    </w:p>
    <w:p w:rsidR="007419CB" w:rsidRPr="0028077B" w:rsidRDefault="007419CB" w:rsidP="0021751D">
      <w:pPr>
        <w:pStyle w:val="NormalWeb"/>
        <w:spacing w:before="0" w:beforeAutospacing="0" w:after="160" w:afterAutospacing="0" w:line="480" w:lineRule="auto"/>
        <w:rPr>
          <w:lang w:val="en-US"/>
        </w:rPr>
      </w:pPr>
      <w:r w:rsidRPr="0028077B">
        <w:rPr>
          <w:lang w:val="en-US"/>
        </w:rPr>
        <w:t>Even in this exhaustive setting, the constant-weight / Hamming-distance interpretation remains useful. It provides a natural framework for generalizing the present workflow to richer design spaces (e.g. up to eight constituents per alloy, or larger pools of candidate elements), where full enumeration would no longer be feasible</w:t>
      </w:r>
      <w:r w:rsidRPr="00F94A43">
        <w:rPr>
          <w:lang w:val="en-US"/>
        </w:rPr>
        <w:t>. In such cases, replacing the exhaustive scan by a true Hamming-distance-based covering</w:t>
      </w:r>
      <w:r>
        <w:rPr>
          <w:lang w:val="en-US"/>
        </w:rPr>
        <w:t xml:space="preserve"> – </w:t>
      </w:r>
      <w:r w:rsidRPr="00F94A43">
        <w:rPr>
          <w:lang w:val="en-US"/>
        </w:rPr>
        <w:t xml:space="preserve">using </w:t>
      </w:r>
      <m:oMath>
        <m:sSub>
          <m:sSubPr>
            <m:ctrlPr>
              <w:rPr>
                <w:rStyle w:val="katex-mathml"/>
                <w:rFonts w:eastAsia="Arial"/>
                <w:i/>
                <w:lang w:val="en-US"/>
              </w:rPr>
            </m:ctrlPr>
          </m:sSubPr>
          <m:e>
            <m:r>
              <w:rPr>
                <w:rStyle w:val="katex-mathml"/>
                <w:rFonts w:eastAsia="Arial"/>
                <w:lang w:val="en-US"/>
              </w:rPr>
              <m:t>d</m:t>
            </m:r>
          </m:e>
          <m:sub>
            <m:r>
              <m:rPr>
                <m:sty m:val="p"/>
              </m:rPr>
              <w:rPr>
                <w:rStyle w:val="katex-mathml"/>
                <w:rFonts w:eastAsia="Arial"/>
                <w:lang w:val="en-US"/>
              </w:rPr>
              <m:t>min</m:t>
            </m:r>
          </m:sub>
        </m:sSub>
        <m:r>
          <w:rPr>
            <w:rStyle w:val="katex-mathml"/>
            <w:rFonts w:ascii="Cambria Math" w:eastAsia="Arial" w:hAnsi="Cambria Math"/>
            <w:lang w:val="en-US"/>
          </w:rPr>
          <m:t>≥</m:t>
        </m:r>
        <m:r>
          <w:rPr>
            <w:rStyle w:val="katex-mathml"/>
            <w:rFonts w:ascii="Cambria Math" w:eastAsia="Arial"/>
            <w:lang w:val="en-US"/>
          </w:rPr>
          <m:t>3</m:t>
        </m:r>
      </m:oMath>
      <w:r w:rsidRPr="00F94A43">
        <w:rPr>
          <w:lang w:val="en-US"/>
        </w:rPr>
        <w:t xml:space="preserve"> or </w:t>
      </w:r>
      <m:oMath>
        <m:sSub>
          <m:sSubPr>
            <m:ctrlPr>
              <w:rPr>
                <w:rStyle w:val="katex-mathml"/>
                <w:rFonts w:eastAsia="Arial"/>
                <w:i/>
                <w:lang w:val="en-US"/>
              </w:rPr>
            </m:ctrlPr>
          </m:sSubPr>
          <m:e>
            <m:r>
              <w:rPr>
                <w:rStyle w:val="katex-mathml"/>
                <w:rFonts w:eastAsia="Arial"/>
                <w:lang w:val="en-US"/>
              </w:rPr>
              <m:t>d</m:t>
            </m:r>
          </m:e>
          <m:sub>
            <m:r>
              <m:rPr>
                <m:sty m:val="p"/>
              </m:rPr>
              <w:rPr>
                <w:rStyle w:val="katex-mathml"/>
                <w:rFonts w:eastAsia="Arial"/>
                <w:lang w:val="en-US"/>
              </w:rPr>
              <m:t>min</m:t>
            </m:r>
          </m:sub>
        </m:sSub>
        <m:r>
          <w:rPr>
            <w:rStyle w:val="katex-mathml"/>
            <w:rFonts w:ascii="Cambria Math" w:eastAsia="Arial" w:hAnsi="Cambria Math"/>
            <w:lang w:val="en-US"/>
          </w:rPr>
          <m:t>≥</m:t>
        </m:r>
        <m:r>
          <w:rPr>
            <w:rStyle w:val="katex-mathml"/>
            <w:rFonts w:ascii="Cambria Math" w:eastAsia="Arial"/>
            <w:lang w:val="en-US"/>
          </w:rPr>
          <m:t>5</m:t>
        </m:r>
      </m:oMath>
      <w:r w:rsidRPr="00F94A43">
        <w:rPr>
          <w:lang w:val="en-US"/>
        </w:rPr>
        <w:t xml:space="preserve"> to </w:t>
      </w:r>
      <w:r w:rsidRPr="0028077B">
        <w:rPr>
          <w:lang w:val="en-US"/>
        </w:rPr>
        <w:t>cap the number of shared elements</w:t>
      </w:r>
      <w:r>
        <w:rPr>
          <w:lang w:val="en-US"/>
        </w:rPr>
        <w:t xml:space="preserve"> – </w:t>
      </w:r>
      <w:r w:rsidRPr="0028077B">
        <w:rPr>
          <w:lang w:val="en-US"/>
        </w:rPr>
        <w:t>would allow the generation of a maximally diverse but computationally manageable subset of alloys, which could then be used to augment the CVAE training data in the same way as in this quinary study.</w:t>
      </w:r>
    </w:p>
    <w:p w:rsidR="007419CB" w:rsidRDefault="007419CB" w:rsidP="0021751D">
      <w:pPr>
        <w:pStyle w:val="NormalWeb"/>
        <w:spacing w:before="0" w:beforeAutospacing="0" w:after="160" w:afterAutospacing="0" w:line="480" w:lineRule="auto"/>
        <w:rPr>
          <w:lang w:val="en-US"/>
        </w:rPr>
      </w:pPr>
      <w:r w:rsidRPr="000A4838">
        <w:rPr>
          <w:lang w:val="en-US"/>
        </w:rPr>
        <w:t xml:space="preserve">The second idea consists in refining the stoichiometries of these new alloy compositions through gradient ascent optimization. An </w:t>
      </w:r>
      <w:proofErr w:type="spellStart"/>
      <w:r w:rsidRPr="000A4838">
        <w:rPr>
          <w:lang w:val="en-US"/>
        </w:rPr>
        <w:t>equiatomic</w:t>
      </w:r>
      <w:proofErr w:type="spellEnd"/>
      <w:r w:rsidRPr="000A4838">
        <w:rPr>
          <w:lang w:val="en-US"/>
        </w:rPr>
        <w:t xml:space="preserve"> stoichiometry of 0.2 for each of the five selected elements may seem natural because it maximizes configurational entropy. </w:t>
      </w:r>
      <w:r w:rsidRPr="003709EA">
        <w:rPr>
          <w:lang w:val="en-US"/>
        </w:rPr>
        <w:t xml:space="preserve">However, this assumption does not fully exploit the opportunity to fine-tune other critical physical properties relevant to HEA formation and performance. Because several of these properties are differentiable or can be approximated by differentiable functions, gradient ascent is introduced to systematically optimize them. </w:t>
      </w:r>
    </w:p>
    <w:p w:rsidR="007419CB" w:rsidRPr="000A4838" w:rsidRDefault="007419CB" w:rsidP="0021751D">
      <w:pPr>
        <w:pStyle w:val="NormalWeb"/>
        <w:spacing w:before="0" w:beforeAutospacing="0" w:after="160" w:afterAutospacing="0" w:line="480" w:lineRule="auto"/>
        <w:rPr>
          <w:lang w:val="en-US"/>
        </w:rPr>
      </w:pPr>
      <w:r w:rsidRPr="003709EA">
        <w:rPr>
          <w:lang w:val="en-US"/>
        </w:rPr>
        <w:lastRenderedPageBreak/>
        <w:t>Specifically, three explicitly differentiable quantities that are central to HEA stability and performance are targeted: stoichiometric entropy, the average number of valence electrons per atom, and the atomic-radius mismatch.</w:t>
      </w:r>
      <w:r>
        <w:rPr>
          <w:lang w:val="en-US"/>
        </w:rPr>
        <w:t xml:space="preserve"> </w:t>
      </w:r>
      <w:r w:rsidRPr="000A4838">
        <w:rPr>
          <w:lang w:val="en-US"/>
        </w:rPr>
        <w:t>Additionally, two other critical properties – melting temperature and density – were approximated by the weighted averages of the elemental properties, which are effectively differentiable concerning stoichiometric fractions in HEAs due to their single-phase, solid-solution nature. Indeed, it has been established in the literature that the melting temperature of an HEA closely approximates the stoichiometric average of its constituents' melting points, making it amenable to gradient-based optimization.</w:t>
      </w:r>
    </w:p>
    <w:p w:rsidR="007419CB" w:rsidRPr="00092C88" w:rsidRDefault="007419CB" w:rsidP="0021751D">
      <w:pPr>
        <w:pStyle w:val="NormalWeb"/>
        <w:spacing w:before="0" w:beforeAutospacing="0" w:after="160" w:afterAutospacing="0" w:line="480" w:lineRule="auto"/>
        <w:rPr>
          <w:highlight w:val="yellow"/>
          <w:lang w:val="en-US"/>
        </w:rPr>
      </w:pPr>
      <w:r w:rsidRPr="003709EA">
        <w:rPr>
          <w:lang w:val="en-US"/>
        </w:rPr>
        <w:t>To implement gradient ascent in practice, the optimization objective is defined as the sum of the logarithms of the five targeted property functions</w:t>
      </w:r>
      <w:r>
        <w:rPr>
          <w:lang w:val="en-US"/>
        </w:rPr>
        <w:t>:</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7419CB" w:rsidP="0021751D">
            <w:pPr>
              <w:spacing w:after="160" w:line="480" w:lineRule="auto"/>
              <w:rPr>
                <w:lang w:val="en-US"/>
              </w:rPr>
            </w:pPr>
            <m:oMathPara>
              <m:oMath>
                <m:r>
                  <m:rPr>
                    <m:sty m:val="p"/>
                  </m:rPr>
                  <w:rPr>
                    <w:rFonts w:ascii="Cambria Math" w:hAnsi="Cambria Math"/>
                    <w:lang w:val="en-US"/>
                  </w:rPr>
                  <m:t>Objective</m:t>
                </m:r>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5</m:t>
                    </m:r>
                  </m:sup>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e>
                    </m:func>
                  </m:e>
                </m:nary>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3</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pStyle w:val="NormalWeb"/>
        <w:spacing w:before="0" w:beforeAutospacing="0" w:after="160" w:afterAutospacing="0" w:line="480" w:lineRule="auto"/>
        <w:rPr>
          <w:lang w:val="en-US"/>
        </w:rPr>
      </w:pPr>
      <w:r w:rsidRPr="000A4838">
        <w:rPr>
          <w:lang w:val="en-US"/>
        </w:rPr>
        <w:t>This formulation was particularly advantageous as it converted multiplicative optimization objectives into additive ones, thereby simplifying numerical convergence and neutralizing disparities in property scales. In practice, a proportional improvement in any targeted property consistently resulted in a comparable impact on the overall objective, effectively eliminating concerns related to differing units or magnitudes across properties.</w:t>
      </w:r>
    </w:p>
    <w:p w:rsidR="007419CB" w:rsidRPr="00092C88" w:rsidRDefault="007419CB" w:rsidP="0021751D">
      <w:pPr>
        <w:pStyle w:val="NormalWeb"/>
        <w:spacing w:before="0" w:beforeAutospacing="0" w:after="160" w:afterAutospacing="0" w:line="480" w:lineRule="auto"/>
        <w:rPr>
          <w:highlight w:val="yellow"/>
          <w:lang w:val="en-US"/>
        </w:rPr>
      </w:pPr>
      <w:r w:rsidRPr="000A4838">
        <w:rPr>
          <w:lang w:val="en-US"/>
        </w:rPr>
        <w:t xml:space="preserve">For properties intrinsically requiring maximization, such as melting temperature and stoichiometric entropy, direct inclusion into the objective function was straightforward. However, properties that required precise control within a specified optimal window – such as the atomic radius mismatch – necessitated an additional transformation. </w:t>
      </w:r>
      <w:r w:rsidRPr="003709EA">
        <w:rPr>
          <w:lang w:val="en-US"/>
        </w:rPr>
        <w:t>Exponential penalty functions were introduced to discourage deviations from the desired property ranges</w:t>
      </w:r>
      <w:r>
        <w:rPr>
          <w:lang w:val="en-US"/>
        </w:rPr>
        <w:t>:</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7419CB" w:rsidP="0021751D">
            <w:pPr>
              <w:spacing w:after="160" w:line="480" w:lineRule="auto"/>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δ</m:t>
                    </m:r>
                  </m:e>
                </m:d>
                <m:r>
                  <w:rPr>
                    <w:rFonts w:ascii="Cambria Math" w:hAnsi="Cambria Math"/>
                    <w:lang w:val="en-US"/>
                  </w:rPr>
                  <m:t>=</m:t>
                </m:r>
                <m:r>
                  <m:rPr>
                    <m:sty m:val="p"/>
                  </m:rPr>
                  <w:rPr>
                    <w:rFonts w:ascii="Cambria Math" w:hAnsi="Cambria Math"/>
                    <w:lang w:val="en-US"/>
                  </w:rPr>
                  <m:t>exp</m:t>
                </m:r>
                <m:d>
                  <m:dPr>
                    <m:ctrlPr>
                      <w:rPr>
                        <w:rFonts w:ascii="Cambria Math" w:hAnsi="Cambria Math"/>
                        <w:i/>
                        <w:lang w:val="en-US"/>
                      </w:rPr>
                    </m:ctrlPr>
                  </m:dPr>
                  <m:e>
                    <m:r>
                      <w:rPr>
                        <w:rFonts w:ascii="Cambria Math" w:hAnsi="Cambria Math"/>
                        <w:lang w:val="en-US"/>
                      </w:rPr>
                      <m:t>-α</m:t>
                    </m:r>
                    <m:d>
                      <m:dPr>
                        <m:begChr m:val="["/>
                        <m:endChr m:val="]"/>
                        <m:ctrlPr>
                          <w:rPr>
                            <w:rFonts w:ascii="Cambria Math" w:hAnsi="Cambria Math"/>
                            <w:i/>
                            <w:lang w:val="en-US"/>
                          </w:rPr>
                        </m:ctrlPr>
                      </m:dPr>
                      <m:e>
                        <m:func>
                          <m:funcPr>
                            <m:ctrlPr>
                              <w:rPr>
                                <w:rFonts w:ascii="Cambria Math" w:hAnsi="Cambria Math"/>
                                <w:lang w:val="en-US"/>
                              </w:rPr>
                            </m:ctrlPr>
                          </m:funcPr>
                          <m:fName>
                            <m:r>
                              <m:rPr>
                                <m:sty m:val="p"/>
                              </m:rPr>
                              <w:rPr>
                                <w:rFonts w:ascii="Cambria Math" w:hAnsi="Cambria Math"/>
                                <w:lang w:val="en-US"/>
                              </w:rPr>
                              <m:t>max</m:t>
                            </m:r>
                          </m:fName>
                          <m:e>
                            <m:d>
                              <m:dPr>
                                <m:ctrlPr>
                                  <w:rPr>
                                    <w:rFonts w:ascii="Cambria Math" w:hAnsi="Cambria Math"/>
                                    <w:i/>
                                    <w:lang w:val="en-US"/>
                                  </w:rPr>
                                </m:ctrlPr>
                              </m:dPr>
                              <m:e>
                                <m:r>
                                  <w:rPr>
                                    <w:rFonts w:ascii="Cambria Math" w:hAnsi="Cambria Math"/>
                                    <w:lang w:val="en-US"/>
                                  </w:rPr>
                                  <m:t>0,δ-</m:t>
                                </m:r>
                                <m:sSub>
                                  <m:sSubPr>
                                    <m:ctrlPr>
                                      <w:rPr>
                                        <w:rFonts w:ascii="Cambria Math" w:hAnsi="Cambria Math"/>
                                        <w:i/>
                                        <w:lang w:val="en-US"/>
                                      </w:rPr>
                                    </m:ctrlPr>
                                  </m:sSubPr>
                                  <m:e>
                                    <m:r>
                                      <w:rPr>
                                        <w:rFonts w:ascii="Cambria Math" w:hAnsi="Cambria Math"/>
                                        <w:lang w:val="en-US"/>
                                      </w:rPr>
                                      <m:t>δ</m:t>
                                    </m:r>
                                  </m:e>
                                  <m:sub>
                                    <m:r>
                                      <m:rPr>
                                        <m:sty m:val="p"/>
                                      </m:rPr>
                                      <w:rPr>
                                        <w:rFonts w:ascii="Cambria Math" w:hAnsi="Cambria Math"/>
                                        <w:lang w:val="en-US"/>
                                      </w:rPr>
                                      <m:t>max</m:t>
                                    </m:r>
                                  </m:sub>
                                </m:sSub>
                              </m:e>
                            </m:d>
                          </m:e>
                        </m:func>
                        <m:r>
                          <w:rPr>
                            <w:rFonts w:ascii="Cambria Math" w:hAnsi="Cambria Math"/>
                            <w:lang w:val="en-US"/>
                          </w:rPr>
                          <m:t>+</m:t>
                        </m:r>
                        <m:r>
                          <m:rPr>
                            <m:sty m:val="p"/>
                          </m:rPr>
                          <w:rPr>
                            <w:rFonts w:ascii="Cambria Math" w:hAnsi="Cambria Math"/>
                            <w:lang w:val="en-US"/>
                          </w:rPr>
                          <m:t>max⁡</m:t>
                        </m:r>
                        <m:r>
                          <w:rPr>
                            <w:rFonts w:ascii="Cambria Math" w:hAnsi="Cambria Math"/>
                            <w:lang w:val="en-US"/>
                          </w:rPr>
                          <m:t>(0,</m:t>
                        </m:r>
                        <m:sSub>
                          <m:sSubPr>
                            <m:ctrlPr>
                              <w:rPr>
                                <w:rFonts w:ascii="Cambria Math" w:hAnsi="Cambria Math"/>
                                <w:i/>
                                <w:lang w:val="en-US"/>
                              </w:rPr>
                            </m:ctrlPr>
                          </m:sSubPr>
                          <m:e>
                            <m:r>
                              <w:rPr>
                                <w:rFonts w:ascii="Cambria Math" w:hAnsi="Cambria Math"/>
                                <w:lang w:val="en-US"/>
                              </w:rPr>
                              <m:t>δ</m:t>
                            </m:r>
                          </m:e>
                          <m:sub>
                            <m:r>
                              <m:rPr>
                                <m:sty m:val="p"/>
                              </m:rPr>
                              <w:rPr>
                                <w:rFonts w:ascii="Cambria Math" w:hAnsi="Cambria Math"/>
                                <w:lang w:val="en-US"/>
                              </w:rPr>
                              <m:t>min</m:t>
                            </m:r>
                          </m:sub>
                        </m:sSub>
                        <m:r>
                          <w:rPr>
                            <w:rFonts w:ascii="Cambria Math" w:hAnsi="Cambria Math"/>
                            <w:lang w:val="en-US"/>
                          </w:rPr>
                          <m:t>-δ)</m:t>
                        </m:r>
                      </m:e>
                    </m:d>
                  </m:e>
                </m:d>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pStyle w:val="NormalWeb"/>
        <w:spacing w:before="0" w:beforeAutospacing="0" w:after="160" w:afterAutospacing="0" w:line="480" w:lineRule="auto"/>
        <w:rPr>
          <w:lang w:val="en-US"/>
        </w:rPr>
      </w:pPr>
      <w:r w:rsidRPr="000A4838">
        <w:rPr>
          <w:lang w:val="en-US"/>
        </w:rPr>
        <w:lastRenderedPageBreak/>
        <w:t>This transformation effectively converted the problem of maintaining property values within a certain interval into a continuous maximization problem, fully compatible with gradient ascent.</w:t>
      </w:r>
    </w:p>
    <w:p w:rsidR="007419CB" w:rsidRPr="000A4838" w:rsidRDefault="007419CB" w:rsidP="0021751D">
      <w:pPr>
        <w:pStyle w:val="NormalWeb"/>
        <w:spacing w:before="0" w:beforeAutospacing="0" w:after="160" w:afterAutospacing="0" w:line="480" w:lineRule="auto"/>
        <w:rPr>
          <w:lang w:val="en-US"/>
        </w:rPr>
      </w:pPr>
      <w:r w:rsidRPr="000A4838">
        <w:rPr>
          <w:lang w:val="en-US"/>
        </w:rPr>
        <w:t>Stoichiometric vectors were iteratively updated by computing numerical gradients using finite differences and applying fixed-norm updates along the gradient direction:</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DC400B" w:rsidRDefault="00CC139D" w:rsidP="0021751D">
            <w:pPr>
              <w:spacing w:after="160" w:line="480" w:lineRule="auto"/>
              <w:rPr>
                <w:rFonts w:eastAsiaTheme="minorEastAsia"/>
                <w:lang w:val="en-US"/>
              </w:rPr>
            </w:pPr>
            <m:oMathPara>
              <m:oMath>
                <m:sSub>
                  <m:sSubPr>
                    <m:ctrlPr>
                      <w:rPr>
                        <w:rFonts w:ascii="Cambria Math" w:hAnsi="Cambria Math"/>
                        <w:i/>
                        <w:lang w:val="en-US"/>
                      </w:rPr>
                    </m:ctrlPr>
                  </m:sSubPr>
                  <m:e>
                    <m:r>
                      <w:rPr>
                        <w:rFonts w:ascii="Cambria Math" w:hAnsi="Cambria Math"/>
                        <w:lang w:val="en-US"/>
                      </w:rPr>
                      <m:t>w</m:t>
                    </m:r>
                  </m:e>
                  <m:sub>
                    <m:r>
                      <m:rPr>
                        <m:sty m:val="p"/>
                      </m:rPr>
                      <w:rPr>
                        <w:rFonts w:ascii="Cambria Math" w:hAnsi="Cambria Math"/>
                        <w:lang w:val="en-US"/>
                      </w:rPr>
                      <m:t>new</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m:rPr>
                        <m:sty m:val="p"/>
                      </m:rPr>
                      <w:rPr>
                        <w:rFonts w:ascii="Cambria Math" w:hAnsi="Cambria Math"/>
                        <w:lang w:val="en-US"/>
                      </w:rPr>
                      <m:t>old</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m:t>
                    </m:r>
                    <m:r>
                      <w:rPr>
                        <w:rFonts w:ascii="Cambria Math" w:hAnsi="Cambria Math"/>
                        <w:lang w:val="en-US"/>
                      </w:rPr>
                      <m:t>f(</m:t>
                    </m:r>
                    <m:sSub>
                      <m:sSubPr>
                        <m:ctrlPr>
                          <w:rPr>
                            <w:rFonts w:ascii="Cambria Math" w:hAnsi="Cambria Math"/>
                            <w:i/>
                            <w:lang w:val="en-US"/>
                          </w:rPr>
                        </m:ctrlPr>
                      </m:sSubPr>
                      <m:e>
                        <m:r>
                          <w:rPr>
                            <w:rFonts w:ascii="Cambria Math" w:hAnsi="Cambria Math"/>
                            <w:lang w:val="en-US"/>
                          </w:rPr>
                          <m:t>w</m:t>
                        </m:r>
                      </m:e>
                      <m:sub>
                        <m:r>
                          <m:rPr>
                            <m:sty m:val="p"/>
                          </m:rPr>
                          <w:rPr>
                            <w:rFonts w:ascii="Cambria Math" w:hAnsi="Cambria Math"/>
                            <w:lang w:val="en-US"/>
                          </w:rPr>
                          <m:t>old</m:t>
                        </m:r>
                      </m:sub>
                    </m:sSub>
                    <m:r>
                      <w:rPr>
                        <w:rFonts w:ascii="Cambria Math" w:hAnsi="Cambria Math"/>
                        <w:lang w:val="en-US"/>
                      </w:rPr>
                      <m:t>)</m:t>
                    </m:r>
                  </m:num>
                  <m:den>
                    <m:d>
                      <m:dPr>
                        <m:begChr m:val="‖"/>
                        <m:endChr m:val="‖"/>
                        <m:ctrlPr>
                          <w:rPr>
                            <w:rFonts w:ascii="Cambria Math" w:hAnsi="Cambria Math"/>
                            <w:i/>
                            <w:lang w:val="en-US"/>
                          </w:rPr>
                        </m:ctrlPr>
                      </m:dPr>
                      <m:e>
                        <m:r>
                          <m:rPr>
                            <m:sty m:val="p"/>
                          </m:rPr>
                          <w:rPr>
                            <w:rFonts w:ascii="Cambria Math" w:hAnsi="Cambria Math"/>
                            <w:lang w:val="en-US"/>
                          </w:rPr>
                          <m:t>∇</m:t>
                        </m:r>
                        <m:r>
                          <w:rPr>
                            <w:rFonts w:ascii="Cambria Math" w:hAnsi="Cambria Math"/>
                            <w:lang w:val="en-US"/>
                          </w:rPr>
                          <m:t>f(</m:t>
                        </m:r>
                        <m:sSub>
                          <m:sSubPr>
                            <m:ctrlPr>
                              <w:rPr>
                                <w:rFonts w:ascii="Cambria Math" w:hAnsi="Cambria Math"/>
                                <w:i/>
                                <w:lang w:val="en-US"/>
                              </w:rPr>
                            </m:ctrlPr>
                          </m:sSubPr>
                          <m:e>
                            <m:r>
                              <w:rPr>
                                <w:rFonts w:ascii="Cambria Math" w:hAnsi="Cambria Math"/>
                                <w:lang w:val="en-US"/>
                              </w:rPr>
                              <m:t>w</m:t>
                            </m:r>
                          </m:e>
                          <m:sub>
                            <m:r>
                              <m:rPr>
                                <m:sty m:val="p"/>
                              </m:rPr>
                              <w:rPr>
                                <w:rFonts w:ascii="Cambria Math" w:hAnsi="Cambria Math"/>
                                <w:lang w:val="en-US"/>
                              </w:rPr>
                              <m:t>old</m:t>
                            </m:r>
                          </m:sub>
                        </m:sSub>
                        <m:r>
                          <w:rPr>
                            <w:rFonts w:ascii="Cambria Math" w:hAnsi="Cambria Math"/>
                            <w:lang w:val="en-US"/>
                          </w:rPr>
                          <m:t>)</m:t>
                        </m:r>
                      </m:e>
                    </m:d>
                  </m:den>
                </m:f>
                <m:r>
                  <w:rPr>
                    <w:rFonts w:ascii="Cambria Math" w:hAnsi="Cambria Math"/>
                    <w:lang w:val="en-US"/>
                  </w:rPr>
                  <m:t>u</m:t>
                </m:r>
              </m:oMath>
            </m:oMathPara>
          </w:p>
          <w:p w:rsidR="007419CB" w:rsidRPr="00DC400B" w:rsidRDefault="007419CB" w:rsidP="0021751D">
            <w:pPr>
              <w:spacing w:after="160" w:line="480" w:lineRule="auto"/>
              <w:rPr>
                <w:sz w:val="12"/>
                <w:szCs w:val="12"/>
                <w:lang w:val="en-US"/>
              </w:rPr>
            </w:pPr>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5</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pStyle w:val="NormalWeb"/>
        <w:spacing w:before="0" w:beforeAutospacing="0" w:after="160" w:afterAutospacing="0" w:line="480" w:lineRule="auto"/>
        <w:rPr>
          <w:lang w:val="en-US"/>
        </w:rPr>
      </w:pPr>
      <w:r w:rsidRPr="000A4838">
        <w:rPr>
          <w:lang w:val="en-US"/>
        </w:rPr>
        <w:t xml:space="preserve">where </w:t>
      </w:r>
      <m:oMath>
        <m:r>
          <w:rPr>
            <w:rFonts w:ascii="Cambria Math" w:hAnsi="Cambria Math"/>
            <w:lang w:val="en-US"/>
          </w:rPr>
          <m:t>w</m:t>
        </m:r>
      </m:oMath>
      <w:r w:rsidRPr="000A4838">
        <w:rPr>
          <w:lang w:val="en-US"/>
        </w:rPr>
        <w:t xml:space="preserve"> represents the stoichiometric fractions, and </w:t>
      </w:r>
      <m:oMath>
        <m:r>
          <w:rPr>
            <w:rFonts w:ascii="Cambria Math" w:hAnsi="Cambria Math"/>
            <w:lang w:val="en-US"/>
          </w:rPr>
          <m:t>u</m:t>
        </m:r>
      </m:oMath>
      <w:r w:rsidRPr="000A4838">
        <w:rPr>
          <w:lang w:val="en-US"/>
        </w:rPr>
        <w:t xml:space="preserve"> controls the update magnitude. Iterations continued until either convergence or non-physical stoichiometries (negative or zero fractions) emerged.</w:t>
      </w:r>
    </w:p>
    <w:p w:rsidR="007419CB" w:rsidRPr="000A4838" w:rsidRDefault="007419CB" w:rsidP="0021751D">
      <w:pPr>
        <w:pStyle w:val="NormalWeb"/>
        <w:spacing w:before="0" w:beforeAutospacing="0" w:after="160" w:afterAutospacing="0" w:line="480" w:lineRule="auto"/>
        <w:rPr>
          <w:lang w:val="en-US"/>
        </w:rPr>
      </w:pPr>
      <w:r w:rsidRPr="000A4838">
        <w:rPr>
          <w:lang w:val="en-US"/>
        </w:rPr>
        <w:t xml:space="preserve">This combined approach – discrete Hamming sampling followed by stoichiometric gradient ascent – not only significantly broadened the compositional space explored by the CVAE but also markedly increased the likelihood of identifying new alloys that simultaneously satisfied all necessary property constraints. Consequently, many newly generated alloys emerged within previously unexplored regions of the multi-dimensional physical property space, thus enriching the CVAE’s latent manifold with </w:t>
      </w:r>
      <w:r>
        <w:rPr>
          <w:lang w:val="en-US"/>
        </w:rPr>
        <w:t>additional, potentially valuable, samples</w:t>
      </w:r>
      <w:r w:rsidRPr="000A4838">
        <w:rPr>
          <w:lang w:val="en-US"/>
        </w:rPr>
        <w:t>. This integrated augmentation strategy therefore represents a substantial methodological advancement, enhancing both the depth and breadth of the generative model's capability to discover innovative high-entropy single-phase alloys.</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56" w:name="_Ref204593111"/>
      <w:bookmarkStart w:id="157" w:name="_Toc214314372"/>
      <w:bookmarkStart w:id="158" w:name="_Toc216021120"/>
      <w:r w:rsidRPr="000A4838">
        <w:rPr>
          <w:rFonts w:ascii="Times New Roman" w:hAnsi="Times New Roman" w:cs="Times New Roman"/>
          <w:color w:val="auto"/>
          <w:sz w:val="24"/>
          <w:szCs w:val="24"/>
          <w:lang w:val="en-US"/>
        </w:rPr>
        <w:t>Simplex Steepest-Ascent on Pareto Front Compositions</w:t>
      </w:r>
      <w:bookmarkEnd w:id="156"/>
      <w:bookmarkEnd w:id="157"/>
      <w:bookmarkEnd w:id="158"/>
    </w:p>
    <w:p w:rsidR="007419CB" w:rsidRPr="000A4838" w:rsidRDefault="007419CB" w:rsidP="0021751D">
      <w:pPr>
        <w:pStyle w:val="NormalWeb"/>
        <w:spacing w:before="0" w:beforeAutospacing="0" w:after="160" w:afterAutospacing="0" w:line="480" w:lineRule="auto"/>
        <w:rPr>
          <w:lang w:val="en-US"/>
        </w:rPr>
      </w:pPr>
      <w:r w:rsidRPr="003709EA">
        <w:rPr>
          <w:lang w:val="en-US"/>
        </w:rPr>
        <w:t xml:space="preserve">Building upon the demonstrated effectiveness of the previous gradient-ascent procedure in identifying alloy compositions that populate the Pareto front, the approach was extended to </w:t>
      </w:r>
      <w:r w:rsidRPr="003709EA">
        <w:rPr>
          <w:lang w:val="en-US"/>
        </w:rPr>
        <w:lastRenderedPageBreak/>
        <w:t>explicitly leverage the best-performing alloys obtained in earlier optimization cycles. Each alloy already positioned on the Pareto front was used as a new initialization point, from which further gradient-based optimization of its stoichiometry was performed.</w:t>
      </w:r>
      <w:r>
        <w:rPr>
          <w:lang w:val="en-US"/>
        </w:rPr>
        <w:t xml:space="preserve"> </w:t>
      </w:r>
      <w:r w:rsidRPr="000A4838">
        <w:rPr>
          <w:lang w:val="en-US"/>
        </w:rPr>
        <w:t>The rationale was straightforward: since these alloys already demonstrated favorable combinations of material properties, they represent promising regions of composition space from which additional incremental improvements might be attained.</w:t>
      </w:r>
    </w:p>
    <w:p w:rsidR="007419CB" w:rsidRPr="000A4838" w:rsidRDefault="007419CB" w:rsidP="0021751D">
      <w:pPr>
        <w:pStyle w:val="NormalWeb"/>
        <w:spacing w:before="0" w:beforeAutospacing="0" w:after="160" w:afterAutospacing="0" w:line="480" w:lineRule="auto"/>
        <w:rPr>
          <w:lang w:val="en-US"/>
        </w:rPr>
      </w:pPr>
      <w:r w:rsidRPr="000A4838">
        <w:rPr>
          <w:lang w:val="en-US"/>
        </w:rPr>
        <w:t xml:space="preserve">This optimization differed fundamentally from the previously implemented method because the objective function in this iteration no longer relied exclusively on strictly differentiable quantities. Instead, the function F was designed either as a soft-minimum across the property-based scores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0A4838">
        <w:rPr>
          <w:lang w:val="en-US"/>
        </w:rPr>
        <w:t xml:space="preserve"> or as the sum of their logarithms, depending on the optimization run. The soft-minimum formulation ensures that improvements target the weakest score among the set, while the logarithmic sum offers a balanced approach, simultaneously enhancing all scores in a multiplicative sense. Both approaches allowed flexible and effective optimization across diverse, competing material property objectives.</w:t>
      </w:r>
    </w:p>
    <w:p w:rsidR="007419CB" w:rsidRPr="0033084F" w:rsidRDefault="007419CB" w:rsidP="0021751D">
      <w:pPr>
        <w:pStyle w:val="NormalWeb"/>
        <w:spacing w:before="0" w:beforeAutospacing="0" w:after="160" w:afterAutospacing="0" w:line="480" w:lineRule="auto"/>
        <w:rPr>
          <w:lang w:val="en-US"/>
        </w:rPr>
      </w:pPr>
      <w:r w:rsidRPr="000A4838">
        <w:rPr>
          <w:lang w:val="en-US"/>
        </w:rPr>
        <w:t>Given that certain descriptors and material properties employed in this approach are computed through external Python libraries, their numerical evaluations do not consistently accommodate infinitesimally small variations in stoichiometry. Consequently, exact differentiability of these quantities was no longer guaranteed, necessitating an adapted numerical approach to gradient estimation. To circumvent this limitation, a first-order finite difference scheme</w:t>
      </w:r>
      <w:r>
        <w:rPr>
          <w:lang w:val="en-US"/>
        </w:rPr>
        <w:t xml:space="preserve"> is implemented</w:t>
      </w:r>
      <w:r w:rsidRPr="000A4838">
        <w:rPr>
          <w:lang w:val="en-US"/>
        </w:rPr>
        <w:t xml:space="preserve">, using sufficiently large finite differences (denoted by epsilon, </w:t>
      </w:r>
      <m:oMath>
        <m:r>
          <w:rPr>
            <w:rFonts w:ascii="Cambria Math" w:hAnsi="Cambria Math"/>
            <w:lang w:val="en-US"/>
          </w:rPr>
          <m:t>ε≈</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m:t>
            </m:r>
          </m:sup>
        </m:sSup>
      </m:oMath>
      <w:r w:rsidRPr="000A4838">
        <w:rPr>
          <w:lang w:val="en-US"/>
        </w:rPr>
        <w:t>) to surpass the numerical resolution limits inherent to these ext</w:t>
      </w:r>
      <w:proofErr w:type="spellStart"/>
      <w:r w:rsidRPr="000A4838">
        <w:rPr>
          <w:lang w:val="en-US"/>
        </w:rPr>
        <w:t>ernal</w:t>
      </w:r>
      <w:proofErr w:type="spellEnd"/>
      <w:r w:rsidRPr="000A4838">
        <w:rPr>
          <w:lang w:val="en-US"/>
        </w:rPr>
        <w:t xml:space="preserve"> computational libraries. </w:t>
      </w:r>
      <w:r w:rsidRPr="0033084F">
        <w:rPr>
          <w:lang w:val="en-US"/>
        </w:rPr>
        <w:t xml:space="preserve">This strategy aims at </w:t>
      </w:r>
      <w:r w:rsidRPr="000A4838">
        <w:rPr>
          <w:lang w:val="en-US"/>
        </w:rPr>
        <w:t>captur</w:t>
      </w:r>
      <w:r>
        <w:rPr>
          <w:lang w:val="en-US"/>
        </w:rPr>
        <w:t>ing</w:t>
      </w:r>
      <w:r w:rsidRPr="000A4838">
        <w:rPr>
          <w:lang w:val="en-US"/>
        </w:rPr>
        <w:t xml:space="preserve"> meaningful directions of property improvement without being masked by numerical noise</w:t>
      </w:r>
      <w:r w:rsidRPr="0033084F">
        <w:rPr>
          <w:lang w:val="en-US"/>
        </w:rPr>
        <w:t>.</w:t>
      </w:r>
    </w:p>
    <w:p w:rsidR="007419CB" w:rsidRPr="000A4838" w:rsidRDefault="007419CB" w:rsidP="0021751D">
      <w:pPr>
        <w:pStyle w:val="NormalWeb"/>
        <w:spacing w:before="0" w:beforeAutospacing="0" w:after="160" w:afterAutospacing="0" w:line="480" w:lineRule="auto"/>
        <w:rPr>
          <w:lang w:val="en-US"/>
        </w:rPr>
      </w:pPr>
      <w:r w:rsidRPr="000A4838">
        <w:rPr>
          <w:lang w:val="en-US"/>
        </w:rPr>
        <w:lastRenderedPageBreak/>
        <w:t xml:space="preserve">In practice, this optimization was implemented using a simplex-based (the total stoichiometry is set to 1) steepest ascent method. Here, each alloy composition is represented as a point constrained to the standard simplex, where stoichiometric fractions sum exactly to unity. The gradient of the objective function with respect to alloy composition was approximated by perturbing each element's fraction slightly and measuring the resulting change in objective value. More formally, given a current alloy composition </w:t>
      </w:r>
      <m:oMath>
        <m:r>
          <w:rPr>
            <w:rFonts w:ascii="Cambria Math" w:hAnsi="Cambria Math"/>
            <w:lang w:val="en-US"/>
          </w:rPr>
          <m:t>x</m:t>
        </m:r>
      </m:oMath>
      <w:r w:rsidRPr="000A4838">
        <w:rPr>
          <w:lang w:val="en-US"/>
        </w:rPr>
        <w:t xml:space="preserve">, the approximate gradient for each element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oMath>
      <w:r w:rsidRPr="000A4838">
        <w:rPr>
          <w:lang w:val="en-US"/>
        </w:rPr>
        <w:t xml:space="preserve"> was calculated as:</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3709EA" w:rsidTr="007419CB">
        <w:tc>
          <w:tcPr>
            <w:tcW w:w="8075" w:type="dxa"/>
          </w:tcPr>
          <w:p w:rsidR="007419CB" w:rsidRPr="003709EA" w:rsidRDefault="00CC139D" w:rsidP="0021751D">
            <w:pPr>
              <w:spacing w:after="160" w:line="480" w:lineRule="auto"/>
              <w:rPr>
                <w:lang w:val="en-US"/>
              </w:rPr>
            </w:pPr>
            <m:oMathPara>
              <m:oMath>
                <m:f>
                  <m:fPr>
                    <m:ctrlPr>
                      <w:rPr>
                        <w:rFonts w:ascii="Cambria Math" w:hAnsi="Cambria Math"/>
                        <w:i/>
                        <w:lang w:val="en-US"/>
                      </w:rPr>
                    </m:ctrlPr>
                  </m:fPr>
                  <m:num>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1-ε</m:t>
                            </m:r>
                          </m:e>
                        </m:d>
                        <m:r>
                          <m:rPr>
                            <m:sty m:val="bi"/>
                          </m:rPr>
                          <w:rPr>
                            <w:rFonts w:ascii="Cambria Math" w:hAnsi="Cambria Math"/>
                            <w:lang w:val="en-US"/>
                          </w:rPr>
                          <m:t>x</m:t>
                        </m:r>
                        <m:r>
                          <w:rPr>
                            <w:rFonts w:ascii="Cambria Math" w:hAnsi="Cambria Math"/>
                            <w:lang w:val="en-US"/>
                          </w:rPr>
                          <m:t>+ϵ</m:t>
                        </m:r>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i</m:t>
                            </m:r>
                          </m:sub>
                        </m:sSub>
                      </m:e>
                    </m:d>
                    <m:r>
                      <w:rPr>
                        <w:rFonts w:ascii="Cambria Math" w:hAnsi="Cambria Math"/>
                        <w:lang w:val="en-US"/>
                      </w:rPr>
                      <m:t>-F(</m:t>
                    </m:r>
                    <m:r>
                      <m:rPr>
                        <m:sty m:val="bi"/>
                      </m:rPr>
                      <w:rPr>
                        <w:rFonts w:ascii="Cambria Math" w:hAnsi="Cambria Math"/>
                        <w:lang w:val="en-US"/>
                      </w:rPr>
                      <m:t>x</m:t>
                    </m:r>
                    <m:r>
                      <w:rPr>
                        <w:rFonts w:ascii="Cambria Math" w:hAnsi="Cambria Math"/>
                        <w:lang w:val="en-US"/>
                      </w:rPr>
                      <m:t>)</m:t>
                    </m:r>
                  </m:num>
                  <m:den>
                    <m:r>
                      <w:rPr>
                        <w:rFonts w:ascii="Cambria Math" w:hAnsi="Cambria Math"/>
                        <w:lang w:val="en-US"/>
                      </w:rPr>
                      <m:t>ε</m:t>
                    </m:r>
                  </m:den>
                </m:f>
              </m:oMath>
            </m:oMathPara>
          </w:p>
        </w:tc>
        <w:tc>
          <w:tcPr>
            <w:tcW w:w="992" w:type="dxa"/>
            <w:vAlign w:val="center"/>
          </w:tcPr>
          <w:p w:rsidR="007419CB" w:rsidRPr="003709EA"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6</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3709EA" w:rsidRDefault="007419CB" w:rsidP="0021751D">
      <w:pPr>
        <w:pStyle w:val="NormalWeb"/>
        <w:spacing w:before="0" w:beforeAutospacing="0" w:after="160" w:afterAutospacing="0" w:line="480" w:lineRule="auto"/>
        <w:rPr>
          <w:lang w:val="en-US"/>
        </w:rPr>
      </w:pPr>
      <w:r w:rsidRPr="003709EA">
        <w:rPr>
          <w:lang w:val="en-US"/>
        </w:rPr>
        <w:t xml:space="preserve">where </w:t>
      </w:r>
      <m:oMath>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i</m:t>
            </m:r>
          </m:sub>
        </m:sSub>
      </m:oMath>
      <w:r w:rsidRPr="003709EA">
        <w:rPr>
          <w:lang w:val="en-US"/>
        </w:rPr>
        <w:t xml:space="preserve"> is the basis vector representing a pure perturbation toward the i-th element.</w:t>
      </w:r>
    </w:p>
    <w:p w:rsidR="007419CB" w:rsidRPr="000A4838" w:rsidRDefault="007419CB" w:rsidP="0021751D">
      <w:pPr>
        <w:pStyle w:val="NormalWeb"/>
        <w:spacing w:before="0" w:beforeAutospacing="0" w:after="160" w:afterAutospacing="0" w:line="480" w:lineRule="auto"/>
        <w:rPr>
          <w:lang w:val="en-US"/>
        </w:rPr>
      </w:pPr>
      <w:r w:rsidRPr="003709EA">
        <w:rPr>
          <w:lang w:val="en-US"/>
        </w:rPr>
        <w:t>Each optimization step involved projecting this estimated</w:t>
      </w:r>
      <w:r w:rsidRPr="000A4838">
        <w:rPr>
          <w:lang w:val="en-US"/>
        </w:rPr>
        <w:t xml:space="preserve"> gradient onto the simplex, ensuring valid stoichiometric compositions throughout the optimization process. Additionally, a backtracking line-search strategy with adaptive step sizes was employed to guarantee robust convergence. If an attempted step resulted in no improvement greater than a predefined threshold, the step size was halved repeatedly until either improvement was achieved or the step size became negligible, indicating convergence.</w:t>
      </w:r>
    </w:p>
    <w:p w:rsidR="007419CB" w:rsidRPr="000A4838" w:rsidRDefault="007419CB" w:rsidP="0021751D">
      <w:pPr>
        <w:pStyle w:val="NormalWeb"/>
        <w:spacing w:before="0" w:beforeAutospacing="0" w:after="160" w:afterAutospacing="0" w:line="480" w:lineRule="auto"/>
        <w:rPr>
          <w:lang w:val="en-US"/>
        </w:rPr>
      </w:pPr>
      <w:r w:rsidRPr="000A4838">
        <w:rPr>
          <w:lang w:val="en-US"/>
        </w:rPr>
        <w:t>During this optimization, the composition was dynamically allowed to introduce new elements not initially present in the starting alloy if such inclusion provided a positive directional derivative in the objective function. The maximum number of elements permitted in any alloy was set to six, providing flexibility while constraining complexity.</w:t>
      </w:r>
    </w:p>
    <w:p w:rsidR="007419CB" w:rsidRPr="000A4838" w:rsidRDefault="007419CB" w:rsidP="0021751D">
      <w:pPr>
        <w:pStyle w:val="NormalWeb"/>
        <w:spacing w:before="0" w:beforeAutospacing="0" w:after="160" w:afterAutospacing="0" w:line="480" w:lineRule="auto"/>
        <w:rPr>
          <w:lang w:val="en-US"/>
        </w:rPr>
      </w:pPr>
      <w:r w:rsidRPr="000A4838">
        <w:rPr>
          <w:lang w:val="en-US"/>
        </w:rPr>
        <w:t>The strength of this optimization lies precisely in its capacity to iteratively refine alloys already identified as high-performing, thereby further exploring the local regions around these promising compositions. Despite the inherent numerical challenges due to non-</w:t>
      </w:r>
      <w:r w:rsidRPr="000A4838">
        <w:rPr>
          <w:lang w:val="en-US"/>
        </w:rPr>
        <w:lastRenderedPageBreak/>
        <w:t>differentiability, the chosen finite-difference scheme and simplex projection effectively mitigated these issues, allowing meaningful progress toward improved alloy designs.</w:t>
      </w:r>
    </w:p>
    <w:p w:rsidR="007419CB" w:rsidRPr="000A4838" w:rsidRDefault="007419CB" w:rsidP="0021751D">
      <w:pPr>
        <w:pStyle w:val="NormalWeb"/>
        <w:spacing w:before="0" w:beforeAutospacing="0" w:after="160" w:afterAutospacing="0" w:line="480" w:lineRule="auto"/>
        <w:rPr>
          <w:lang w:val="en-US"/>
        </w:rPr>
      </w:pPr>
      <w:r w:rsidRPr="000A4838">
        <w:rPr>
          <w:lang w:val="en-US"/>
        </w:rPr>
        <w:t>Ultimately, this enhanced gradient-based optimization, starting from Pareto-optimal compositions, proved highly successful in practice. It generated numerous new alloys that not only continued to satisfy stringent property constraints but also systematically improved upon previously identified solutions. This outcome demonstrates the robustness and efficacy of combining numerical gradient approximations with strategic initialization, significantly extending the capability of generative design methods to pinpoint and refine novel, high-performance alloy compositions.</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59" w:name="_Ref205244222"/>
      <w:bookmarkStart w:id="160" w:name="_Toc214314373"/>
      <w:bookmarkStart w:id="161" w:name="_Toc216021121"/>
      <w:r w:rsidRPr="000A4838">
        <w:rPr>
          <w:rFonts w:ascii="Times New Roman" w:hAnsi="Times New Roman" w:cs="Times New Roman"/>
          <w:color w:val="auto"/>
          <w:sz w:val="24"/>
          <w:szCs w:val="24"/>
          <w:lang w:val="en-US"/>
        </w:rPr>
        <w:t>Results and Candidate Analysis</w:t>
      </w:r>
      <w:bookmarkEnd w:id="159"/>
      <w:bookmarkEnd w:id="160"/>
      <w:bookmarkEnd w:id="161"/>
    </w:p>
    <w:p w:rsidR="007419CB" w:rsidRDefault="007419CB" w:rsidP="0021751D">
      <w:pPr>
        <w:pStyle w:val="NormalWeb"/>
        <w:spacing w:before="0" w:beforeAutospacing="0" w:after="160" w:afterAutospacing="0" w:line="480" w:lineRule="auto"/>
        <w:rPr>
          <w:lang w:val="en-US"/>
        </w:rPr>
      </w:pPr>
      <w:r w:rsidRPr="000A4838">
        <w:rPr>
          <w:lang w:val="en-US"/>
        </w:rPr>
        <w:t>Having trained the CVAE and enriched its training corpus via Hamming‐based sampling and gradient‐based stoichiometric refinements – including simplex steepest-ascent optimization starting from previously identified Pareto-optimal compositions –</w:t>
      </w:r>
      <w:r>
        <w:rPr>
          <w:lang w:val="en-US"/>
        </w:rPr>
        <w:t xml:space="preserve"> (the whole process is presented as a flowchart on </w:t>
      </w:r>
      <w:r w:rsidRPr="004227E5">
        <w:rPr>
          <w:lang w:val="en-US"/>
        </w:rPr>
        <w:fldChar w:fldCharType="begin"/>
      </w:r>
      <w:r w:rsidRPr="004227E5">
        <w:rPr>
          <w:lang w:val="en-US"/>
        </w:rPr>
        <w:instrText xml:space="preserve"> REF _Ref214215295 \h  \* MERGEFORMAT </w:instrText>
      </w:r>
      <w:r w:rsidRPr="004227E5">
        <w:rPr>
          <w:lang w:val="en-US"/>
        </w:rPr>
      </w:r>
      <w:r w:rsidRPr="004227E5">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36</w:t>
      </w:r>
      <w:r w:rsidRPr="004227E5">
        <w:rPr>
          <w:lang w:val="en-US"/>
        </w:rPr>
        <w:fldChar w:fldCharType="end"/>
      </w:r>
      <w:r>
        <w:rPr>
          <w:lang w:val="en-US"/>
        </w:rPr>
        <w:t xml:space="preserve">), </w:t>
      </w:r>
      <w:r w:rsidRPr="000A4838">
        <w:rPr>
          <w:lang w:val="en-US"/>
        </w:rPr>
        <w:t>a comprehensive unified dataset of candidate alloys drawn from four distinct yet complementary sources</w:t>
      </w:r>
      <w:r>
        <w:rPr>
          <w:lang w:val="en-US"/>
        </w:rPr>
        <w:t xml:space="preserve"> is </w:t>
      </w:r>
      <w:r w:rsidRPr="000A4838">
        <w:rPr>
          <w:lang w:val="en-US"/>
        </w:rPr>
        <w:t xml:space="preserve">assembled: (1) the top performers identified by brute‐force enumeration (filtered to satisfy </w:t>
      </w:r>
      <m:oMath>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i</m:t>
            </m:r>
          </m:sub>
        </m:sSub>
        <m:r>
          <m:rPr>
            <m:sty m:val="p"/>
          </m:rPr>
          <w:rPr>
            <w:rFonts w:ascii="Cambria Math" w:hAnsi="Cambria Math"/>
            <w:lang w:val="en-US"/>
          </w:rPr>
          <m:t>&gt;0.3</m:t>
        </m:r>
      </m:oMath>
      <w:r w:rsidRPr="000A4838">
        <w:rPr>
          <w:lang w:val="en-US"/>
        </w:rPr>
        <w:t xml:space="preserve"> for each of the ten normalized scores), (2) a set of classic, Ni‐based superalloys for which stoichiometric composition</w:t>
      </w:r>
      <w:r>
        <w:rPr>
          <w:lang w:val="en-US"/>
        </w:rPr>
        <w:t xml:space="preserve"> were </w:t>
      </w:r>
      <w:r w:rsidRPr="000A4838">
        <w:rPr>
          <w:lang w:val="en-US"/>
        </w:rPr>
        <w:t>found and descriptors and scores</w:t>
      </w:r>
      <w:r w:rsidRPr="008735FA">
        <w:rPr>
          <w:lang w:val="en-US"/>
        </w:rPr>
        <w:t xml:space="preserve"> </w:t>
      </w:r>
      <w:r>
        <w:rPr>
          <w:lang w:val="en-US"/>
        </w:rPr>
        <w:t xml:space="preserve">were </w:t>
      </w:r>
      <w:r w:rsidRPr="000A4838">
        <w:rPr>
          <w:lang w:val="en-US"/>
        </w:rPr>
        <w:t xml:space="preserve">recomputed, (3) the CVAE‐generated alloys that survived both the entropic and </w:t>
      </w:r>
      <m:oMath>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i</m:t>
            </m:r>
          </m:sub>
        </m:sSub>
      </m:oMath>
      <w:r w:rsidRPr="000A4838">
        <w:rPr>
          <w:lang w:val="en-US"/>
        </w:rPr>
        <w:t xml:space="preserve">​ filters, and (4) additional compositions generated via the new gradient-augmented methods described in sections </w:t>
      </w:r>
      <w:r w:rsidRPr="000A4838">
        <w:rPr>
          <w:lang w:val="en-US"/>
        </w:rPr>
        <w:fldChar w:fldCharType="begin"/>
      </w:r>
      <w:r w:rsidRPr="000A4838">
        <w:rPr>
          <w:lang w:val="en-US"/>
        </w:rPr>
        <w:instrText xml:space="preserve"> REF _Ref204593103 \h </w:instrText>
      </w:r>
      <w:r w:rsidR="0021751D">
        <w:rPr>
          <w:lang w:val="en-US"/>
        </w:rPr>
        <w:instrText xml:space="preserve"> \* MERGEFORMAT </w:instrText>
      </w:r>
      <w:r w:rsidRPr="000A4838">
        <w:rPr>
          <w:lang w:val="en-US"/>
        </w:rPr>
      </w:r>
      <w:r w:rsidRPr="000A4838">
        <w:rPr>
          <w:lang w:val="en-US"/>
        </w:rPr>
        <w:fldChar w:fldCharType="separate"/>
      </w:r>
      <w:r w:rsidR="00380C88" w:rsidRPr="000A4838">
        <w:rPr>
          <w:rFonts w:cs="Times New Roman"/>
          <w:szCs w:val="24"/>
          <w:lang w:val="en-US"/>
        </w:rPr>
        <w:t>Latent Space Augmentation via Hamming-Based Sampling</w:t>
      </w:r>
      <w:r w:rsidRPr="000A4838">
        <w:rPr>
          <w:lang w:val="en-US"/>
        </w:rPr>
        <w:fldChar w:fldCharType="end"/>
      </w:r>
      <w:r w:rsidRPr="000A4838">
        <w:rPr>
          <w:lang w:val="en-US"/>
        </w:rPr>
        <w:t xml:space="preserve"> and </w:t>
      </w:r>
      <w:r w:rsidRPr="000A4838">
        <w:rPr>
          <w:lang w:val="en-US"/>
        </w:rPr>
        <w:fldChar w:fldCharType="begin"/>
      </w:r>
      <w:r w:rsidRPr="000A4838">
        <w:rPr>
          <w:lang w:val="en-US"/>
        </w:rPr>
        <w:instrText xml:space="preserve"> REF _Ref204593111 \h </w:instrText>
      </w:r>
      <w:r w:rsidR="0021751D">
        <w:rPr>
          <w:lang w:val="en-US"/>
        </w:rPr>
        <w:instrText xml:space="preserve"> \* MERGEFORMAT </w:instrText>
      </w:r>
      <w:r w:rsidRPr="000A4838">
        <w:rPr>
          <w:lang w:val="en-US"/>
        </w:rPr>
      </w:r>
      <w:r w:rsidRPr="000A4838">
        <w:rPr>
          <w:lang w:val="en-US"/>
        </w:rPr>
        <w:fldChar w:fldCharType="separate"/>
      </w:r>
      <w:r w:rsidR="00380C88" w:rsidRPr="000A4838">
        <w:rPr>
          <w:rFonts w:cs="Times New Roman"/>
          <w:szCs w:val="24"/>
          <w:lang w:val="en-US"/>
        </w:rPr>
        <w:t>Simplex Steepest-Ascent on Pareto Front Compositions</w:t>
      </w:r>
      <w:r w:rsidRPr="000A4838">
        <w:rPr>
          <w:lang w:val="en-US"/>
        </w:rPr>
        <w:fldChar w:fldCharType="end"/>
      </w:r>
      <w:r w:rsidRPr="000A4838">
        <w:rPr>
          <w:lang w:val="en-US"/>
        </w:rPr>
        <w:t xml:space="preserve">. This expanded dataset initially encompassed several thousand alloy </w:t>
      </w:r>
      <w:r w:rsidRPr="000A4838">
        <w:rPr>
          <w:lang w:val="en-US"/>
        </w:rPr>
        <w:lastRenderedPageBreak/>
        <w:t>compositions, containing numerous duplicates and near‐duplicates, necessitating systematic reduction and refinement for interpretability and practical analysis.</w:t>
      </w:r>
    </w:p>
    <w:p w:rsidR="007419CB" w:rsidRPr="00497F17" w:rsidRDefault="007419CB" w:rsidP="0021751D">
      <w:pPr>
        <w:pStyle w:val="NormalWeb"/>
        <w:keepNext/>
        <w:spacing w:before="0" w:beforeAutospacing="0" w:after="160" w:afterAutospacing="0" w:line="480" w:lineRule="auto"/>
        <w:rPr>
          <w:lang w:val="en-US"/>
        </w:rPr>
      </w:pPr>
      <w:r>
        <w:rPr>
          <w:noProof/>
          <w:lang w:val="en-US"/>
        </w:rPr>
        <w:lastRenderedPageBreak/>
        <w:drawing>
          <wp:inline distT="0" distB="0" distL="0" distR="0" wp14:anchorId="6C108D03" wp14:editId="51FE9D9B">
            <wp:extent cx="5163820" cy="9071610"/>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3820" cy="9071610"/>
                    </a:xfrm>
                    <a:prstGeom prst="rect">
                      <a:avLst/>
                    </a:prstGeom>
                    <a:noFill/>
                  </pic:spPr>
                </pic:pic>
              </a:graphicData>
            </a:graphic>
          </wp:inline>
        </w:drawing>
      </w:r>
    </w:p>
    <w:p w:rsidR="007419CB" w:rsidRPr="00A74E91" w:rsidRDefault="007419CB" w:rsidP="0021751D">
      <w:pPr>
        <w:pStyle w:val="Lgende"/>
        <w:spacing w:after="160" w:line="480" w:lineRule="auto"/>
        <w:rPr>
          <w:rFonts w:ascii="Arial" w:hAnsi="Arial" w:cs="Arial"/>
          <w:b/>
          <w:i w:val="0"/>
          <w:color w:val="auto"/>
          <w:sz w:val="20"/>
          <w:szCs w:val="20"/>
          <w:lang w:val="en-US"/>
        </w:rPr>
      </w:pPr>
      <w:bookmarkStart w:id="162" w:name="_Ref214215295"/>
      <w:r w:rsidRPr="00A74E91">
        <w:rPr>
          <w:rFonts w:ascii="Arial" w:hAnsi="Arial" w:cs="Arial"/>
          <w:b/>
          <w:i w:val="0"/>
          <w:color w:val="auto"/>
          <w:sz w:val="20"/>
          <w:szCs w:val="20"/>
          <w:lang w:val="en-US"/>
        </w:rPr>
        <w:lastRenderedPageBreak/>
        <w:t xml:space="preserve">Figure </w:t>
      </w:r>
      <w:r w:rsidRPr="00A74E91">
        <w:rPr>
          <w:rFonts w:ascii="Arial" w:hAnsi="Arial" w:cs="Arial"/>
          <w:b/>
          <w:i w:val="0"/>
          <w:color w:val="auto"/>
          <w:sz w:val="20"/>
          <w:szCs w:val="20"/>
        </w:rPr>
        <w:fldChar w:fldCharType="begin"/>
      </w:r>
      <w:r w:rsidRPr="00A74E91">
        <w:rPr>
          <w:rFonts w:ascii="Arial" w:hAnsi="Arial" w:cs="Arial"/>
          <w:b/>
          <w:i w:val="0"/>
          <w:color w:val="auto"/>
          <w:sz w:val="20"/>
          <w:szCs w:val="20"/>
          <w:lang w:val="en-US"/>
        </w:rPr>
        <w:instrText xml:space="preserve"> SEQ Figure \* ARABIC </w:instrText>
      </w:r>
      <w:r w:rsidRPr="00A74E91">
        <w:rPr>
          <w:rFonts w:ascii="Arial" w:hAnsi="Arial" w:cs="Arial"/>
          <w:b/>
          <w:i w:val="0"/>
          <w:color w:val="auto"/>
          <w:sz w:val="20"/>
          <w:szCs w:val="20"/>
        </w:rPr>
        <w:fldChar w:fldCharType="separate"/>
      </w:r>
      <w:r w:rsidR="00380C88">
        <w:rPr>
          <w:rFonts w:ascii="Arial" w:hAnsi="Arial" w:cs="Arial"/>
          <w:b/>
          <w:i w:val="0"/>
          <w:noProof/>
          <w:color w:val="auto"/>
          <w:sz w:val="20"/>
          <w:szCs w:val="20"/>
          <w:lang w:val="en-US"/>
        </w:rPr>
        <w:t>36</w:t>
      </w:r>
      <w:r w:rsidRPr="00A74E91">
        <w:rPr>
          <w:rFonts w:ascii="Arial" w:hAnsi="Arial" w:cs="Arial"/>
          <w:b/>
          <w:i w:val="0"/>
          <w:color w:val="auto"/>
          <w:sz w:val="20"/>
          <w:szCs w:val="20"/>
        </w:rPr>
        <w:fldChar w:fldCharType="end"/>
      </w:r>
      <w:bookmarkEnd w:id="162"/>
      <w:r w:rsidRPr="00A74E91">
        <w:rPr>
          <w:rFonts w:ascii="Arial" w:hAnsi="Arial" w:cs="Arial"/>
          <w:b/>
          <w:i w:val="0"/>
          <w:color w:val="auto"/>
          <w:sz w:val="20"/>
          <w:szCs w:val="20"/>
          <w:lang w:val="en-US"/>
        </w:rPr>
        <w:t>: CVAE Learning &amp; Generation Flowchart</w:t>
      </w:r>
    </w:p>
    <w:p w:rsidR="007419CB" w:rsidRPr="00A74E91" w:rsidRDefault="007419CB" w:rsidP="0021751D">
      <w:pPr>
        <w:spacing w:after="160" w:line="480" w:lineRule="auto"/>
        <w:rPr>
          <w:rFonts w:ascii="Arial" w:hAnsi="Arial" w:cs="Arial"/>
          <w:sz w:val="20"/>
          <w:szCs w:val="20"/>
          <w:lang w:val="en-US"/>
        </w:rPr>
      </w:pPr>
      <w:r w:rsidRPr="00A74E91">
        <w:rPr>
          <w:rFonts w:ascii="Arial" w:hAnsi="Arial" w:cs="Arial"/>
          <w:sz w:val="20"/>
          <w:szCs w:val="20"/>
          <w:lang w:val="en-US"/>
        </w:rPr>
        <w:t>This flowchart summarizes the process that was implemented to generate new alloys using the CVAE: (</w:t>
      </w:r>
      <w:proofErr w:type="spellStart"/>
      <w:r w:rsidRPr="00A74E91">
        <w:rPr>
          <w:rFonts w:ascii="Arial" w:hAnsi="Arial" w:cs="Arial"/>
          <w:sz w:val="20"/>
          <w:szCs w:val="20"/>
          <w:lang w:val="en-US"/>
        </w:rPr>
        <w:t>i</w:t>
      </w:r>
      <w:proofErr w:type="spellEnd"/>
      <w:r w:rsidRPr="00A74E91">
        <w:rPr>
          <w:rFonts w:ascii="Arial" w:hAnsi="Arial" w:cs="Arial"/>
          <w:sz w:val="20"/>
          <w:szCs w:val="20"/>
          <w:lang w:val="en-US"/>
        </w:rPr>
        <w:t xml:space="preserve">) ensure reconstruction (ii) </w:t>
      </w:r>
      <m:oMath>
        <m:r>
          <w:rPr>
            <w:rFonts w:ascii="Cambria Math" w:hAnsi="Cambria Math" w:cs="Arial"/>
            <w:sz w:val="20"/>
            <w:szCs w:val="20"/>
            <w:lang w:val="en-US"/>
          </w:rPr>
          <m:t>β</m:t>
        </m:r>
      </m:oMath>
      <w:r w:rsidRPr="00A74E91">
        <w:rPr>
          <w:rFonts w:ascii="Arial" w:eastAsiaTheme="minorEastAsia" w:hAnsi="Arial" w:cs="Arial"/>
          <w:sz w:val="20"/>
          <w:szCs w:val="20"/>
          <w:lang w:val="en-US"/>
        </w:rPr>
        <w:t xml:space="preserve"> warm-up to implement the KL loss (iii) </w:t>
      </w:r>
      <m:oMath>
        <m:r>
          <w:rPr>
            <w:rFonts w:ascii="Cambria Math" w:eastAsiaTheme="minorEastAsia" w:hAnsi="Cambria Math" w:cs="Arial"/>
            <w:sz w:val="20"/>
            <w:szCs w:val="20"/>
            <w:lang w:val="en-US"/>
          </w:rPr>
          <m:t>γ</m:t>
        </m:r>
      </m:oMath>
      <w:r w:rsidRPr="00A74E91">
        <w:rPr>
          <w:rFonts w:ascii="Arial" w:eastAsiaTheme="minorEastAsia" w:hAnsi="Arial" w:cs="Arial"/>
          <w:sz w:val="20"/>
          <w:szCs w:val="20"/>
          <w:lang w:val="en-US"/>
        </w:rPr>
        <w:t xml:space="preserve"> warm-up to implement an entropy loss (iv) implementation of a linear reward depending on the </w:t>
      </w:r>
      <m:oMath>
        <m:r>
          <m:rPr>
            <m:sty m:val="bi"/>
          </m:rPr>
          <w:rPr>
            <w:rFonts w:ascii="Cambria Math" w:eastAsiaTheme="minorEastAsia" w:hAnsi="Cambria Math" w:cs="Arial"/>
            <w:sz w:val="20"/>
            <w:szCs w:val="20"/>
            <w:lang w:val="en-US"/>
          </w:rPr>
          <m:t>g</m:t>
        </m:r>
      </m:oMath>
      <w:r w:rsidRPr="00A74E91">
        <w:rPr>
          <w:rFonts w:ascii="Arial" w:eastAsiaTheme="minorEastAsia" w:hAnsi="Arial" w:cs="Arial"/>
          <w:sz w:val="20"/>
          <w:szCs w:val="20"/>
          <w:lang w:val="en-US"/>
        </w:rPr>
        <w:t xml:space="preserve">-scores (v) generation loop to generate candidates; these are saved if surrogates confirm their </w:t>
      </w:r>
      <m:oMath>
        <m:r>
          <m:rPr>
            <m:sty m:val="bi"/>
          </m:rPr>
          <w:rPr>
            <w:rFonts w:ascii="Cambria Math" w:eastAsiaTheme="minorEastAsia" w:hAnsi="Cambria Math" w:cs="Arial"/>
            <w:sz w:val="20"/>
            <w:szCs w:val="20"/>
            <w:lang w:val="en-US"/>
          </w:rPr>
          <m:t>g</m:t>
        </m:r>
      </m:oMath>
      <w:r w:rsidRPr="00A74E91">
        <w:rPr>
          <w:rFonts w:ascii="Arial" w:eastAsiaTheme="minorEastAsia" w:hAnsi="Arial" w:cs="Arial"/>
          <w:sz w:val="20"/>
          <w:szCs w:val="20"/>
          <w:lang w:val="en-US"/>
        </w:rPr>
        <w:t>-scores fulfill the requirements; losses are adapted if the CVAE failed to make decent predictions (vi) the new total dataset is enriched with Hamming filling and simplex steepest-ascent method, and used as a new training database for the CVAE.</w:t>
      </w:r>
    </w:p>
    <w:p w:rsidR="007419CB" w:rsidRPr="00A74E91" w:rsidRDefault="007419CB" w:rsidP="0021751D">
      <w:pPr>
        <w:spacing w:after="160" w:line="480" w:lineRule="auto"/>
        <w:rPr>
          <w:lang w:val="en-US"/>
        </w:rPr>
      </w:pPr>
    </w:p>
    <w:p w:rsidR="007419CB" w:rsidRPr="00A74E91" w:rsidRDefault="007419CB" w:rsidP="0021751D">
      <w:pPr>
        <w:spacing w:after="160" w:line="480" w:lineRule="auto"/>
        <w:rPr>
          <w:lang w:val="en-US"/>
        </w:rPr>
      </w:pPr>
    </w:p>
    <w:p w:rsidR="007419CB" w:rsidRPr="00A74E91"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63" w:name="_Toc214314374"/>
      <w:bookmarkStart w:id="164" w:name="_Toc216021122"/>
      <w:r w:rsidRPr="00A74E91">
        <w:rPr>
          <w:rFonts w:ascii="Times New Roman" w:hAnsi="Times New Roman" w:cs="Times New Roman"/>
          <w:color w:val="auto"/>
          <w:lang w:val="en-US"/>
        </w:rPr>
        <w:t>Ward Linkage Clustering and Medoid Selection</w:t>
      </w:r>
      <w:bookmarkEnd w:id="163"/>
      <w:bookmarkEnd w:id="164"/>
    </w:p>
    <w:p w:rsidR="007419CB" w:rsidRPr="000A4838" w:rsidRDefault="007419CB" w:rsidP="0021751D">
      <w:pPr>
        <w:pStyle w:val="NormalWeb"/>
        <w:spacing w:before="0" w:beforeAutospacing="0" w:after="160" w:afterAutospacing="0" w:line="480" w:lineRule="auto"/>
        <w:rPr>
          <w:lang w:val="en-US"/>
        </w:rPr>
      </w:pPr>
      <w:r w:rsidRPr="00A74E91">
        <w:rPr>
          <w:lang w:val="en-US"/>
        </w:rPr>
        <w:t>Hierarchical clustering provides a principled way to group similar compositions without prespecifying cluster count. each alloy is represented by its normalized composition vector (i.e. the CLR‐encoded atomic fractions) and applied Ward’s linkage</w:t>
      </w:r>
      <w:r w:rsidRPr="000A4838">
        <w:rPr>
          <w:lang w:val="en-US"/>
        </w:rPr>
        <w:t xml:space="preserve"> criterion, which at each step merges the pair of clusters whose union minimizes the increase in total within‐cluster variance. This variance‐minimizing property makes Ward clustering especially well‐suited to compositional data, where Euclidean distances between CLR‐vectors reflect geodesic separations on the simplex.</w:t>
      </w:r>
    </w:p>
    <w:p w:rsidR="007419CB" w:rsidRPr="003D6D82" w:rsidRDefault="007419CB" w:rsidP="0021751D">
      <w:pPr>
        <w:pStyle w:val="NormalWeb"/>
        <w:spacing w:before="0" w:beforeAutospacing="0" w:after="160" w:afterAutospacing="0" w:line="480" w:lineRule="auto"/>
        <w:rPr>
          <w:lang w:val="en-US"/>
        </w:rPr>
      </w:pPr>
      <w:r w:rsidRPr="00A74E91">
        <w:rPr>
          <w:lang w:val="en-US"/>
        </w:rPr>
        <w:t xml:space="preserve">The stoichiometric strings were first parsed </w:t>
      </w:r>
      <w:r w:rsidRPr="003D6D82">
        <w:rPr>
          <w:lang w:val="en-US"/>
        </w:rPr>
        <w:t xml:space="preserve">into numerical vectors, and a complete-linkage hierarchical clustering was performed to obtain the linkage matrix </w:t>
      </w:r>
      <m:oMath>
        <m:r>
          <w:rPr>
            <w:rFonts w:ascii="Cambria Math" w:hAnsi="Cambria Math"/>
          </w:rPr>
          <m:t>Z</m:t>
        </m:r>
      </m:oMath>
      <w:r w:rsidRPr="003D6D82">
        <w:rPr>
          <w:lang w:val="en-US"/>
        </w:rPr>
        <w:t>. Discrete clusters were then extracted by cutting the dendrogram at a fixed Euclidean distance threshold of 0.25 in CLR space, selected empirically to yield approximately a few thousand clusters. At this cut level, each cluster consists of compositions that differ only by small perturbations in one or two elemental fractions.</w:t>
      </w:r>
    </w:p>
    <w:p w:rsidR="007419CB" w:rsidRPr="003D6D82" w:rsidRDefault="007419CB" w:rsidP="0021751D">
      <w:pPr>
        <w:pStyle w:val="NormalWeb"/>
        <w:spacing w:before="0" w:beforeAutospacing="0" w:after="160" w:afterAutospacing="0" w:line="480" w:lineRule="auto"/>
        <w:rPr>
          <w:lang w:val="en-US"/>
        </w:rPr>
      </w:pPr>
      <w:r w:rsidRPr="003D6D82">
        <w:rPr>
          <w:lang w:val="en-US"/>
        </w:rPr>
        <w:lastRenderedPageBreak/>
        <w:t>Within each cluster, a single representative (the medoid) was selected, defined as the composition with the minimal average Euclidean distance to all other members. In contrast to the centroid, which may not correspond to a chemically valid composition, the medoid is guaranteed to coincide with an observed alloy, thereby preserving interpretability. Medoid selection was implemented by computing the pairwise distance matrix for each cluster and choosing the index with the smallest row-sum of distances.</w:t>
      </w:r>
    </w:p>
    <w:p w:rsidR="007419CB" w:rsidRDefault="007419CB" w:rsidP="0021751D">
      <w:pPr>
        <w:pStyle w:val="NormalWeb"/>
        <w:spacing w:before="0" w:beforeAutospacing="0" w:after="160" w:afterAutospacing="0" w:line="480" w:lineRule="auto"/>
        <w:rPr>
          <w:lang w:val="en-US"/>
        </w:rPr>
      </w:pPr>
      <w:r w:rsidRPr="003D6D82">
        <w:rPr>
          <w:lang w:val="en-US"/>
        </w:rPr>
        <w:t>This two-step procedure</w:t>
      </w:r>
      <w:r>
        <w:rPr>
          <w:lang w:val="en-US"/>
        </w:rPr>
        <w:t xml:space="preserve"> – </w:t>
      </w:r>
      <w:r w:rsidRPr="003D6D82">
        <w:rPr>
          <w:lang w:val="en-US"/>
        </w:rPr>
        <w:t>Ward linkage followed by medoid extraction</w:t>
      </w:r>
      <w:r>
        <w:rPr>
          <w:lang w:val="en-US"/>
        </w:rPr>
        <w:t xml:space="preserve"> – </w:t>
      </w:r>
      <w:r w:rsidRPr="003D6D82">
        <w:rPr>
          <w:lang w:val="en-US"/>
        </w:rPr>
        <w:t>reduced the CVAE-enriched candidate set from approximately 15 000 raw outputs to around 5 000 unique representatives. By collapsing locally dense regions of composition space into single exemplars, redundancy was eliminated while maximizing diversity. The resulting dataset preserves both extreme and intermediate chemistries and provides a streamlined foundation for subsequent Pareto-front analysis and comparative visualization.</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65" w:name="_Toc214314375"/>
      <w:bookmarkStart w:id="166" w:name="_Toc216021123"/>
      <w:r w:rsidRPr="000A4838">
        <w:rPr>
          <w:rFonts w:ascii="Times New Roman" w:hAnsi="Times New Roman" w:cs="Times New Roman"/>
          <w:color w:val="auto"/>
          <w:lang w:val="en-US"/>
        </w:rPr>
        <w:t>Pareto Front Computation and Compression</w:t>
      </w:r>
      <w:bookmarkEnd w:id="165"/>
      <w:bookmarkEnd w:id="166"/>
    </w:p>
    <w:p w:rsidR="007419CB" w:rsidRPr="00092C88" w:rsidRDefault="007419CB" w:rsidP="0021751D">
      <w:pPr>
        <w:pStyle w:val="NormalWeb"/>
        <w:spacing w:before="0" w:beforeAutospacing="0" w:after="160" w:afterAutospacing="0" w:line="480" w:lineRule="auto"/>
        <w:rPr>
          <w:highlight w:val="yellow"/>
          <w:lang w:val="en-US"/>
        </w:rPr>
      </w:pPr>
      <w:r w:rsidRPr="003D6D82">
        <w:rPr>
          <w:lang w:val="en-US"/>
        </w:rPr>
        <w:t>After medoid reduction, the refined CVAE set was merged with the brute-force search results, established superalloy reference databases, and the additional compositions generated through gradient-based optimization. To identify the most promising candidates under multi-objective criteria, the Pareto frontier was computed, defined as the set of alloys for which no other composition in the dataset simultaneously achieves superior values across all ten performance scores.</w:t>
      </w:r>
    </w:p>
    <w:p w:rsidR="007419CB" w:rsidRDefault="007419CB" w:rsidP="0021751D">
      <w:pPr>
        <w:pStyle w:val="NormalWeb"/>
        <w:spacing w:before="0" w:beforeAutospacing="0" w:after="160" w:afterAutospacing="0" w:line="480" w:lineRule="auto"/>
        <w:rPr>
          <w:lang w:val="en-US"/>
        </w:rPr>
      </w:pPr>
      <w:r w:rsidRPr="003D6D82">
        <w:rPr>
          <w:lang w:val="en-US"/>
        </w:rPr>
        <w:t xml:space="preserve">Algorithmically, an alloy is marked as nondominated if no other alloy achieves scores that are greater than or equal in all objectives </w:t>
      </w:r>
      <m:oMath>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i</m:t>
            </m:r>
          </m:sub>
        </m:sSub>
      </m:oMath>
      <w:r w:rsidRPr="003D6D82">
        <w:rPr>
          <w:lang w:val="en-US"/>
        </w:rPr>
        <w:t xml:space="preserve">, with at least one score being strictly greater. This standard Pareto-filtering procedure requires pairwise comparisons across all candidates, but remains computationally tractable for datasets of a few thousand entries. The resulting frontier </w:t>
      </w:r>
      <w:r w:rsidRPr="003D6D82">
        <w:rPr>
          <w:lang w:val="en-US"/>
        </w:rPr>
        <w:lastRenderedPageBreak/>
        <w:t>isola</w:t>
      </w:r>
      <w:proofErr w:type="spellStart"/>
      <w:r w:rsidRPr="003D6D82">
        <w:rPr>
          <w:lang w:val="en-US"/>
        </w:rPr>
        <w:t>tes</w:t>
      </w:r>
      <w:proofErr w:type="spellEnd"/>
      <w:r w:rsidRPr="003D6D82">
        <w:rPr>
          <w:lang w:val="en-US"/>
        </w:rPr>
        <w:t xml:space="preserve"> compositions that offer an optimal balance among strength, ductility, density, melting point, oxidation resistance, and the other targeted properties, without sacrificing one objective to improve another.</w:t>
      </w:r>
    </w:p>
    <w:p w:rsidR="007419CB" w:rsidRPr="000A4838" w:rsidRDefault="007419CB" w:rsidP="0021751D">
      <w:pPr>
        <w:pStyle w:val="NormalWeb"/>
        <w:spacing w:before="0" w:beforeAutospacing="0" w:after="160" w:afterAutospacing="0" w:line="480" w:lineRule="auto"/>
        <w:rPr>
          <w:lang w:val="en-US"/>
        </w:rPr>
      </w:pPr>
      <w:r w:rsidRPr="003D6D82">
        <w:rPr>
          <w:lang w:val="en-US"/>
        </w:rPr>
        <w:t>The Pareto front plays two complementary roles: it reduces the combined dataset to a high-performing core, and it preserves diversity by ensuring that no two nondominated alloys dominate one another. However, the initial frontier remained large, comprising several thousand nondominated compositions, which hampers interpretability and visualization. To further streamline the dataset for human analysis, a secondary hierarchical clustering using Ward’s linkage was applied with a more restrictive Euclidean distance threshold. As before, medoid extraction within each cluster was used to identify representative compositions, substantially reducing redundancy while retaining diversity in alloy chemistries.</w:t>
      </w:r>
    </w:p>
    <w:p w:rsidR="007419CB" w:rsidRPr="000A4838" w:rsidRDefault="007419CB" w:rsidP="0021751D">
      <w:pPr>
        <w:pStyle w:val="NormalWeb"/>
        <w:spacing w:before="0" w:beforeAutospacing="0" w:after="160" w:afterAutospacing="0" w:line="480" w:lineRule="auto"/>
        <w:rPr>
          <w:lang w:val="en-US"/>
        </w:rPr>
      </w:pPr>
      <w:r w:rsidRPr="000A4838">
        <w:rPr>
          <w:lang w:val="en-US"/>
        </w:rPr>
        <w:t>This final compression step markedly reduced the Pareto set from several thousand alloys to a concise yet representative set of a few hundred medoids. The resulting compressed Pareto front serves multiple crucial purposes: it offers a clear and accessible summary suitable for detailed analysis by domain experts; it enables straightforward visualization and exploration of alloy performance trade-offs through Ashby-style property charts; and it ensures the elimination of duplicate and near-duplicate compositions, enhancing interpretability.</w:t>
      </w:r>
    </w:p>
    <w:p w:rsidR="007419CB" w:rsidRPr="000A4838" w:rsidRDefault="007419CB" w:rsidP="0021751D">
      <w:pPr>
        <w:pStyle w:val="NormalWeb"/>
        <w:spacing w:before="0" w:beforeAutospacing="0" w:after="160" w:afterAutospacing="0" w:line="480" w:lineRule="auto"/>
        <w:rPr>
          <w:lang w:val="en-US"/>
        </w:rPr>
      </w:pPr>
      <w:r w:rsidRPr="000A4838">
        <w:rPr>
          <w:lang w:val="en-US"/>
        </w:rPr>
        <w:t>In sum, this two-stage clustering and compression strategy, enhanced by gradient-based optimization approaches, effectively synthesized the comprehensive alloy exploration into a practical, interpretable shortlist. The selected candidates robustly represent the explored compositional diversity, highlighting optimal balances among multiple, competing material properties. This refined set provides a focused basis for future experimental validation and deeper materials discovery investigations.</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21751D">
      <w:pPr>
        <w:spacing w:after="16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67" w:name="_Toc214314376"/>
      <w:bookmarkStart w:id="168" w:name="_Toc216021124"/>
      <w:r w:rsidRPr="000A4838">
        <w:rPr>
          <w:rFonts w:ascii="Times New Roman" w:hAnsi="Times New Roman" w:cs="Times New Roman"/>
          <w:color w:val="auto"/>
          <w:lang w:val="en-US"/>
        </w:rPr>
        <w:t>Ashby Chart Visualization and Materials Selection</w:t>
      </w:r>
      <w:bookmarkEnd w:id="167"/>
      <w:bookmarkEnd w:id="168"/>
    </w:p>
    <w:p w:rsidR="007419CB" w:rsidRPr="000A4838" w:rsidRDefault="007419CB" w:rsidP="0021751D">
      <w:pPr>
        <w:pStyle w:val="NormalWeb"/>
        <w:spacing w:before="0" w:beforeAutospacing="0" w:after="160" w:afterAutospacing="0" w:line="480" w:lineRule="auto"/>
        <w:rPr>
          <w:lang w:val="en-US"/>
        </w:rPr>
      </w:pPr>
      <w:r w:rsidRPr="00F40DD5">
        <w:rPr>
          <w:lang w:val="en-US"/>
        </w:rPr>
        <w:t>To contextualize the refined and compressed Pareto‐front alloys within established material landscapes, a suite of detailed Ashby‐style property charts is generated. Each chart juxtaposes</w:t>
      </w:r>
      <w:r w:rsidRPr="000A4838">
        <w:rPr>
          <w:lang w:val="en-US"/>
        </w:rPr>
        <w:t xml:space="preserve"> pairs of critical material properties, including density versus melting point</w:t>
      </w:r>
      <w:r>
        <w:rPr>
          <w:lang w:val="en-US"/>
        </w:rPr>
        <w:t xml:space="preserve"> (</w:t>
      </w:r>
      <w:r w:rsidRPr="00277FD0">
        <w:rPr>
          <w:lang w:val="en-US"/>
        </w:rPr>
        <w:fldChar w:fldCharType="begin"/>
      </w:r>
      <w:r w:rsidRPr="00277FD0">
        <w:rPr>
          <w:lang w:val="en-US"/>
        </w:rPr>
        <w:instrText xml:space="preserve"> REF _Ref214219943 \h  \* MERGEFORMAT </w:instrText>
      </w:r>
      <w:r w:rsidRPr="00277FD0">
        <w:rPr>
          <w:lang w:val="en-US"/>
        </w:rPr>
      </w:r>
      <w:r w:rsidRPr="00277FD0">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39</w:t>
      </w:r>
      <w:r w:rsidRPr="00277FD0">
        <w:rPr>
          <w:lang w:val="en-US"/>
        </w:rPr>
        <w:fldChar w:fldCharType="end"/>
      </w:r>
      <w:r>
        <w:rPr>
          <w:lang w:val="en-US"/>
        </w:rPr>
        <w:t>)</w:t>
      </w:r>
      <w:r w:rsidRPr="000A4838">
        <w:rPr>
          <w:lang w:val="en-US"/>
        </w:rPr>
        <w:t>, shear modulus versus bulk modulus</w:t>
      </w:r>
      <w:r>
        <w:rPr>
          <w:lang w:val="en-US"/>
        </w:rPr>
        <w:t xml:space="preserve"> (</w:t>
      </w:r>
      <w:r w:rsidRPr="00277FD0">
        <w:rPr>
          <w:lang w:val="en-US"/>
        </w:rPr>
        <w:fldChar w:fldCharType="begin"/>
      </w:r>
      <w:r w:rsidRPr="00277FD0">
        <w:rPr>
          <w:lang w:val="en-US"/>
        </w:rPr>
        <w:instrText xml:space="preserve"> REF _Ref214219957 \h  \* MERGEFORMAT </w:instrText>
      </w:r>
      <w:r w:rsidRPr="00277FD0">
        <w:rPr>
          <w:lang w:val="en-US"/>
        </w:rPr>
      </w:r>
      <w:r w:rsidRPr="00277FD0">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40</w:t>
      </w:r>
      <w:r w:rsidRPr="00277FD0">
        <w:rPr>
          <w:lang w:val="en-US"/>
        </w:rPr>
        <w:fldChar w:fldCharType="end"/>
      </w:r>
      <w:r>
        <w:rPr>
          <w:lang w:val="en-US"/>
        </w:rPr>
        <w:t>)</w:t>
      </w:r>
      <w:r w:rsidRPr="000A4838">
        <w:rPr>
          <w:lang w:val="en-US"/>
        </w:rPr>
        <w:t>, Young’s modulus versus density</w:t>
      </w:r>
      <w:r>
        <w:rPr>
          <w:lang w:val="en-US"/>
        </w:rPr>
        <w:t xml:space="preserve"> (</w:t>
      </w:r>
      <w:r w:rsidRPr="00277FD0">
        <w:rPr>
          <w:lang w:val="en-US"/>
        </w:rPr>
        <w:fldChar w:fldCharType="begin"/>
      </w:r>
      <w:r w:rsidRPr="00277FD0">
        <w:rPr>
          <w:lang w:val="en-US"/>
        </w:rPr>
        <w:instrText xml:space="preserve"> REF _Ref204596137 \h  \* MERGEFORMAT </w:instrText>
      </w:r>
      <w:r w:rsidRPr="00277FD0">
        <w:rPr>
          <w:lang w:val="en-US"/>
        </w:rPr>
      </w:r>
      <w:r w:rsidRPr="00277FD0">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37</w:t>
      </w:r>
      <w:r w:rsidRPr="00277FD0">
        <w:rPr>
          <w:lang w:val="en-US"/>
        </w:rPr>
        <w:fldChar w:fldCharType="end"/>
      </w:r>
      <w:r>
        <w:rPr>
          <w:lang w:val="en-US"/>
        </w:rPr>
        <w:t>)</w:t>
      </w:r>
      <w:r w:rsidRPr="000A4838">
        <w:rPr>
          <w:lang w:val="en-US"/>
        </w:rPr>
        <w:t>, creep resistance versus formation energy</w:t>
      </w:r>
      <w:r>
        <w:rPr>
          <w:lang w:val="en-US"/>
        </w:rPr>
        <w:t xml:space="preserve"> (</w:t>
      </w:r>
      <w:r w:rsidRPr="00277FD0">
        <w:rPr>
          <w:lang w:val="en-US"/>
        </w:rPr>
        <w:fldChar w:fldCharType="begin"/>
      </w:r>
      <w:r w:rsidRPr="00277FD0">
        <w:rPr>
          <w:lang w:val="en-US"/>
        </w:rPr>
        <w:instrText xml:space="preserve"> REF _Ref214219985 \h  \* MERGEFORMAT </w:instrText>
      </w:r>
      <w:r w:rsidRPr="00277FD0">
        <w:rPr>
          <w:lang w:val="en-US"/>
        </w:rPr>
      </w:r>
      <w:r w:rsidRPr="00277FD0">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41</w:t>
      </w:r>
      <w:r w:rsidRPr="00277FD0">
        <w:rPr>
          <w:lang w:val="en-US"/>
        </w:rPr>
        <w:fldChar w:fldCharType="end"/>
      </w:r>
      <w:r>
        <w:rPr>
          <w:lang w:val="en-US"/>
        </w:rPr>
        <w:t>)</w:t>
      </w:r>
      <w:r w:rsidRPr="000A4838">
        <w:rPr>
          <w:lang w:val="en-US"/>
        </w:rPr>
        <w:t xml:space="preserve">, </w:t>
      </w:r>
      <w:r>
        <w:rPr>
          <w:lang w:val="en-US"/>
        </w:rPr>
        <w:t xml:space="preserve">and </w:t>
      </w:r>
      <w:r w:rsidRPr="000A4838">
        <w:rPr>
          <w:lang w:val="en-US"/>
        </w:rPr>
        <w:t>high‐temperature oxidation rate versus melting point</w:t>
      </w:r>
      <w:r>
        <w:rPr>
          <w:lang w:val="en-US"/>
        </w:rPr>
        <w:t xml:space="preserve"> (</w:t>
      </w:r>
      <w:r w:rsidRPr="00277FD0">
        <w:rPr>
          <w:lang w:val="en-US"/>
        </w:rPr>
        <w:fldChar w:fldCharType="begin"/>
      </w:r>
      <w:r w:rsidRPr="00277FD0">
        <w:rPr>
          <w:lang w:val="en-US"/>
        </w:rPr>
        <w:instrText xml:space="preserve"> REF _Ref214220001 \h  \* MERGEFORMAT </w:instrText>
      </w:r>
      <w:r w:rsidRPr="00277FD0">
        <w:rPr>
          <w:lang w:val="en-US"/>
        </w:rPr>
      </w:r>
      <w:r w:rsidRPr="00277FD0">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38</w:t>
      </w:r>
      <w:r w:rsidRPr="00277FD0">
        <w:rPr>
          <w:lang w:val="en-US"/>
        </w:rPr>
        <w:fldChar w:fldCharType="end"/>
      </w:r>
      <w:r>
        <w:rPr>
          <w:lang w:val="en-US"/>
        </w:rPr>
        <w:t>)</w:t>
      </w:r>
      <w:r w:rsidRPr="000A4838">
        <w:rPr>
          <w:lang w:val="en-US"/>
        </w:rPr>
        <w:t>.</w:t>
      </w:r>
    </w:p>
    <w:p w:rsidR="007419CB" w:rsidRPr="00F40DD5" w:rsidRDefault="007419CB" w:rsidP="0021751D">
      <w:pPr>
        <w:pStyle w:val="NormalWeb"/>
        <w:spacing w:before="0" w:beforeAutospacing="0" w:after="160" w:afterAutospacing="0" w:line="480" w:lineRule="auto"/>
        <w:rPr>
          <w:lang w:val="en-US"/>
        </w:rPr>
      </w:pPr>
      <w:r w:rsidRPr="000A4838">
        <w:rPr>
          <w:lang w:val="en-US"/>
        </w:rPr>
        <w:t xml:space="preserve">The visualization process involved plotting alloys with distinct marker shapes and colors, systematically encoding both their provenance and compositional cluster identity. Marker shapes explicitly indicated the alloy’s generation method – square for brute‐force enumeration (“Brute Force HEA”), diamond for generative models (“Generative CVAE”), pentagon for those refined through combined Hamming and gradient‐based stoichiometric augmentation (“Hamming &amp; Gradient Augmentation”), star for simplex steepest-ascent optimization (“Annealing”), and circles for legacy Ni-based superalloys (“Classic superalloys”). Colors were assigned based on hierarchical Ward linkage clustering results, with each cluster succinctly labeled using a shortened formula notation (~Fe-Cr-Al), clearly highlighting the dominant elemental </w:t>
      </w:r>
      <w:r w:rsidRPr="00F40DD5">
        <w:rPr>
          <w:lang w:val="en-US"/>
        </w:rPr>
        <w:t>constituents.</w:t>
      </w:r>
    </w:p>
    <w:p w:rsidR="007419CB" w:rsidRPr="00F40DD5" w:rsidRDefault="007419CB" w:rsidP="0021751D">
      <w:pPr>
        <w:pStyle w:val="NormalWeb"/>
        <w:spacing w:before="0" w:beforeAutospacing="0" w:after="160" w:afterAutospacing="0" w:line="480" w:lineRule="auto"/>
        <w:rPr>
          <w:lang w:val="en-US"/>
        </w:rPr>
      </w:pPr>
      <w:r w:rsidRPr="00F40DD5">
        <w:rPr>
          <w:lang w:val="en-US"/>
        </w:rPr>
        <w:t>The simplified cluster labeling strategy improved interpretability by focusing on prominent chemical components. It is implemented by filtering elements with fractional contributions below a predefined threshold (5%), thereby providing concise, meaningful cluster identifiers that enhance quick visual recognition on the Ashby charts.</w:t>
      </w:r>
    </w:p>
    <w:p w:rsidR="007419CB" w:rsidRPr="000A4838" w:rsidRDefault="007419CB" w:rsidP="0021751D">
      <w:pPr>
        <w:pStyle w:val="NormalWeb"/>
        <w:spacing w:before="0" w:beforeAutospacing="0" w:after="160" w:afterAutospacing="0" w:line="480" w:lineRule="auto"/>
        <w:rPr>
          <w:lang w:val="en-US"/>
        </w:rPr>
      </w:pPr>
      <w:r w:rsidRPr="000A4838">
        <w:rPr>
          <w:lang w:val="en-US"/>
        </w:rPr>
        <w:t xml:space="preserve">These Ashby‐style visualizations serve multiple strategic purposes. Firstly, they allow rapid identification of property‐space domains where generative methods, particularly those </w:t>
      </w:r>
      <w:r w:rsidRPr="000A4838">
        <w:rPr>
          <w:lang w:val="en-US"/>
        </w:rPr>
        <w:lastRenderedPageBreak/>
        <w:t>augmented with gradient-based optimization, extend the frontiers beyond classical superalloys and brute‐force generated alloys, highlighting genuinely novel performance trade‐offs. Secondly, overlaying datasets from different origins clearly illustrates whether AI‐generated candidates merely replicate known alloys or distinctly populate previously unexplored regions of the alloy composition space. Lastly, the dual encoding scheme (shape and color) simplifies the experimental selection process, enabling immediate identification of candidate alloys tailored to specific application requirements, such as alloys exhibiting high stiffness combined with low density, or those offering high melting points with minimal supply risks.</w:t>
      </w:r>
    </w:p>
    <w:p w:rsidR="007419CB" w:rsidRPr="000A4838" w:rsidRDefault="007419CB" w:rsidP="0021751D">
      <w:pPr>
        <w:pStyle w:val="NormalWeb"/>
        <w:spacing w:before="0" w:beforeAutospacing="0" w:after="160" w:afterAutospacing="0" w:line="480" w:lineRule="auto"/>
        <w:rPr>
          <w:lang w:val="en-US"/>
        </w:rPr>
      </w:pPr>
      <w:r w:rsidRPr="000A4838">
        <w:rPr>
          <w:lang w:val="en-US"/>
        </w:rPr>
        <w:t>Ultimately, these Ashby charts act simultaneously as diagnostic tools, evaluating the exploration efficacy of generative and optimization methods, and as practical decision‐support aids for experimental alloy selection. They translate complex, multi-dimensional property scores into intuitive two‐dimensional visual spaces, facilitating efficient prioritization and experimental validation of promising alloy candidates.</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2FF12458" wp14:editId="510C000F">
            <wp:extent cx="6246475" cy="3947160"/>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63198" cy="3957727"/>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i w:val="0"/>
          <w:color w:val="auto"/>
          <w:sz w:val="20"/>
          <w:szCs w:val="20"/>
          <w:lang w:val="en-US"/>
        </w:rPr>
      </w:pP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69" w:name="_Ref204596137"/>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37</w:t>
      </w:r>
      <w:r w:rsidRPr="000A4838">
        <w:rPr>
          <w:rFonts w:ascii="Arial" w:hAnsi="Arial" w:cs="Arial"/>
          <w:b/>
          <w:i w:val="0"/>
          <w:color w:val="auto"/>
          <w:sz w:val="20"/>
          <w:szCs w:val="20"/>
          <w:lang w:val="en-US"/>
        </w:rPr>
        <w:fldChar w:fldCharType="end"/>
      </w:r>
      <w:bookmarkEnd w:id="169"/>
      <w:r w:rsidRPr="000A4838">
        <w:rPr>
          <w:rFonts w:ascii="Arial" w:hAnsi="Arial" w:cs="Arial"/>
          <w:b/>
          <w:i w:val="0"/>
          <w:color w:val="auto"/>
          <w:sz w:val="20"/>
          <w:szCs w:val="20"/>
          <w:lang w:val="en-US"/>
        </w:rPr>
        <w:t> : Young’s Modulus vs. Density</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Ashby diagram representing the trade-off between Young's modulus and density for candidate alloys. Alloys are distinguished by origin: squares for brute-force generated high-entropy alloys (HEAs), diamonds for conditional variational autoencoder (CVAE)-generated HEAs, crosses for alloys refined through combined Hamming and gradient-based augmentation, stars for alloys optimized via simplex steepest-ascent (annealing), and circles for legacy Ni-based superalloys. Clusters, indicated by distinct colors and abbreviated chemical labels, highlight prominent compositional families. The generative methods notably identify alloys with competitive stiffness-to-weight ratios, extending beyond traditional alloy domains and suggesting promising new lightweight structural materials.</w:t>
      </w: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546B3336" wp14:editId="2F9890CF">
            <wp:extent cx="6179820" cy="3842182"/>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3562" cy="3844508"/>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70" w:name="_Ref214220001"/>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38</w:t>
      </w:r>
      <w:r w:rsidRPr="000A4838">
        <w:rPr>
          <w:rFonts w:ascii="Arial" w:hAnsi="Arial" w:cs="Arial"/>
          <w:b/>
          <w:i w:val="0"/>
          <w:color w:val="auto"/>
          <w:sz w:val="20"/>
          <w:szCs w:val="20"/>
          <w:lang w:val="en-US"/>
        </w:rPr>
        <w:fldChar w:fldCharType="end"/>
      </w:r>
      <w:bookmarkEnd w:id="170"/>
      <w:r w:rsidRPr="000A4838">
        <w:rPr>
          <w:rFonts w:ascii="Arial" w:hAnsi="Arial" w:cs="Arial"/>
          <w:b/>
          <w:i w:val="0"/>
          <w:color w:val="auto"/>
          <w:sz w:val="20"/>
          <w:szCs w:val="20"/>
          <w:lang w:val="en-US"/>
        </w:rPr>
        <w:t>: High-Temperature Oxidation Constant (</w:t>
      </w:r>
      <m:oMath>
        <m:func>
          <m:funcPr>
            <m:ctrlPr>
              <w:rPr>
                <w:rFonts w:ascii="Cambria Math" w:hAnsi="Cambria Math" w:cs="Arial"/>
                <w:b/>
                <w:i w:val="0"/>
                <w:color w:val="auto"/>
                <w:sz w:val="20"/>
                <w:szCs w:val="20"/>
                <w:lang w:val="en-US"/>
              </w:rPr>
            </m:ctrlPr>
          </m:funcPr>
          <m:fName>
            <m:r>
              <m:rPr>
                <m:sty m:val="bi"/>
              </m:rPr>
              <w:rPr>
                <w:rFonts w:ascii="Cambria Math" w:hAnsi="Cambria Math" w:cs="Arial"/>
                <w:color w:val="auto"/>
                <w:sz w:val="20"/>
                <w:szCs w:val="20"/>
                <w:lang w:val="en-US"/>
              </w:rPr>
              <m:t>log</m:t>
            </m:r>
          </m:fName>
          <m:e>
            <m:d>
              <m:dPr>
                <m:ctrlPr>
                  <w:rPr>
                    <w:rFonts w:ascii="Cambria Math" w:hAnsi="Cambria Math" w:cs="Arial"/>
                    <w:b/>
                    <w:i w:val="0"/>
                    <w:color w:val="auto"/>
                    <w:sz w:val="20"/>
                    <w:szCs w:val="20"/>
                    <w:lang w:val="en-US"/>
                  </w:rPr>
                </m:ctrlPr>
              </m:dPr>
              <m:e>
                <m:sSub>
                  <m:sSubPr>
                    <m:ctrlPr>
                      <w:rPr>
                        <w:rFonts w:ascii="Cambria Math" w:hAnsi="Cambria Math" w:cs="Arial"/>
                        <w:b/>
                        <w:i w:val="0"/>
                        <w:color w:val="auto"/>
                        <w:sz w:val="20"/>
                        <w:szCs w:val="20"/>
                        <w:lang w:val="en-US"/>
                      </w:rPr>
                    </m:ctrlPr>
                  </m:sSubPr>
                  <m:e>
                    <m:r>
                      <m:rPr>
                        <m:sty m:val="bi"/>
                      </m:rPr>
                      <w:rPr>
                        <w:rFonts w:ascii="Cambria Math" w:hAnsi="Cambria Math" w:cs="Arial"/>
                        <w:color w:val="auto"/>
                        <w:sz w:val="20"/>
                        <w:szCs w:val="20"/>
                        <w:lang w:val="en-US"/>
                      </w:rPr>
                      <m:t>K</m:t>
                    </m:r>
                  </m:e>
                  <m:sub>
                    <m:r>
                      <m:rPr>
                        <m:sty m:val="bi"/>
                      </m:rPr>
                      <w:rPr>
                        <w:rFonts w:ascii="Cambria Math" w:hAnsi="Cambria Math" w:cs="Arial"/>
                        <w:color w:val="auto"/>
                        <w:sz w:val="20"/>
                        <w:szCs w:val="20"/>
                        <w:lang w:val="en-US"/>
                      </w:rPr>
                      <m:t>A</m:t>
                    </m:r>
                  </m:sub>
                </m:sSub>
              </m:e>
            </m:d>
          </m:e>
        </m:func>
      </m:oMath>
      <w:r w:rsidRPr="000A4838">
        <w:rPr>
          <w:rFonts w:ascii="Arial" w:hAnsi="Arial" w:cs="Arial"/>
          <w:b/>
          <w:i w:val="0"/>
          <w:color w:val="auto"/>
          <w:sz w:val="20"/>
          <w:szCs w:val="20"/>
          <w:lang w:val="en-US"/>
        </w:rPr>
        <w:t xml:space="preserve">​) vs. Melting Point </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Ashby chart illustrating the relationship between high-temperature oxidation rates (</w:t>
      </w:r>
      <m:oMath>
        <m:func>
          <m:funcPr>
            <m:ctrlPr>
              <w:rPr>
                <w:rFonts w:ascii="Cambria Math" w:hAnsi="Cambria Math" w:cs="Arial"/>
                <w:i w:val="0"/>
                <w:color w:val="auto"/>
                <w:sz w:val="20"/>
                <w:szCs w:val="20"/>
                <w:lang w:val="en-US"/>
              </w:rPr>
            </m:ctrlPr>
          </m:funcPr>
          <m:fName>
            <m:r>
              <w:rPr>
                <w:rFonts w:ascii="Cambria Math" w:hAnsi="Cambria Math" w:cs="Arial"/>
                <w:color w:val="auto"/>
                <w:sz w:val="20"/>
                <w:szCs w:val="20"/>
                <w:lang w:val="en-US"/>
              </w:rPr>
              <m:t>log</m:t>
            </m:r>
          </m:fName>
          <m:e>
            <m:d>
              <m:dPr>
                <m:ctrlPr>
                  <w:rPr>
                    <w:rFonts w:ascii="Cambria Math" w:hAnsi="Cambria Math" w:cs="Arial"/>
                    <w:i w:val="0"/>
                    <w:color w:val="auto"/>
                    <w:sz w:val="20"/>
                    <w:szCs w:val="20"/>
                    <w:lang w:val="en-US"/>
                  </w:rPr>
                </m:ctrlPr>
              </m:dPr>
              <m:e>
                <m:sSub>
                  <m:sSubPr>
                    <m:ctrlPr>
                      <w:rPr>
                        <w:rFonts w:ascii="Cambria Math" w:hAnsi="Cambria Math" w:cs="Arial"/>
                        <w:i w:val="0"/>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A</m:t>
                    </m:r>
                  </m:sub>
                </m:sSub>
              </m:e>
            </m:d>
          </m:e>
        </m:func>
      </m:oMath>
      <w:r w:rsidRPr="000A4838">
        <w:rPr>
          <w:rFonts w:ascii="Arial" w:hAnsi="Arial" w:cs="Arial"/>
          <w:i w:val="0"/>
          <w:color w:val="auto"/>
          <w:sz w:val="20"/>
          <w:szCs w:val="20"/>
          <w:lang w:val="en-US"/>
        </w:rPr>
        <w:t xml:space="preserve">)​ and melting points for the alloy candidates. Marker shapes denote alloy provenance, as described in </w:t>
      </w:r>
      <w:r w:rsidRPr="000A4838">
        <w:rPr>
          <w:rFonts w:ascii="Arial" w:hAnsi="Arial" w:cs="Arial"/>
          <w:i w:val="0"/>
          <w:color w:val="auto"/>
          <w:sz w:val="20"/>
          <w:szCs w:val="20"/>
          <w:lang w:val="en-US"/>
        </w:rPr>
        <w:fldChar w:fldCharType="begin"/>
      </w:r>
      <w:r w:rsidRPr="000A4838">
        <w:rPr>
          <w:rFonts w:ascii="Arial" w:hAnsi="Arial" w:cs="Arial"/>
          <w:i w:val="0"/>
          <w:color w:val="auto"/>
          <w:sz w:val="20"/>
          <w:szCs w:val="20"/>
          <w:lang w:val="en-US"/>
        </w:rPr>
        <w:instrText xml:space="preserve"> REF _Ref204596137 \h </w:instrText>
      </w:r>
      <w:r w:rsidR="0021751D">
        <w:rPr>
          <w:rFonts w:ascii="Arial" w:hAnsi="Arial" w:cs="Arial"/>
          <w:i w:val="0"/>
          <w:color w:val="auto"/>
          <w:sz w:val="20"/>
          <w:szCs w:val="20"/>
          <w:lang w:val="en-US"/>
        </w:rPr>
        <w:instrText xml:space="preserve"> \* MERGEFORMAT </w:instrText>
      </w:r>
      <w:r w:rsidRPr="000A4838">
        <w:rPr>
          <w:rFonts w:ascii="Arial" w:hAnsi="Arial" w:cs="Arial"/>
          <w:i w:val="0"/>
          <w:color w:val="auto"/>
          <w:sz w:val="20"/>
          <w:szCs w:val="20"/>
          <w:lang w:val="en-US"/>
        </w:rPr>
      </w:r>
      <w:r w:rsidRPr="000A4838">
        <w:rPr>
          <w:rFonts w:ascii="Arial" w:hAnsi="Arial" w:cs="Arial"/>
          <w:i w:val="0"/>
          <w:color w:val="auto"/>
          <w:sz w:val="20"/>
          <w:szCs w:val="20"/>
          <w:lang w:val="en-US"/>
        </w:rPr>
        <w:fldChar w:fldCharType="separate"/>
      </w:r>
      <w:r w:rsidR="00380C88" w:rsidRPr="000A4838">
        <w:rPr>
          <w:rFonts w:ascii="Arial" w:hAnsi="Arial" w:cs="Arial"/>
          <w:b/>
          <w:i w:val="0"/>
          <w:color w:val="auto"/>
          <w:sz w:val="20"/>
          <w:szCs w:val="20"/>
          <w:lang w:val="en-US"/>
        </w:rPr>
        <w:t xml:space="preserve">Figure </w:t>
      </w:r>
      <w:r w:rsidR="00380C88">
        <w:rPr>
          <w:rFonts w:ascii="Arial" w:hAnsi="Arial" w:cs="Arial"/>
          <w:b/>
          <w:i w:val="0"/>
          <w:noProof/>
          <w:color w:val="auto"/>
          <w:sz w:val="20"/>
          <w:szCs w:val="20"/>
          <w:lang w:val="en-US"/>
        </w:rPr>
        <w:t>37</w:t>
      </w:r>
      <w:r w:rsidRPr="000A4838">
        <w:rPr>
          <w:rFonts w:ascii="Arial" w:hAnsi="Arial" w:cs="Arial"/>
          <w:i w:val="0"/>
          <w:color w:val="auto"/>
          <w:sz w:val="20"/>
          <w:szCs w:val="20"/>
          <w:lang w:val="en-US"/>
        </w:rPr>
        <w:fldChar w:fldCharType="end"/>
      </w:r>
      <w:r w:rsidRPr="000A4838">
        <w:rPr>
          <w:rFonts w:ascii="Arial" w:hAnsi="Arial" w:cs="Arial"/>
          <w:i w:val="0"/>
          <w:color w:val="auto"/>
          <w:sz w:val="20"/>
          <w:szCs w:val="20"/>
          <w:lang w:val="en-US"/>
        </w:rPr>
        <w:t>. The prominent vertical cluster indicates alloys with moderate oxidation resistance but exceptionally high melting points, primarily generated through CVAE and augmented gradient methods. Notably, generative alloys (diamonds) systematically populate regions characterized by superior melting points coupled with advantageous oxidation profiles, underscoring the relevance of the approach for high-temperature applications.</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bookmarkStart w:id="171" w:name="_Hlk210767198"/>
      <w:r w:rsidRPr="000A4838">
        <w:rPr>
          <w:noProof/>
          <w:lang w:val="en-US"/>
        </w:rPr>
        <w:lastRenderedPageBreak/>
        <w:drawing>
          <wp:inline distT="0" distB="0" distL="0" distR="0" wp14:anchorId="0AF82826" wp14:editId="6D28F033">
            <wp:extent cx="6177082" cy="3840480"/>
            <wp:effectExtent l="0" t="0" r="0" b="762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79555" cy="3842018"/>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72" w:name="_Ref214219943"/>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39</w:t>
      </w:r>
      <w:r w:rsidRPr="000A4838">
        <w:rPr>
          <w:rFonts w:ascii="Arial" w:hAnsi="Arial" w:cs="Arial"/>
          <w:b/>
          <w:i w:val="0"/>
          <w:color w:val="auto"/>
          <w:sz w:val="20"/>
          <w:szCs w:val="20"/>
          <w:lang w:val="en-US"/>
        </w:rPr>
        <w:fldChar w:fldCharType="end"/>
      </w:r>
      <w:bookmarkEnd w:id="172"/>
      <w:r w:rsidRPr="000A4838">
        <w:rPr>
          <w:rFonts w:ascii="Arial" w:hAnsi="Arial" w:cs="Arial"/>
          <w:b/>
          <w:i w:val="0"/>
          <w:color w:val="auto"/>
          <w:sz w:val="20"/>
          <w:szCs w:val="20"/>
          <w:lang w:val="en-US"/>
        </w:rPr>
        <w:t>: Density vs. Melting Point</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 xml:space="preserve">Ashby diagram depicting density against melting point, critical properties for aerospace and energy applications. Markers reflect the alloy generation methodology. Generative and gradient-optimized alloys (diamonds, crosses, stars) occupy high-performance domains characterized by elevated melting temperatures with moderate-to-low densities. These generative compositions consistently exceed the melting points observed in classical superalloys, indicating novel alloys with enhanced </w:t>
      </w:r>
      <w:proofErr w:type="spellStart"/>
      <w:r w:rsidRPr="000A4838">
        <w:rPr>
          <w:rFonts w:ascii="Arial" w:hAnsi="Arial" w:cs="Arial"/>
          <w:i w:val="0"/>
          <w:color w:val="auto"/>
          <w:sz w:val="20"/>
          <w:szCs w:val="20"/>
          <w:lang w:val="en-US"/>
        </w:rPr>
        <w:t>thermostructural</w:t>
      </w:r>
      <w:proofErr w:type="spellEnd"/>
      <w:r w:rsidRPr="000A4838">
        <w:rPr>
          <w:rFonts w:ascii="Arial" w:hAnsi="Arial" w:cs="Arial"/>
          <w:i w:val="0"/>
          <w:color w:val="auto"/>
          <w:sz w:val="20"/>
          <w:szCs w:val="20"/>
          <w:lang w:val="en-US"/>
        </w:rPr>
        <w:t xml:space="preserve"> capabilities and potentially lighter-weight solutions for demanding applications.</w:t>
      </w:r>
    </w:p>
    <w:bookmarkEnd w:id="171"/>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r w:rsidRPr="000A4838">
        <w:rPr>
          <w:noProof/>
          <w:lang w:val="en-US"/>
        </w:rPr>
        <w:lastRenderedPageBreak/>
        <w:drawing>
          <wp:inline distT="0" distB="0" distL="0" distR="0" wp14:anchorId="5693CFC9" wp14:editId="7F972436">
            <wp:extent cx="6132965" cy="3855720"/>
            <wp:effectExtent l="0" t="0" r="127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0821" cy="3860659"/>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p>
    <w:p w:rsidR="007419CB" w:rsidRPr="000A4838" w:rsidRDefault="007419CB" w:rsidP="0021751D">
      <w:pPr>
        <w:pStyle w:val="Lgende"/>
        <w:spacing w:after="160" w:line="480" w:lineRule="auto"/>
        <w:rPr>
          <w:lang w:val="en-US"/>
        </w:rPr>
      </w:pPr>
      <w:bookmarkStart w:id="173" w:name="_Ref214219957"/>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40</w:t>
      </w:r>
      <w:r w:rsidRPr="000A4838">
        <w:rPr>
          <w:rFonts w:ascii="Arial" w:hAnsi="Arial" w:cs="Arial"/>
          <w:b/>
          <w:i w:val="0"/>
          <w:color w:val="auto"/>
          <w:sz w:val="20"/>
          <w:szCs w:val="20"/>
          <w:lang w:val="en-US"/>
        </w:rPr>
        <w:fldChar w:fldCharType="end"/>
      </w:r>
      <w:bookmarkEnd w:id="173"/>
      <w:r w:rsidRPr="000A4838">
        <w:rPr>
          <w:rFonts w:ascii="Arial" w:hAnsi="Arial" w:cs="Arial"/>
          <w:b/>
          <w:i w:val="0"/>
          <w:color w:val="auto"/>
          <w:sz w:val="20"/>
          <w:szCs w:val="20"/>
          <w:lang w:val="en-US"/>
        </w:rPr>
        <w:t>: Shear Modulus vs. Bulk Modulus</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 xml:space="preserve">Property space showing the relationship between shear and bulk moduli of candidate alloys. Marker shapes indicate alloy origin, while colors denote distinct compositional clusters. The generative CVAE and gradient-based alloys expand the known trade-offs while abiding by the specified </w:t>
      </w:r>
      <m:oMath>
        <m:f>
          <m:fPr>
            <m:type m:val="lin"/>
            <m:ctrlPr>
              <w:rPr>
                <w:rFonts w:ascii="Cambria Math" w:hAnsi="Cambria Math" w:cs="Arial"/>
                <w:color w:val="auto"/>
                <w:sz w:val="20"/>
                <w:szCs w:val="20"/>
                <w:lang w:val="en-US"/>
              </w:rPr>
            </m:ctrlPr>
          </m:fPr>
          <m:num>
            <m:r>
              <w:rPr>
                <w:rFonts w:ascii="Cambria Math" w:hAnsi="Cambria Math" w:cs="Arial"/>
                <w:color w:val="auto"/>
                <w:sz w:val="20"/>
                <w:szCs w:val="20"/>
                <w:lang w:val="en-US"/>
              </w:rPr>
              <m:t>G</m:t>
            </m:r>
          </m:num>
          <m:den>
            <m:r>
              <w:rPr>
                <w:rFonts w:ascii="Cambria Math" w:hAnsi="Cambria Math" w:cs="Arial"/>
                <w:color w:val="auto"/>
                <w:sz w:val="20"/>
                <w:szCs w:val="20"/>
                <w:lang w:val="en-US"/>
              </w:rPr>
              <m:t>B</m:t>
            </m:r>
          </m:den>
        </m:f>
      </m:oMath>
      <w:r w:rsidRPr="000A4838">
        <w:rPr>
          <w:rFonts w:ascii="Arial" w:hAnsi="Arial" w:cs="Arial"/>
          <w:i w:val="0"/>
          <w:color w:val="auto"/>
          <w:sz w:val="20"/>
          <w:szCs w:val="20"/>
          <w:lang w:val="en-US"/>
        </w:rPr>
        <w:t xml:space="preserve"> range (Pugh criteria), notably populating regions with lower shear &amp; bulk moduli compared to legacy alloys. However, some of them reach high-modulus values which suggests significant mechanical robustness and potential suitability for applications d</w:t>
      </w:r>
      <w:proofErr w:type="spellStart"/>
      <w:r w:rsidRPr="000A4838">
        <w:rPr>
          <w:rFonts w:ascii="Arial" w:hAnsi="Arial" w:cs="Arial"/>
          <w:i w:val="0"/>
          <w:color w:val="auto"/>
          <w:sz w:val="20"/>
          <w:szCs w:val="20"/>
          <w:lang w:val="en-US"/>
        </w:rPr>
        <w:t>emanding</w:t>
      </w:r>
      <w:proofErr w:type="spellEnd"/>
      <w:r w:rsidRPr="000A4838">
        <w:rPr>
          <w:rFonts w:ascii="Arial" w:hAnsi="Arial" w:cs="Arial"/>
          <w:i w:val="0"/>
          <w:color w:val="auto"/>
          <w:sz w:val="20"/>
          <w:szCs w:val="20"/>
          <w:lang w:val="en-US"/>
        </w:rPr>
        <w:t xml:space="preserve"> exceptional strength and structural integrity under multidirectional loading conditions.</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21751D">
      <w:pPr>
        <w:keepNext/>
        <w:spacing w:after="160" w:line="480" w:lineRule="auto"/>
        <w:rPr>
          <w:lang w:val="en-US"/>
        </w:rPr>
      </w:pPr>
      <w:r w:rsidRPr="000A4838">
        <w:rPr>
          <w:noProof/>
          <w:lang w:val="en-US"/>
        </w:rPr>
        <w:lastRenderedPageBreak/>
        <w:drawing>
          <wp:inline distT="0" distB="0" distL="0" distR="0" wp14:anchorId="645535C8" wp14:editId="33FD37C3">
            <wp:extent cx="6302618" cy="3886200"/>
            <wp:effectExtent l="0" t="0" r="317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4587" cy="3887414"/>
                    </a:xfrm>
                    <a:prstGeom prst="rect">
                      <a:avLst/>
                    </a:prstGeom>
                    <a:noFill/>
                    <a:ln>
                      <a:noFill/>
                    </a:ln>
                  </pic:spPr>
                </pic:pic>
              </a:graphicData>
            </a:graphic>
          </wp:inline>
        </w:drawing>
      </w:r>
    </w:p>
    <w:p w:rsidR="007419CB" w:rsidRPr="000A4838" w:rsidRDefault="007419CB" w:rsidP="0021751D">
      <w:pPr>
        <w:pStyle w:val="Lgende"/>
        <w:spacing w:after="160" w:line="480" w:lineRule="auto"/>
        <w:rPr>
          <w:lang w:val="en-US"/>
        </w:rPr>
      </w:pPr>
      <w:bookmarkStart w:id="174" w:name="_Ref214219985"/>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41</w:t>
      </w:r>
      <w:r w:rsidRPr="000A4838">
        <w:rPr>
          <w:rFonts w:ascii="Arial" w:hAnsi="Arial" w:cs="Arial"/>
          <w:b/>
          <w:i w:val="0"/>
          <w:color w:val="auto"/>
          <w:sz w:val="20"/>
          <w:szCs w:val="20"/>
          <w:lang w:val="en-US"/>
        </w:rPr>
        <w:fldChar w:fldCharType="end"/>
      </w:r>
      <w:bookmarkEnd w:id="174"/>
      <w:r w:rsidRPr="000A4838">
        <w:rPr>
          <w:rFonts w:ascii="Arial" w:hAnsi="Arial" w:cs="Arial"/>
          <w:b/>
          <w:i w:val="0"/>
          <w:color w:val="auto"/>
          <w:sz w:val="20"/>
          <w:szCs w:val="20"/>
          <w:lang w:val="en-US"/>
        </w:rPr>
        <w:t>: Creep Resistance (LMP) vs. Formation Energy (eV/atom)</w:t>
      </w:r>
    </w:p>
    <w:p w:rsidR="007419CB" w:rsidRPr="000A4838" w:rsidRDefault="007419CB" w:rsidP="0021751D">
      <w:pPr>
        <w:pStyle w:val="Lgende"/>
        <w:spacing w:after="160" w:line="480" w:lineRule="auto"/>
        <w:rPr>
          <w:rFonts w:ascii="Arial" w:hAnsi="Arial" w:cs="Arial"/>
          <w:i w:val="0"/>
          <w:color w:val="auto"/>
          <w:sz w:val="20"/>
          <w:szCs w:val="20"/>
          <w:lang w:val="en-US"/>
        </w:rPr>
      </w:pPr>
      <w:r w:rsidRPr="000A4838">
        <w:rPr>
          <w:rFonts w:ascii="Arial" w:hAnsi="Arial" w:cs="Arial"/>
          <w:i w:val="0"/>
          <w:color w:val="auto"/>
          <w:sz w:val="20"/>
          <w:szCs w:val="20"/>
          <w:lang w:val="en-US"/>
        </w:rPr>
        <w:t xml:space="preserve">Ashby-style chart illustrating the interplay between creep resistance (expressed as Larson-Miller Parameter, LMP) and formation energy, crucial metrics for high-temperature stability and the prevention of formation of </w:t>
      </w:r>
      <w:proofErr w:type="spellStart"/>
      <w:r w:rsidRPr="000A4838">
        <w:rPr>
          <w:rFonts w:ascii="Arial" w:hAnsi="Arial" w:cs="Arial"/>
          <w:i w:val="0"/>
          <w:color w:val="auto"/>
          <w:sz w:val="20"/>
          <w:szCs w:val="20"/>
          <w:lang w:val="en-US"/>
        </w:rPr>
        <w:t>intermetallics</w:t>
      </w:r>
      <w:proofErr w:type="spellEnd"/>
      <w:r w:rsidRPr="000A4838">
        <w:rPr>
          <w:rFonts w:ascii="Arial" w:hAnsi="Arial" w:cs="Arial"/>
          <w:i w:val="0"/>
          <w:color w:val="auto"/>
          <w:sz w:val="20"/>
          <w:szCs w:val="20"/>
          <w:lang w:val="en-US"/>
        </w:rPr>
        <w:t>. Legacy superalloys predominantly feature favorable low formation energies but vary widely in creep resistance. Generative and optimized alloys notably populate upper regions of the creep-resistance domain, revealing compositions that simultaneously maintain desirable formation energetics and enhanced creep performance, thus highlighting significant potential for high-temperature structural applications.</w:t>
      </w:r>
    </w:p>
    <w:p w:rsidR="007419CB" w:rsidRPr="000A4838" w:rsidRDefault="007419CB" w:rsidP="0021751D">
      <w:pPr>
        <w:spacing w:after="160" w:line="480" w:lineRule="auto"/>
        <w:rPr>
          <w:lang w:val="en-US"/>
        </w:rPr>
      </w:pPr>
    </w:p>
    <w:p w:rsidR="007419CB" w:rsidRPr="000A4838" w:rsidRDefault="007419CB" w:rsidP="0021751D">
      <w:pPr>
        <w:spacing w:after="160" w:line="480" w:lineRule="auto"/>
        <w:rPr>
          <w:lang w:val="en-US"/>
        </w:rPr>
      </w:pPr>
    </w:p>
    <w:p w:rsidR="007419CB" w:rsidRPr="000A4838" w:rsidRDefault="007419CB" w:rsidP="00F949EF">
      <w:pPr>
        <w:pStyle w:val="Titre2"/>
        <w:numPr>
          <w:ilvl w:val="1"/>
          <w:numId w:val="40"/>
        </w:numPr>
        <w:spacing w:before="0" w:after="160" w:line="480" w:lineRule="auto"/>
        <w:rPr>
          <w:rFonts w:ascii="Times New Roman" w:hAnsi="Times New Roman" w:cs="Times New Roman"/>
          <w:color w:val="auto"/>
          <w:sz w:val="24"/>
          <w:szCs w:val="24"/>
          <w:lang w:val="en-US"/>
        </w:rPr>
      </w:pPr>
      <w:bookmarkStart w:id="175" w:name="_Ref204592977"/>
      <w:bookmarkStart w:id="176" w:name="_Ref204592983"/>
      <w:bookmarkStart w:id="177" w:name="_Ref204592996"/>
      <w:bookmarkStart w:id="178" w:name="_Toc214314377"/>
      <w:bookmarkStart w:id="179" w:name="_Toc216021125"/>
      <w:r w:rsidRPr="000A4838">
        <w:rPr>
          <w:rFonts w:ascii="Times New Roman" w:hAnsi="Times New Roman" w:cs="Times New Roman"/>
          <w:color w:val="auto"/>
          <w:sz w:val="24"/>
          <w:szCs w:val="24"/>
          <w:lang w:val="en-US"/>
        </w:rPr>
        <w:lastRenderedPageBreak/>
        <w:t>Analysis of the Pareto Front &amp; Selection</w:t>
      </w:r>
      <w:bookmarkEnd w:id="175"/>
      <w:bookmarkEnd w:id="176"/>
      <w:bookmarkEnd w:id="177"/>
      <w:bookmarkEnd w:id="178"/>
      <w:bookmarkEnd w:id="179"/>
    </w:p>
    <w:p w:rsidR="007419CB" w:rsidRPr="00092C88" w:rsidRDefault="007419CB" w:rsidP="0021751D">
      <w:pPr>
        <w:spacing w:after="160" w:line="480" w:lineRule="auto"/>
        <w:rPr>
          <w:highlight w:val="yellow"/>
          <w:lang w:val="en-US"/>
        </w:rPr>
      </w:pPr>
      <w:r w:rsidRPr="00F40DD5">
        <w:rPr>
          <w:lang w:val="en-US"/>
        </w:rPr>
        <w:t>In this section, the objective is to extract, in an objective and reproducible manner, the compositional criteria that distinguish the most promising high-entropy superalloys (HESA) generated by the CVAE pipeline. The goals are twofold:</w:t>
      </w:r>
    </w:p>
    <w:p w:rsidR="007419CB" w:rsidRPr="000A4838" w:rsidRDefault="007419CB" w:rsidP="00F949EF">
      <w:pPr>
        <w:numPr>
          <w:ilvl w:val="0"/>
          <w:numId w:val="37"/>
        </w:numPr>
        <w:spacing w:after="160" w:line="480" w:lineRule="auto"/>
        <w:rPr>
          <w:lang w:val="en-US"/>
        </w:rPr>
      </w:pPr>
      <w:r w:rsidRPr="000A4838">
        <w:rPr>
          <w:b/>
          <w:bCs/>
          <w:lang w:val="en-US"/>
        </w:rPr>
        <w:t>Quantify</w:t>
      </w:r>
      <w:r w:rsidRPr="000A4838">
        <w:rPr>
          <w:lang w:val="en-US"/>
        </w:rPr>
        <w:t xml:space="preserve"> the individual and synergistic influence of each element (or combination of elements) on critical performance metrics (e.g. melting temperature, creep resistance, oxidation resistance).</w:t>
      </w:r>
    </w:p>
    <w:p w:rsidR="007419CB" w:rsidRPr="000A4838" w:rsidRDefault="007419CB" w:rsidP="00F949EF">
      <w:pPr>
        <w:numPr>
          <w:ilvl w:val="0"/>
          <w:numId w:val="37"/>
        </w:numPr>
        <w:spacing w:after="160" w:line="480" w:lineRule="auto"/>
        <w:rPr>
          <w:lang w:val="en-US"/>
        </w:rPr>
      </w:pPr>
      <w:r w:rsidRPr="000A4838">
        <w:rPr>
          <w:b/>
          <w:bCs/>
          <w:lang w:val="en-US"/>
        </w:rPr>
        <w:t>Formulate scientifically grounded recipes</w:t>
      </w:r>
      <w:r w:rsidRPr="000A4838">
        <w:rPr>
          <w:lang w:val="en-US"/>
        </w:rPr>
        <w:t xml:space="preserve"> – “typical compositions” that maximize targeted properties – by linking statistical findings to established physical mechanisms (solidification behavior, solution-hardening, oxide-scale formation, diffusion-controlled creep).</w:t>
      </w:r>
    </w:p>
    <w:p w:rsidR="007419CB" w:rsidRPr="000A4838" w:rsidRDefault="007419CB" w:rsidP="0021751D">
      <w:pPr>
        <w:pStyle w:val="NormalWeb"/>
        <w:spacing w:before="0" w:beforeAutospacing="0" w:after="160" w:afterAutospacing="0" w:line="480" w:lineRule="auto"/>
        <w:rPr>
          <w:lang w:val="en-US"/>
        </w:rPr>
      </w:pPr>
      <w:r w:rsidRPr="004044DE">
        <w:rPr>
          <w:lang w:val="en-US"/>
        </w:rPr>
        <w:t>To achieve these goals, data-science techniques specifically adapted to compositional materials datasets are employed.</w:t>
      </w:r>
      <w:r>
        <w:rPr>
          <w:lang w:val="en-US"/>
        </w:rPr>
        <w:t xml:space="preserve"> </w:t>
      </w:r>
      <w:r w:rsidRPr="000A4838">
        <w:rPr>
          <w:lang w:val="en-US"/>
        </w:rPr>
        <w:t>This approach allows to navigate a high-dimensional design space of thousands of candidate alloys, identify coherent “families” of compositions, and draw conclusions that are both robust (statistically significant) and physically interpretable.</w:t>
      </w:r>
    </w:p>
    <w:p w:rsidR="007419CB" w:rsidRPr="00092C88" w:rsidRDefault="007419CB" w:rsidP="0021751D">
      <w:pPr>
        <w:pStyle w:val="NormalWeb"/>
        <w:spacing w:before="0" w:beforeAutospacing="0" w:after="160" w:afterAutospacing="0" w:line="480" w:lineRule="auto"/>
        <w:rPr>
          <w:highlight w:val="yellow"/>
          <w:lang w:val="en-US"/>
        </w:rPr>
      </w:pPr>
      <w:r w:rsidRPr="000A4838">
        <w:rPr>
          <w:lang w:val="en-US"/>
        </w:rPr>
        <w:t xml:space="preserve">Not all predicted quantities contribute equally to a materials-design decision. </w:t>
      </w:r>
      <w:r w:rsidRPr="004044DE">
        <w:rPr>
          <w:lang w:val="en-US"/>
        </w:rPr>
        <w:t>Accordingly, a subset of properties is selected that (</w:t>
      </w:r>
      <w:proofErr w:type="spellStart"/>
      <w:r w:rsidRPr="004044DE">
        <w:rPr>
          <w:lang w:val="en-US"/>
        </w:rPr>
        <w:t>i</w:t>
      </w:r>
      <w:proofErr w:type="spellEnd"/>
      <w:r w:rsidRPr="004044DE">
        <w:rPr>
          <w:lang w:val="en-US"/>
        </w:rPr>
        <w:t>) are critical for high-temperature structural performance and (ii) exhibit low mutual correlation, thereby capturing complementary aspects of alloy behavior</w:t>
      </w:r>
      <w:r>
        <w:rPr>
          <w:lang w:val="en-US"/>
        </w:rPr>
        <w:t xml:space="preserve">. It is presented on </w:t>
      </w:r>
      <w:r w:rsidRPr="00204EDA">
        <w:rPr>
          <w:lang w:val="en-US"/>
        </w:rPr>
        <w:fldChar w:fldCharType="begin"/>
      </w:r>
      <w:r w:rsidRPr="00204EDA">
        <w:rPr>
          <w:lang w:val="en-US"/>
        </w:rPr>
        <w:instrText xml:space="preserve"> REF _Ref214309335 \h  \* MERGEFORMAT </w:instrText>
      </w:r>
      <w:r w:rsidRPr="00204EDA">
        <w:rPr>
          <w:lang w:val="en-US"/>
        </w:rPr>
      </w:r>
      <w:r w:rsidRPr="00204EDA">
        <w:rPr>
          <w:lang w:val="en-US"/>
        </w:rPr>
        <w:fldChar w:fldCharType="separate"/>
      </w:r>
      <w:r w:rsidR="00380C88" w:rsidRPr="00380C88">
        <w:rPr>
          <w:rFonts w:ascii="Arial" w:hAnsi="Arial" w:cs="Arial"/>
          <w:b/>
          <w:sz w:val="20"/>
          <w:szCs w:val="20"/>
          <w:lang w:val="en-US"/>
        </w:rPr>
        <w:t xml:space="preserve">Table </w:t>
      </w:r>
      <w:r w:rsidR="00380C88" w:rsidRPr="00380C88">
        <w:rPr>
          <w:rFonts w:ascii="Arial" w:hAnsi="Arial" w:cs="Arial"/>
          <w:b/>
          <w:noProof/>
          <w:sz w:val="20"/>
          <w:szCs w:val="20"/>
          <w:lang w:val="en-US"/>
        </w:rPr>
        <w:t>3</w:t>
      </w:r>
      <w:r w:rsidRPr="00204EDA">
        <w:rPr>
          <w:lang w:val="en-US"/>
        </w:rPr>
        <w:fldChar w:fldCharType="end"/>
      </w:r>
      <w:r>
        <w:rPr>
          <w:lang w:val="en-US"/>
        </w:rPr>
        <w:t>.</w:t>
      </w:r>
    </w:p>
    <w:p w:rsidR="007419CB" w:rsidRPr="00092C88" w:rsidRDefault="007419CB" w:rsidP="0021751D">
      <w:pPr>
        <w:spacing w:after="160" w:line="480" w:lineRule="auto"/>
        <w:rPr>
          <w:highlight w:val="yellow"/>
          <w:lang w:val="en-US"/>
        </w:rPr>
      </w:pPr>
    </w:p>
    <w:tbl>
      <w:tblPr>
        <w:tblStyle w:val="Tableausimple3"/>
        <w:tblW w:w="9214" w:type="dxa"/>
        <w:tblLook w:val="04A0" w:firstRow="1" w:lastRow="0" w:firstColumn="1" w:lastColumn="0" w:noHBand="0" w:noVBand="1"/>
      </w:tblPr>
      <w:tblGrid>
        <w:gridCol w:w="1985"/>
        <w:gridCol w:w="1276"/>
        <w:gridCol w:w="5953"/>
      </w:tblGrid>
      <w:tr w:rsidR="007419CB" w:rsidRPr="00204EDA" w:rsidTr="007419C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t>Property</w:t>
            </w:r>
          </w:p>
        </w:tc>
        <w:tc>
          <w:tcPr>
            <w:tcW w:w="1276" w:type="dxa"/>
            <w:hideMark/>
          </w:tcPr>
          <w:p w:rsidR="007419CB" w:rsidRPr="00204EDA"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b w:val="0"/>
                <w:bCs/>
                <w:i/>
                <w:color w:val="auto"/>
                <w:lang w:val="en-US"/>
              </w:rPr>
            </w:pPr>
            <w:r w:rsidRPr="00204EDA">
              <w:rPr>
                <w:b w:val="0"/>
                <w:bCs/>
                <w:i/>
                <w:color w:val="auto"/>
                <w:lang w:val="en-US"/>
              </w:rPr>
              <w:t>Symbol</w:t>
            </w:r>
          </w:p>
        </w:tc>
        <w:tc>
          <w:tcPr>
            <w:tcW w:w="5953" w:type="dxa"/>
            <w:hideMark/>
          </w:tcPr>
          <w:p w:rsidR="007419CB" w:rsidRPr="00204EDA" w:rsidRDefault="007419CB" w:rsidP="0021751D">
            <w:pPr>
              <w:spacing w:after="160" w:line="480" w:lineRule="auto"/>
              <w:cnfStyle w:val="100000000000" w:firstRow="1" w:lastRow="0" w:firstColumn="0" w:lastColumn="0" w:oddVBand="0" w:evenVBand="0" w:oddHBand="0" w:evenHBand="0" w:firstRowFirstColumn="0" w:firstRowLastColumn="0" w:lastRowFirstColumn="0" w:lastRowLastColumn="0"/>
              <w:rPr>
                <w:b w:val="0"/>
                <w:bCs/>
                <w:i/>
                <w:color w:val="auto"/>
                <w:lang w:val="en-US"/>
              </w:rPr>
            </w:pPr>
            <w:r w:rsidRPr="00204EDA">
              <w:rPr>
                <w:b w:val="0"/>
                <w:bCs/>
                <w:i/>
                <w:color w:val="auto"/>
                <w:lang w:val="en-US"/>
              </w:rPr>
              <w:t>Rationale</w:t>
            </w:r>
          </w:p>
        </w:tc>
      </w:tr>
      <w:tr w:rsidR="007419CB" w:rsidRPr="00CC139D" w:rsidTr="007419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lastRenderedPageBreak/>
              <w:t>Melting point</w:t>
            </w:r>
          </w:p>
        </w:tc>
        <w:tc>
          <w:tcPr>
            <w:tcW w:w="1276" w:type="dxa"/>
            <w:hideMark/>
          </w:tcPr>
          <w:p w:rsidR="007419CB" w:rsidRPr="00204EDA" w:rsidRDefault="00CC139D"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
              <m:sSub>
                <m:sSubPr>
                  <m:ctrlPr>
                    <w:rPr>
                      <w:rFonts w:ascii="Cambria Math" w:hAnsi="Cambria Math"/>
                      <w:i/>
                      <w:color w:val="auto"/>
                      <w:lang w:val="en-US"/>
                    </w:rPr>
                  </m:ctrlPr>
                </m:sSubPr>
                <m:e>
                  <m:r>
                    <w:rPr>
                      <w:rFonts w:ascii="Cambria Math" w:hAnsi="Cambria Math"/>
                      <w:color w:val="auto"/>
                      <w:lang w:val="en-US"/>
                    </w:rPr>
                    <m:t>T</m:t>
                  </m:r>
                </m:e>
                <m:sub>
                  <m:r>
                    <w:rPr>
                      <w:rFonts w:ascii="Cambria Math" w:hAnsi="Cambria Math"/>
                      <w:color w:val="auto"/>
                      <w:lang w:val="en-US"/>
                    </w:rPr>
                    <m:t>m</m:t>
                  </m:r>
                </m:sub>
              </m:sSub>
              <m:r>
                <w:rPr>
                  <w:rFonts w:ascii="Cambria Math" w:hAnsi="Cambria Math"/>
                  <w:color w:val="auto"/>
                  <w:lang w:val="en-US"/>
                </w:rPr>
                <m:t xml:space="preserve"> </m:t>
              </m:r>
            </m:oMath>
            <w:r w:rsidR="007419CB" w:rsidRPr="00204EDA">
              <w:rPr>
                <w:color w:val="auto"/>
                <w:lang w:val="en-US"/>
              </w:rPr>
              <w:t>(K)</w:t>
            </w:r>
          </w:p>
        </w:tc>
        <w:tc>
          <w:tcPr>
            <w:tcW w:w="5953" w:type="dxa"/>
            <w:hideMark/>
          </w:tcPr>
          <w:p w:rsidR="007419CB" w:rsidRPr="00204EDA"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204EDA">
              <w:rPr>
                <w:color w:val="auto"/>
                <w:lang w:val="en-US"/>
              </w:rPr>
              <w:t>Fundamental limit for service temperature.</w:t>
            </w:r>
          </w:p>
        </w:tc>
      </w:tr>
      <w:tr w:rsidR="007419CB" w:rsidRPr="00CC139D" w:rsidTr="007419CB">
        <w:trPr>
          <w:trHeight w:val="576"/>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t>Creep resistance</w:t>
            </w:r>
          </w:p>
        </w:tc>
        <w:tc>
          <w:tcPr>
            <w:tcW w:w="1276" w:type="dxa"/>
            <w:hideMark/>
          </w:tcPr>
          <w:p w:rsidR="007419CB" w:rsidRPr="00204EDA"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204EDA">
              <w:rPr>
                <w:lang w:val="en-US"/>
              </w:rPr>
              <w:t>LMP</w:t>
            </w:r>
          </w:p>
        </w:tc>
        <w:tc>
          <w:tcPr>
            <w:tcW w:w="5953" w:type="dxa"/>
            <w:hideMark/>
          </w:tcPr>
          <w:p w:rsidR="007419CB" w:rsidRPr="00204EDA"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204EDA">
              <w:rPr>
                <w:lang w:val="en-US"/>
              </w:rPr>
              <w:t>Dimensionless Larson–Miller parameter: direct measure of time-to-failure at stress.</w:t>
            </w:r>
          </w:p>
        </w:tc>
      </w:tr>
      <w:tr w:rsidR="007419CB" w:rsidRPr="00CC139D" w:rsidTr="007419C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t>Oxidation resistance</w:t>
            </w:r>
          </w:p>
        </w:tc>
        <w:tc>
          <w:tcPr>
            <w:tcW w:w="1276" w:type="dxa"/>
            <w:hideMark/>
          </w:tcPr>
          <w:p w:rsidR="007419CB" w:rsidRPr="00204EDA" w:rsidRDefault="00CC139D"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
              <m:func>
                <m:funcPr>
                  <m:ctrlPr>
                    <w:rPr>
                      <w:rFonts w:ascii="Cambria Math" w:hAnsi="Cambria Math"/>
                      <w:i/>
                      <w:color w:val="auto"/>
                      <w:lang w:val="en-US"/>
                    </w:rPr>
                  </m:ctrlPr>
                </m:funcPr>
                <m:fName>
                  <m:r>
                    <m:rPr>
                      <m:sty m:val="p"/>
                    </m:rPr>
                    <w:rPr>
                      <w:rFonts w:ascii="Cambria Math" w:hAnsi="Cambria Math"/>
                      <w:color w:val="auto"/>
                      <w:lang w:val="en-US"/>
                    </w:rPr>
                    <m:t>log</m:t>
                  </m:r>
                </m:fName>
                <m:e>
                  <m:sSub>
                    <m:sSubPr>
                      <m:ctrlPr>
                        <w:rPr>
                          <w:rFonts w:ascii="Cambria Math" w:hAnsi="Cambria Math"/>
                          <w:i/>
                          <w:color w:val="auto"/>
                          <w:lang w:val="en-US"/>
                        </w:rPr>
                      </m:ctrlPr>
                    </m:sSubPr>
                    <m:e>
                      <m:r>
                        <w:rPr>
                          <w:rFonts w:ascii="Cambria Math" w:hAnsi="Cambria Math"/>
                          <w:color w:val="auto"/>
                          <w:lang w:val="en-US"/>
                        </w:rPr>
                        <m:t>K</m:t>
                      </m:r>
                    </m:e>
                    <m:sub>
                      <m:r>
                        <w:rPr>
                          <w:rFonts w:ascii="Cambria Math" w:hAnsi="Cambria Math"/>
                          <w:color w:val="auto"/>
                          <w:lang w:val="en-US"/>
                        </w:rPr>
                        <m:t>A</m:t>
                      </m:r>
                    </m:sub>
                  </m:sSub>
                </m:e>
              </m:func>
            </m:oMath>
            <w:r w:rsidR="007419CB" w:rsidRPr="00204EDA">
              <w:rPr>
                <w:color w:val="auto"/>
                <w:lang w:val="en-US"/>
              </w:rPr>
              <w:t xml:space="preserve"> </w:t>
            </w:r>
          </w:p>
        </w:tc>
        <w:tc>
          <w:tcPr>
            <w:tcW w:w="5953" w:type="dxa"/>
            <w:hideMark/>
          </w:tcPr>
          <w:p w:rsidR="007419CB" w:rsidRPr="00204EDA"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204EDA">
              <w:rPr>
                <w:color w:val="auto"/>
                <w:lang w:val="en-US"/>
              </w:rPr>
              <w:t>Kinetic constant for oxide-scale growth: lower values indicate slower oxidation.</w:t>
            </w:r>
          </w:p>
        </w:tc>
      </w:tr>
      <w:tr w:rsidR="007419CB" w:rsidRPr="00CC139D" w:rsidTr="007419CB">
        <w:trPr>
          <w:trHeight w:val="576"/>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t>Density</w:t>
            </w:r>
          </w:p>
        </w:tc>
        <w:tc>
          <w:tcPr>
            <w:tcW w:w="1276" w:type="dxa"/>
            <w:hideMark/>
          </w:tcPr>
          <w:p w:rsidR="007419CB" w:rsidRPr="00204EDA"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
              <m:r>
                <w:rPr>
                  <w:rFonts w:ascii="Cambria Math" w:hAnsi="Cambria Math"/>
                  <w:lang w:val="en-US"/>
                </w:rPr>
                <m:t>ρ</m:t>
              </m:r>
            </m:oMath>
            <w:r w:rsidRPr="00204EDA">
              <w:rPr>
                <w:lang w:val="en-US"/>
              </w:rPr>
              <w:t xml:space="preserve"> </w:t>
            </w:r>
          </w:p>
        </w:tc>
        <w:tc>
          <w:tcPr>
            <w:tcW w:w="5953" w:type="dxa"/>
            <w:hideMark/>
          </w:tcPr>
          <w:p w:rsidR="007419CB" w:rsidRPr="00204EDA"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204EDA">
              <w:rPr>
                <w:lang w:val="en-US"/>
              </w:rPr>
              <w:t>Mass efficiency: crucial for applications where weight matters (aerospace, turbines).</w:t>
            </w:r>
          </w:p>
        </w:tc>
      </w:tr>
      <w:tr w:rsidR="007419CB" w:rsidRPr="00CC139D" w:rsidTr="007419C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t>Bulk modulus</w:t>
            </w:r>
          </w:p>
        </w:tc>
        <w:tc>
          <w:tcPr>
            <w:tcW w:w="1276" w:type="dxa"/>
            <w:hideMark/>
          </w:tcPr>
          <w:p w:rsidR="007419CB" w:rsidRPr="00204EDA"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
              <m:r>
                <w:rPr>
                  <w:rFonts w:ascii="Cambria Math" w:hAnsi="Cambria Math"/>
                  <w:color w:val="auto"/>
                  <w:lang w:val="en-US"/>
                </w:rPr>
                <m:t>B</m:t>
              </m:r>
            </m:oMath>
            <w:r w:rsidRPr="00204EDA">
              <w:rPr>
                <w:color w:val="auto"/>
                <w:lang w:val="en-US"/>
              </w:rPr>
              <w:t xml:space="preserve"> (GPa)</w:t>
            </w:r>
          </w:p>
        </w:tc>
        <w:tc>
          <w:tcPr>
            <w:tcW w:w="5953" w:type="dxa"/>
            <w:hideMark/>
          </w:tcPr>
          <w:p w:rsidR="007419CB" w:rsidRPr="00204EDA"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204EDA">
              <w:rPr>
                <w:color w:val="auto"/>
                <w:lang w:val="en-US"/>
              </w:rPr>
              <w:t>Resistance to volumetric compression: correlates with high-temperature stiffness.</w:t>
            </w:r>
          </w:p>
        </w:tc>
      </w:tr>
      <w:tr w:rsidR="007419CB" w:rsidRPr="00CC139D" w:rsidTr="007419CB">
        <w:trPr>
          <w:trHeight w:val="576"/>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t>Shear modulus</w:t>
            </w:r>
          </w:p>
        </w:tc>
        <w:tc>
          <w:tcPr>
            <w:tcW w:w="1276" w:type="dxa"/>
            <w:hideMark/>
          </w:tcPr>
          <w:p w:rsidR="007419CB" w:rsidRPr="00204EDA"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m:oMath>
              <m:r>
                <w:rPr>
                  <w:rFonts w:ascii="Cambria Math" w:hAnsi="Cambria Math"/>
                  <w:lang w:val="en-US"/>
                </w:rPr>
                <m:t>G</m:t>
              </m:r>
            </m:oMath>
            <w:r w:rsidRPr="00204EDA">
              <w:rPr>
                <w:lang w:val="en-US"/>
              </w:rPr>
              <w:t xml:space="preserve"> (GPa)</w:t>
            </w:r>
          </w:p>
        </w:tc>
        <w:tc>
          <w:tcPr>
            <w:tcW w:w="5953" w:type="dxa"/>
            <w:hideMark/>
          </w:tcPr>
          <w:p w:rsidR="007419CB" w:rsidRPr="00204EDA" w:rsidRDefault="007419CB" w:rsidP="0021751D">
            <w:pPr>
              <w:spacing w:after="160" w:line="480" w:lineRule="auto"/>
              <w:cnfStyle w:val="000000000000" w:firstRow="0" w:lastRow="0" w:firstColumn="0" w:lastColumn="0" w:oddVBand="0" w:evenVBand="0" w:oddHBand="0" w:evenHBand="0" w:firstRowFirstColumn="0" w:firstRowLastColumn="0" w:lastRowFirstColumn="0" w:lastRowLastColumn="0"/>
              <w:rPr>
                <w:lang w:val="en-US"/>
              </w:rPr>
            </w:pPr>
            <w:r w:rsidRPr="00204EDA">
              <w:rPr>
                <w:lang w:val="en-US"/>
              </w:rPr>
              <w:t>Resistance to shear deformation: relates to hardness and yield strength.</w:t>
            </w:r>
          </w:p>
        </w:tc>
      </w:tr>
      <w:tr w:rsidR="007419CB" w:rsidRPr="00CC139D" w:rsidTr="007419C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5" w:type="dxa"/>
            <w:hideMark/>
          </w:tcPr>
          <w:p w:rsidR="007419CB" w:rsidRPr="00204EDA" w:rsidRDefault="007419CB" w:rsidP="0021751D">
            <w:pPr>
              <w:spacing w:after="160" w:line="480" w:lineRule="auto"/>
              <w:rPr>
                <w:b w:val="0"/>
                <w:bCs/>
                <w:i/>
                <w:color w:val="auto"/>
                <w:lang w:val="en-US"/>
              </w:rPr>
            </w:pPr>
            <w:r w:rsidRPr="00204EDA">
              <w:rPr>
                <w:b w:val="0"/>
                <w:bCs/>
                <w:i/>
                <w:color w:val="auto"/>
                <w:lang w:val="en-US"/>
              </w:rPr>
              <w:t>Pugh ratio</w:t>
            </w:r>
          </w:p>
        </w:tc>
        <w:tc>
          <w:tcPr>
            <w:tcW w:w="1276" w:type="dxa"/>
            <w:hideMark/>
          </w:tcPr>
          <w:p w:rsidR="007419CB" w:rsidRPr="00204EDA" w:rsidRDefault="007419CB" w:rsidP="0021751D">
            <w:pPr>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m:oMathPara>
              <m:oMath>
                <m:r>
                  <w:rPr>
                    <w:rFonts w:ascii="Cambria Math" w:hAnsi="Cambria Math"/>
                    <w:color w:val="auto"/>
                    <w:lang w:val="en-US"/>
                  </w:rPr>
                  <m:t xml:space="preserve">G/B </m:t>
                </m:r>
              </m:oMath>
            </m:oMathPara>
          </w:p>
        </w:tc>
        <w:tc>
          <w:tcPr>
            <w:tcW w:w="5953" w:type="dxa"/>
            <w:hideMark/>
          </w:tcPr>
          <w:p w:rsidR="007419CB" w:rsidRPr="00204EDA" w:rsidRDefault="007419CB" w:rsidP="0021751D">
            <w:pPr>
              <w:keepNext/>
              <w:spacing w:after="160" w:line="480" w:lineRule="auto"/>
              <w:cnfStyle w:val="000000100000" w:firstRow="0" w:lastRow="0" w:firstColumn="0" w:lastColumn="0" w:oddVBand="0" w:evenVBand="0" w:oddHBand="1" w:evenHBand="0" w:firstRowFirstColumn="0" w:firstRowLastColumn="0" w:lastRowFirstColumn="0" w:lastRowLastColumn="0"/>
              <w:rPr>
                <w:color w:val="auto"/>
                <w:lang w:val="en-US"/>
              </w:rPr>
            </w:pPr>
            <w:r w:rsidRPr="00204EDA">
              <w:rPr>
                <w:color w:val="auto"/>
                <w:lang w:val="en-US"/>
              </w:rPr>
              <w:t xml:space="preserve">Ductility indicator: </w:t>
            </w:r>
            <m:oMath>
              <m:r>
                <w:rPr>
                  <w:rFonts w:ascii="Cambria Math" w:hAnsi="Cambria Math"/>
                  <w:color w:val="auto"/>
                  <w:lang w:val="en-US"/>
                </w:rPr>
                <m:t>G/B&lt;0.5</m:t>
              </m:r>
            </m:oMath>
            <w:r w:rsidRPr="00204EDA">
              <w:rPr>
                <w:color w:val="auto"/>
                <w:lang w:val="en-US"/>
              </w:rPr>
              <w:t xml:space="preserve"> implies ductile behavior; </w:t>
            </w:r>
            <m:oMath>
              <m:r>
                <w:rPr>
                  <w:rFonts w:ascii="Cambria Math" w:hAnsi="Cambria Math"/>
                  <w:color w:val="auto"/>
                  <w:lang w:val="en-US"/>
                </w:rPr>
                <m:t>G/B&gt;0.5</m:t>
              </m:r>
            </m:oMath>
            <w:r w:rsidRPr="00204EDA">
              <w:rPr>
                <w:color w:val="auto"/>
                <w:lang w:val="en-US"/>
              </w:rPr>
              <w:t xml:space="preserve"> indicates brittleness.</w:t>
            </w:r>
          </w:p>
        </w:tc>
      </w:tr>
    </w:tbl>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80" w:name="_Ref214309335"/>
      <w:r w:rsidRPr="000A4838">
        <w:rPr>
          <w:rFonts w:ascii="Arial" w:hAnsi="Arial" w:cs="Arial"/>
          <w:b/>
          <w:i w:val="0"/>
          <w:color w:val="auto"/>
          <w:sz w:val="20"/>
          <w:szCs w:val="20"/>
          <w:lang w:val="en-US"/>
        </w:rPr>
        <w:t xml:space="preserve">Table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Tableau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3</w:t>
      </w:r>
      <w:r w:rsidRPr="000A4838">
        <w:rPr>
          <w:rFonts w:ascii="Arial" w:hAnsi="Arial" w:cs="Arial"/>
          <w:b/>
          <w:i w:val="0"/>
          <w:color w:val="auto"/>
          <w:sz w:val="20"/>
          <w:szCs w:val="20"/>
          <w:lang w:val="en-US"/>
        </w:rPr>
        <w:fldChar w:fldCharType="end"/>
      </w:r>
      <w:bookmarkEnd w:id="180"/>
      <w:r w:rsidRPr="000A4838">
        <w:rPr>
          <w:rFonts w:ascii="Arial" w:hAnsi="Arial" w:cs="Arial"/>
          <w:b/>
          <w:i w:val="0"/>
          <w:color w:val="auto"/>
          <w:sz w:val="20"/>
          <w:szCs w:val="20"/>
          <w:lang w:val="en-US"/>
        </w:rPr>
        <w:t>: Set of Physical Properties Retained to Analyze the Pareto Front</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21751D">
      <w:pPr>
        <w:pStyle w:val="NormalWeb"/>
        <w:spacing w:before="0" w:beforeAutospacing="0" w:after="160" w:afterAutospacing="0" w:line="480" w:lineRule="auto"/>
        <w:rPr>
          <w:lang w:val="en-US"/>
        </w:rPr>
      </w:pPr>
      <w:r w:rsidRPr="004044DE">
        <w:rPr>
          <w:lang w:val="en-US"/>
        </w:rPr>
        <w:t>Young’s modulus (</w:t>
      </w:r>
      <m:oMath>
        <m:r>
          <w:rPr>
            <w:rFonts w:ascii="Cambria Math" w:hAnsi="Cambria Math"/>
            <w:lang w:val="en-US"/>
          </w:rPr>
          <m:t>E</m:t>
        </m:r>
      </m:oMath>
      <w:r w:rsidRPr="004044DE">
        <w:rPr>
          <w:lang w:val="en-US"/>
        </w:rPr>
        <w:t xml:space="preserve">) – which is derivable from </w:t>
      </w:r>
      <m:oMath>
        <m:r>
          <w:rPr>
            <w:rFonts w:ascii="Cambria Math" w:hAnsi="Cambria Math"/>
            <w:lang w:val="en-US"/>
          </w:rPr>
          <m:t>B</m:t>
        </m:r>
      </m:oMath>
      <w:r w:rsidRPr="004044DE">
        <w:rPr>
          <w:lang w:val="en-US"/>
        </w:rPr>
        <w:t xml:space="preserve"> and </w:t>
      </w:r>
      <m:oMath>
        <m:r>
          <w:rPr>
            <w:rFonts w:ascii="Cambria Math" w:hAnsi="Cambria Math"/>
            <w:lang w:val="en-US"/>
          </w:rPr>
          <m:t>G</m:t>
        </m:r>
      </m:oMath>
      <w:r w:rsidRPr="004044DE">
        <w:rPr>
          <w:lang w:val="en-US"/>
        </w:rPr>
        <w:t xml:space="preserve"> – is omitted to avoid redundancy. Other quantities (formation energy, decomposition energy, atomic-size mismatch, valence electron concentration</w:t>
      </w:r>
      <w:r w:rsidRPr="000A4838">
        <w:rPr>
          <w:lang w:val="en-US"/>
        </w:rPr>
        <w:t xml:space="preserve">, </w:t>
      </w:r>
      <m:oMath>
        <m:r>
          <m:rPr>
            <m:sty m:val="p"/>
          </m:rPr>
          <w:rPr>
            <w:rFonts w:ascii="Cambria Math" w:hAnsi="Cambria Math"/>
            <w:lang w:val="en-US"/>
          </w:rPr>
          <m:t>Ω</m:t>
        </m:r>
      </m:oMath>
      <w:r w:rsidRPr="000A4838">
        <w:rPr>
          <w:lang w:val="en-US"/>
        </w:rPr>
        <w:t>-parameter) are valuable for mi</w:t>
      </w:r>
      <w:proofErr w:type="spellStart"/>
      <w:r w:rsidRPr="000A4838">
        <w:rPr>
          <w:lang w:val="en-US"/>
        </w:rPr>
        <w:t>crostructural</w:t>
      </w:r>
      <w:proofErr w:type="spellEnd"/>
      <w:r w:rsidRPr="000A4838">
        <w:rPr>
          <w:lang w:val="en-US"/>
        </w:rPr>
        <w:t xml:space="preserve"> or thermodynamic analyses but lie outside the immediate scope of high-temperature mechanical and environmental performance.</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81" w:name="_Ref205244323"/>
      <w:bookmarkStart w:id="182" w:name="_Toc214314379"/>
      <w:bookmarkStart w:id="183" w:name="_Toc216021126"/>
      <w:r w:rsidRPr="000A4838">
        <w:rPr>
          <w:rFonts w:ascii="Times New Roman" w:hAnsi="Times New Roman" w:cs="Times New Roman"/>
          <w:color w:val="auto"/>
          <w:lang w:val="en-US"/>
        </w:rPr>
        <w:lastRenderedPageBreak/>
        <w:t>Analysis of the Correlations between Elements in the Pareto Front</w:t>
      </w:r>
      <w:bookmarkEnd w:id="181"/>
      <w:bookmarkEnd w:id="182"/>
      <w:bookmarkEnd w:id="183"/>
    </w:p>
    <w:p w:rsidR="007419CB" w:rsidRDefault="007419CB" w:rsidP="0021751D">
      <w:pPr>
        <w:pStyle w:val="NormalWeb"/>
        <w:keepNext/>
        <w:spacing w:before="0" w:beforeAutospacing="0" w:after="160" w:afterAutospacing="0" w:line="480" w:lineRule="auto"/>
        <w:rPr>
          <w:lang w:val="en-US"/>
        </w:rPr>
      </w:pPr>
      <w:r w:rsidRPr="000A4838">
        <w:rPr>
          <w:lang w:val="en-US"/>
        </w:rPr>
        <w:t xml:space="preserve">A key challenge in compositional materials science is understanding how specific elements – or groups of elements – synergistically contribute to desired properties. </w:t>
      </w:r>
      <w:r w:rsidRPr="004044DE">
        <w:rPr>
          <w:lang w:val="en-US"/>
        </w:rPr>
        <w:t xml:space="preserve">A central question arises: can combinations of elements that consistently yield superior high-temperature performance in high-entropy superalloys (HESA) be identified in a systematic manner? Addressing this requires quantifying both the frequency and the strength of elemental co-occurrence within the Pareto-optimal compositions. </w:t>
      </w:r>
    </w:p>
    <w:p w:rsidR="007419CB" w:rsidRPr="000A4838" w:rsidRDefault="007419CB" w:rsidP="0021751D">
      <w:pPr>
        <w:pStyle w:val="NormalWeb"/>
        <w:keepNext/>
        <w:spacing w:before="0" w:beforeAutospacing="0" w:after="160" w:afterAutospacing="0" w:line="480" w:lineRule="auto"/>
        <w:rPr>
          <w:lang w:val="en-US"/>
        </w:rPr>
      </w:pPr>
      <w:r w:rsidRPr="004044DE">
        <w:rPr>
          <w:lang w:val="en-US"/>
        </w:rPr>
        <w:t>To this end, a correlation network is constructed using the CLR-transformed compositions of the alloys located on the Pareto front.</w:t>
      </w:r>
      <w:r>
        <w:rPr>
          <w:lang w:val="en-US"/>
        </w:rPr>
        <w:t xml:space="preserve"> </w:t>
      </w:r>
      <w:r w:rsidRPr="000A4838">
        <w:rPr>
          <w:lang w:val="en-US"/>
        </w:rPr>
        <w:t xml:space="preserve">This network visualizes pairwise correlations (Pearson coefficient, </w:t>
      </w:r>
      <m:oMath>
        <m:d>
          <m:dPr>
            <m:begChr m:val="|"/>
            <m:endChr m:val="|"/>
            <m:ctrlPr>
              <w:rPr>
                <w:rFonts w:ascii="Cambria Math" w:hAnsi="Cambria Math"/>
                <w:i/>
                <w:lang w:val="en-US"/>
              </w:rPr>
            </m:ctrlPr>
          </m:dPr>
          <m:e>
            <m:r>
              <w:rPr>
                <w:rFonts w:ascii="Cambria Math" w:hAnsi="Cambria Math"/>
                <w:lang w:val="en-US"/>
              </w:rPr>
              <m:t>r</m:t>
            </m:r>
          </m:e>
        </m:d>
      </m:oMath>
      <w:r w:rsidRPr="000A4838">
        <w:rPr>
          <w:lang w:val="en-US"/>
        </w:rPr>
        <w:t>) between elements, effectively highlighting element pairs whose proportions tend to rise and fall together (positive correlations) or inversely vary (negative correlations) across high-performing alloys. Representing these relationships graphically cla</w:t>
      </w:r>
      <w:proofErr w:type="spellStart"/>
      <w:r w:rsidRPr="000A4838">
        <w:rPr>
          <w:lang w:val="en-US"/>
        </w:rPr>
        <w:t>rifies</w:t>
      </w:r>
      <w:proofErr w:type="spellEnd"/>
      <w:r w:rsidRPr="000A4838">
        <w:rPr>
          <w:lang w:val="en-US"/>
        </w:rPr>
        <w:t xml:space="preserve"> which combinations are favored, suggesting underlying physical mechanisms such as solution strengthening, optimized solidification pathways, or enhanced oxidation resistance through compatible oxide-scale formation.</w:t>
      </w:r>
    </w:p>
    <w:p w:rsidR="007419CB" w:rsidRPr="000A4838" w:rsidRDefault="007419CB" w:rsidP="0021751D">
      <w:pPr>
        <w:pStyle w:val="NormalWeb"/>
        <w:keepNext/>
        <w:spacing w:before="0" w:beforeAutospacing="0" w:after="160" w:afterAutospacing="0" w:line="480" w:lineRule="auto"/>
        <w:rPr>
          <w:lang w:val="en-US"/>
        </w:rPr>
      </w:pPr>
      <w:r w:rsidRPr="000A4838">
        <w:rPr>
          <w:lang w:val="en-US"/>
        </w:rPr>
        <w:fldChar w:fldCharType="begin"/>
      </w:r>
      <w:r w:rsidRPr="000A4838">
        <w:rPr>
          <w:lang w:val="en-US"/>
        </w:rPr>
        <w:instrText xml:space="preserve"> REF _Ref205147949 \h  \* MERGEFORMAT </w:instrText>
      </w:r>
      <w:r w:rsidRPr="000A4838">
        <w:rPr>
          <w:lang w:val="en-US"/>
        </w:rPr>
      </w:r>
      <w:r w:rsidRPr="000A4838">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42</w:t>
      </w:r>
      <w:r w:rsidRPr="000A4838">
        <w:rPr>
          <w:lang w:val="en-US"/>
        </w:rPr>
        <w:fldChar w:fldCharType="end"/>
      </w:r>
      <w:r w:rsidRPr="000A4838">
        <w:rPr>
          <w:lang w:val="en-US"/>
        </w:rPr>
        <w:t xml:space="preserve"> presents this correlation network explicitly. Nodes represent individual elements, scaled according to their mean atomic fraction within Pareto-optimal compositions. Edges connect pairs of elements whose correlation coefficients are significant (</w:t>
      </w:r>
      <m:oMath>
        <m:d>
          <m:dPr>
            <m:begChr m:val="|"/>
            <m:endChr m:val="|"/>
            <m:ctrlPr>
              <w:rPr>
                <w:rFonts w:ascii="Cambria Math" w:hAnsi="Cambria Math"/>
                <w:i/>
                <w:lang w:val="en-US"/>
              </w:rPr>
            </m:ctrlPr>
          </m:dPr>
          <m:e>
            <m:r>
              <w:rPr>
                <w:rFonts w:ascii="Cambria Math" w:hAnsi="Cambria Math"/>
                <w:lang w:val="en-US"/>
              </w:rPr>
              <m:t>r</m:t>
            </m:r>
          </m:e>
        </m:d>
        <m:r>
          <w:rPr>
            <w:rFonts w:ascii="Cambria Math" w:hAnsi="Cambria Math"/>
            <w:lang w:val="en-US"/>
          </w:rPr>
          <m:t>≥0.3</m:t>
        </m:r>
      </m:oMath>
      <w:r w:rsidRPr="000A4838">
        <w:rPr>
          <w:lang w:val="en-US"/>
        </w:rPr>
        <w:t xml:space="preserve">, and weaker associations at </w:t>
      </w:r>
      <m:oMath>
        <m:d>
          <m:dPr>
            <m:begChr m:val="|"/>
            <m:endChr m:val="|"/>
            <m:ctrlPr>
              <w:rPr>
                <w:rFonts w:ascii="Cambria Math" w:hAnsi="Cambria Math"/>
                <w:i/>
                <w:lang w:val="en-US"/>
              </w:rPr>
            </m:ctrlPr>
          </m:dPr>
          <m:e>
            <m:r>
              <w:rPr>
                <w:rFonts w:ascii="Cambria Math" w:hAnsi="Cambria Math"/>
                <w:lang w:val="en-US"/>
              </w:rPr>
              <m:t>r</m:t>
            </m:r>
          </m:e>
        </m:d>
        <m:r>
          <w:rPr>
            <w:rFonts w:ascii="Cambria Math" w:hAnsi="Cambria Math"/>
            <w:lang w:val="en-US"/>
          </w:rPr>
          <m:t>≥0.25</m:t>
        </m:r>
      </m:oMath>
      <w:r w:rsidRPr="000A4838">
        <w:rPr>
          <w:lang w:val="en-US"/>
        </w:rPr>
        <w:t xml:space="preserve"> in grey). Edge thickness directly reflects the strength of these correlations. Elements strongly interconnected – those with three or more robust associations (</w:t>
      </w:r>
      <m:oMath>
        <m:d>
          <m:dPr>
            <m:begChr m:val="|"/>
            <m:endChr m:val="|"/>
            <m:ctrlPr>
              <w:rPr>
                <w:rFonts w:ascii="Cambria Math" w:hAnsi="Cambria Math"/>
                <w:i/>
                <w:lang w:val="en-US"/>
              </w:rPr>
            </m:ctrlPr>
          </m:dPr>
          <m:e>
            <m:r>
              <w:rPr>
                <w:rFonts w:ascii="Cambria Math" w:hAnsi="Cambria Math"/>
                <w:lang w:val="en-US"/>
              </w:rPr>
              <m:t>r</m:t>
            </m:r>
          </m:e>
        </m:d>
        <m:r>
          <w:rPr>
            <w:rFonts w:ascii="Cambria Math" w:hAnsi="Cambria Math"/>
            <w:lang w:val="en-US"/>
          </w:rPr>
          <m:t>≥0.3</m:t>
        </m:r>
      </m:oMath>
      <w:r w:rsidRPr="000A4838">
        <w:rPr>
          <w:lang w:val="en-US"/>
        </w:rPr>
        <w:t>) – are indicated by a navy-blue outline, signifying their centrality to successful alloy formulations.</w:t>
      </w:r>
    </w:p>
    <w:p w:rsidR="007419CB" w:rsidRPr="000A4838" w:rsidRDefault="007419CB" w:rsidP="0021751D">
      <w:pPr>
        <w:pStyle w:val="NormalWeb"/>
        <w:keepNext/>
        <w:spacing w:before="0" w:beforeAutospacing="0" w:after="160" w:afterAutospacing="0" w:line="480" w:lineRule="auto"/>
        <w:rPr>
          <w:lang w:val="en-US"/>
        </w:rPr>
      </w:pPr>
      <w:r w:rsidRPr="000A4838">
        <w:rPr>
          <w:lang w:val="en-US"/>
        </w:rPr>
        <w:t xml:space="preserve">This visualization underscores key elemental clusters and central players (notably elements positioned within the inner circle, excluding Sn which is scarce and potentially anomalous). </w:t>
      </w:r>
      <w:r w:rsidRPr="000A4838">
        <w:rPr>
          <w:lang w:val="en-US"/>
        </w:rPr>
        <w:lastRenderedPageBreak/>
        <w:t>Identifying such core groups and combining it with the analysis performed on the role of elements in physical properties (</w:t>
      </w:r>
      <w:r w:rsidRPr="000A4838">
        <w:rPr>
          <w:lang w:val="en-US"/>
        </w:rPr>
        <w:fldChar w:fldCharType="begin"/>
      </w:r>
      <w:r w:rsidRPr="000A4838">
        <w:rPr>
          <w:lang w:val="en-US"/>
        </w:rPr>
        <w:instrText xml:space="preserve"> REF _Ref200728305 \h  \* MERGEFORMAT </w:instrText>
      </w:r>
      <w:r w:rsidRPr="000A4838">
        <w:rPr>
          <w:lang w:val="en-US"/>
        </w:rPr>
      </w:r>
      <w:r w:rsidRPr="000A4838">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34</w:t>
      </w:r>
      <w:r w:rsidRPr="000A4838">
        <w:rPr>
          <w:lang w:val="en-US"/>
        </w:rPr>
        <w:fldChar w:fldCharType="end"/>
      </w:r>
      <w:r w:rsidRPr="000A4838">
        <w:rPr>
          <w:lang w:val="en-US"/>
        </w:rPr>
        <w:t xml:space="preserve"> and </w:t>
      </w:r>
      <w:r w:rsidRPr="000A4838">
        <w:rPr>
          <w:lang w:val="en-US"/>
        </w:rPr>
        <w:fldChar w:fldCharType="begin"/>
      </w:r>
      <w:r w:rsidRPr="000A4838">
        <w:rPr>
          <w:lang w:val="en-US"/>
        </w:rPr>
        <w:instrText xml:space="preserve"> REF _Ref200728338 \h  \* MERGEFORMAT </w:instrText>
      </w:r>
      <w:r w:rsidRPr="000A4838">
        <w:rPr>
          <w:lang w:val="en-US"/>
        </w:rPr>
      </w:r>
      <w:r w:rsidRPr="000A4838">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35</w:t>
      </w:r>
      <w:r w:rsidRPr="000A4838">
        <w:rPr>
          <w:lang w:val="en-US"/>
        </w:rPr>
        <w:fldChar w:fldCharType="end"/>
      </w:r>
      <w:r w:rsidRPr="000A4838">
        <w:rPr>
          <w:lang w:val="en-US"/>
        </w:rPr>
        <w:t>) provides insights into the compositional strategies most frequently employed by Pareto-optimal HESAs, thereby guiding rational alloy design with statistically supported, physically meaningful relationships.</w:t>
      </w:r>
    </w:p>
    <w:p w:rsidR="007419CB" w:rsidRPr="000A4838" w:rsidRDefault="007419CB" w:rsidP="0021751D">
      <w:pPr>
        <w:pStyle w:val="NormalWeb"/>
        <w:keepNext/>
        <w:spacing w:before="0" w:beforeAutospacing="0" w:after="160" w:afterAutospacing="0" w:line="480" w:lineRule="auto"/>
        <w:rPr>
          <w:lang w:val="en-US"/>
        </w:rPr>
      </w:pPr>
      <w:r w:rsidRPr="000A4838">
        <w:rPr>
          <w:noProof/>
          <w:lang w:val="en-US"/>
        </w:rPr>
        <w:drawing>
          <wp:inline distT="0" distB="0" distL="0" distR="0" wp14:anchorId="14510238" wp14:editId="02CED1AC">
            <wp:extent cx="5760720" cy="5243732"/>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5243732"/>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color w:val="auto"/>
          <w:sz w:val="20"/>
          <w:szCs w:val="20"/>
          <w:lang w:val="en-US"/>
        </w:rPr>
      </w:pPr>
      <w:bookmarkStart w:id="184" w:name="_Ref205147949"/>
      <w:bookmarkStart w:id="185" w:name="_Ref210029692"/>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42</w:t>
      </w:r>
      <w:r w:rsidRPr="000A4838">
        <w:rPr>
          <w:rFonts w:ascii="Arial" w:hAnsi="Arial" w:cs="Arial"/>
          <w:b/>
          <w:i w:val="0"/>
          <w:color w:val="auto"/>
          <w:sz w:val="20"/>
          <w:szCs w:val="20"/>
          <w:lang w:val="en-US"/>
        </w:rPr>
        <w:fldChar w:fldCharType="end"/>
      </w:r>
      <w:bookmarkEnd w:id="184"/>
      <w:r w:rsidRPr="000A4838">
        <w:rPr>
          <w:rFonts w:ascii="Arial" w:hAnsi="Arial" w:cs="Arial"/>
          <w:b/>
          <w:i w:val="0"/>
          <w:color w:val="auto"/>
          <w:sz w:val="20"/>
          <w:szCs w:val="20"/>
          <w:lang w:val="en-US"/>
        </w:rPr>
        <w:t xml:space="preserve">: </w:t>
      </w:r>
      <w:bookmarkStart w:id="186" w:name="_Ref205147938"/>
      <w:r w:rsidRPr="000A4838">
        <w:rPr>
          <w:rFonts w:ascii="Arial" w:hAnsi="Arial" w:cs="Arial"/>
          <w:b/>
          <w:bCs/>
          <w:i w:val="0"/>
          <w:color w:val="auto"/>
          <w:sz w:val="20"/>
          <w:szCs w:val="20"/>
          <w:lang w:val="en-US"/>
        </w:rPr>
        <w:t>Correlation Network of Elemental Compositions (CLR) on the HESA Pareto Front.</w:t>
      </w:r>
      <w:bookmarkEnd w:id="185"/>
      <w:bookmarkEnd w:id="186"/>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Each </w:t>
      </w:r>
      <w:r w:rsidRPr="000A4838">
        <w:rPr>
          <w:rFonts w:ascii="Arial" w:hAnsi="Arial" w:cs="Arial"/>
          <w:bCs/>
          <w:sz w:val="20"/>
          <w:szCs w:val="20"/>
          <w:lang w:val="en-US"/>
        </w:rPr>
        <w:t>node</w:t>
      </w:r>
      <w:r w:rsidRPr="000A4838">
        <w:rPr>
          <w:rFonts w:ascii="Arial" w:hAnsi="Arial" w:cs="Arial"/>
          <w:sz w:val="20"/>
          <w:szCs w:val="20"/>
          <w:lang w:val="en-US"/>
        </w:rPr>
        <w:t xml:space="preserve"> denotes a chemical element, with its </w:t>
      </w:r>
      <w:r w:rsidRPr="000A4838">
        <w:rPr>
          <w:rFonts w:ascii="Arial" w:hAnsi="Arial" w:cs="Arial"/>
          <w:bCs/>
          <w:sz w:val="20"/>
          <w:szCs w:val="20"/>
          <w:lang w:val="en-US"/>
        </w:rPr>
        <w:t>area</w:t>
      </w:r>
      <w:r w:rsidRPr="000A4838">
        <w:rPr>
          <w:rFonts w:ascii="Arial" w:hAnsi="Arial" w:cs="Arial"/>
          <w:sz w:val="20"/>
          <w:szCs w:val="20"/>
          <w:lang w:val="en-US"/>
        </w:rPr>
        <w:t xml:space="preserve"> proportional to the element’s </w:t>
      </w:r>
      <w:r w:rsidRPr="000A4838">
        <w:rPr>
          <w:rFonts w:ascii="Arial" w:hAnsi="Arial" w:cs="Arial"/>
          <w:bCs/>
          <w:sz w:val="20"/>
          <w:szCs w:val="20"/>
          <w:lang w:val="en-US"/>
        </w:rPr>
        <w:t>mean atomic fraction</w:t>
      </w:r>
      <w:r w:rsidRPr="000A4838">
        <w:rPr>
          <w:rFonts w:ascii="Arial" w:hAnsi="Arial" w:cs="Arial"/>
          <w:sz w:val="20"/>
          <w:szCs w:val="20"/>
          <w:lang w:val="en-US"/>
        </w:rPr>
        <w:t xml:space="preserve"> across all Pareto</w:t>
      </w:r>
      <w:r w:rsidRPr="000A4838">
        <w:rPr>
          <w:sz w:val="20"/>
          <w:szCs w:val="20"/>
          <w:lang w:val="en-US"/>
        </w:rPr>
        <w:t>‐</w:t>
      </w:r>
      <w:r w:rsidRPr="000A4838">
        <w:rPr>
          <w:rFonts w:ascii="Arial" w:hAnsi="Arial" w:cs="Arial"/>
          <w:sz w:val="20"/>
          <w:szCs w:val="20"/>
          <w:lang w:val="en-US"/>
        </w:rPr>
        <w:t xml:space="preserve">optimal alloys (reference circles: 1% and 10% mean content, as shown in the legend). </w:t>
      </w:r>
      <w:r w:rsidRPr="000A4838">
        <w:rPr>
          <w:rFonts w:ascii="Arial" w:hAnsi="Arial" w:cs="Arial"/>
          <w:bCs/>
          <w:sz w:val="20"/>
          <w:szCs w:val="20"/>
          <w:lang w:val="en-US"/>
        </w:rPr>
        <w:t>Edges</w:t>
      </w:r>
      <w:r w:rsidRPr="000A4838">
        <w:rPr>
          <w:rFonts w:ascii="Arial" w:hAnsi="Arial" w:cs="Arial"/>
          <w:sz w:val="20"/>
          <w:szCs w:val="20"/>
          <w:lang w:val="en-US"/>
        </w:rPr>
        <w:t xml:space="preserve"> join pairs of elements whose Pearson correlation coefficient satisfies </w:t>
      </w:r>
      <m:oMath>
        <m:d>
          <m:dPr>
            <m:begChr m:val="|"/>
            <m:endChr m:val="|"/>
            <m:ctrlPr>
              <w:rPr>
                <w:rFonts w:ascii="Cambria Math" w:hAnsi="Cambria Math" w:cs="Arial"/>
                <w:i/>
                <w:sz w:val="20"/>
                <w:szCs w:val="20"/>
                <w:lang w:val="en-US"/>
              </w:rPr>
            </m:ctrlPr>
          </m:dPr>
          <m:e>
            <m:r>
              <w:rPr>
                <w:rFonts w:ascii="Cambria Math" w:hAnsi="Cambria Math" w:cs="Arial"/>
                <w:sz w:val="20"/>
                <w:szCs w:val="20"/>
                <w:lang w:val="en-US"/>
              </w:rPr>
              <m:t>r</m:t>
            </m:r>
          </m:e>
        </m:d>
        <m:r>
          <w:rPr>
            <w:rFonts w:ascii="Cambria Math" w:hAnsi="Cambria Math" w:cs="Arial"/>
            <w:sz w:val="20"/>
            <w:szCs w:val="20"/>
            <w:lang w:val="en-US"/>
          </w:rPr>
          <m:t>≥0.3</m:t>
        </m:r>
      </m:oMath>
      <w:r w:rsidRPr="000A4838">
        <w:rPr>
          <w:rFonts w:ascii="Arial" w:hAnsi="Arial" w:cs="Arial"/>
          <w:sz w:val="20"/>
          <w:szCs w:val="20"/>
          <w:lang w:val="en-US"/>
        </w:rPr>
        <w:t xml:space="preserve"> – and in light grey pairs whose correlation coefficient satisfies </w:t>
      </w:r>
      <m:oMath>
        <m:d>
          <m:dPr>
            <m:begChr m:val="|"/>
            <m:endChr m:val="|"/>
            <m:ctrlPr>
              <w:rPr>
                <w:rFonts w:ascii="Cambria Math" w:hAnsi="Cambria Math" w:cs="Arial"/>
                <w:i/>
                <w:sz w:val="20"/>
                <w:szCs w:val="20"/>
                <w:lang w:val="en-US"/>
              </w:rPr>
            </m:ctrlPr>
          </m:dPr>
          <m:e>
            <m:r>
              <w:rPr>
                <w:rFonts w:ascii="Cambria Math" w:hAnsi="Cambria Math" w:cs="Arial"/>
                <w:sz w:val="20"/>
                <w:szCs w:val="20"/>
                <w:lang w:val="en-US"/>
              </w:rPr>
              <m:t>r</m:t>
            </m:r>
          </m:e>
        </m:d>
        <m:r>
          <w:rPr>
            <w:rFonts w:ascii="Cambria Math" w:hAnsi="Cambria Math" w:cs="Arial"/>
            <w:sz w:val="20"/>
            <w:szCs w:val="20"/>
            <w:lang w:val="en-US"/>
          </w:rPr>
          <m:t>≥0.25</m:t>
        </m:r>
      </m:oMath>
      <w:r w:rsidRPr="000A4838">
        <w:rPr>
          <w:rFonts w:ascii="Arial" w:hAnsi="Arial" w:cs="Arial"/>
          <w:sz w:val="20"/>
          <w:szCs w:val="20"/>
          <w:lang w:val="en-US"/>
        </w:rPr>
        <w:t xml:space="preserve">; their </w:t>
      </w:r>
      <w:r w:rsidRPr="000A4838">
        <w:rPr>
          <w:rFonts w:ascii="Arial" w:hAnsi="Arial" w:cs="Arial"/>
          <w:bCs/>
          <w:sz w:val="20"/>
          <w:szCs w:val="20"/>
          <w:lang w:val="en-US"/>
        </w:rPr>
        <w:t>thickness</w:t>
      </w:r>
      <w:r w:rsidRPr="000A4838">
        <w:rPr>
          <w:rFonts w:ascii="Arial" w:hAnsi="Arial" w:cs="Arial"/>
          <w:sz w:val="20"/>
          <w:szCs w:val="20"/>
          <w:lang w:val="en-US"/>
        </w:rPr>
        <w:t xml:space="preserve"> scales linearly </w:t>
      </w:r>
      <w:r w:rsidRPr="000A4838">
        <w:rPr>
          <w:rFonts w:ascii="Arial" w:hAnsi="Arial" w:cs="Arial"/>
          <w:sz w:val="20"/>
          <w:szCs w:val="20"/>
          <w:lang w:val="en-US"/>
        </w:rPr>
        <w:lastRenderedPageBreak/>
        <w:t xml:space="preserve">with </w:t>
      </w:r>
      <m:oMath>
        <m:d>
          <m:dPr>
            <m:begChr m:val="|"/>
            <m:endChr m:val="|"/>
            <m:ctrlPr>
              <w:rPr>
                <w:rFonts w:ascii="Cambria Math" w:hAnsi="Cambria Math" w:cs="Arial"/>
                <w:i/>
                <w:sz w:val="20"/>
                <w:szCs w:val="20"/>
                <w:lang w:val="en-US"/>
              </w:rPr>
            </m:ctrlPr>
          </m:dPr>
          <m:e>
            <m:r>
              <w:rPr>
                <w:rFonts w:ascii="Cambria Math" w:hAnsi="Cambria Math" w:cs="Arial"/>
                <w:sz w:val="20"/>
                <w:szCs w:val="20"/>
                <w:lang w:val="en-US"/>
              </w:rPr>
              <m:t>r</m:t>
            </m:r>
          </m:e>
        </m:d>
      </m:oMath>
      <w:r w:rsidRPr="000A4838">
        <w:rPr>
          <w:rFonts w:ascii="Arial" w:hAnsi="Arial" w:cs="Arial"/>
          <w:sz w:val="20"/>
          <w:szCs w:val="20"/>
          <w:lang w:val="en-US"/>
        </w:rPr>
        <w:t>, so that thicker bonds indicate stronger positive or negative correlations. A node bound with at least 3 “strong” edges (</w:t>
      </w:r>
      <m:oMath>
        <m:d>
          <m:dPr>
            <m:begChr m:val="|"/>
            <m:endChr m:val="|"/>
            <m:ctrlPr>
              <w:rPr>
                <w:rFonts w:ascii="Cambria Math" w:hAnsi="Cambria Math" w:cs="Arial"/>
                <w:i/>
                <w:sz w:val="20"/>
                <w:szCs w:val="20"/>
                <w:lang w:val="en-US"/>
              </w:rPr>
            </m:ctrlPr>
          </m:dPr>
          <m:e>
            <m:r>
              <w:rPr>
                <w:rFonts w:ascii="Cambria Math" w:hAnsi="Cambria Math" w:cs="Arial"/>
                <w:sz w:val="20"/>
                <w:szCs w:val="20"/>
                <w:lang w:val="en-US"/>
              </w:rPr>
              <m:t>r</m:t>
            </m:r>
          </m:e>
        </m:d>
        <m:r>
          <w:rPr>
            <w:rFonts w:ascii="Cambria Math" w:hAnsi="Cambria Math" w:cs="Arial"/>
            <w:sz w:val="20"/>
            <w:szCs w:val="20"/>
            <w:lang w:val="en-US"/>
          </w:rPr>
          <m:t>≥0.3</m:t>
        </m:r>
      </m:oMath>
      <w:r w:rsidRPr="000A4838">
        <w:rPr>
          <w:rFonts w:ascii="Arial" w:hAnsi="Arial" w:cs="Arial"/>
          <w:sz w:val="20"/>
          <w:szCs w:val="20"/>
          <w:lang w:val="en-US"/>
        </w:rPr>
        <w:t>) is highlighted with a navy-blue ring.</w:t>
      </w:r>
    </w:p>
    <w:p w:rsidR="007419CB" w:rsidRPr="000A4838" w:rsidRDefault="007419CB" w:rsidP="0021751D">
      <w:pPr>
        <w:pStyle w:val="NormalWeb"/>
        <w:keepNext/>
        <w:spacing w:before="0" w:beforeAutospacing="0" w:after="160" w:afterAutospacing="0" w:line="480" w:lineRule="auto"/>
        <w:rPr>
          <w:lang w:val="en-US"/>
        </w:rPr>
      </w:pPr>
    </w:p>
    <w:p w:rsidR="007419CB" w:rsidRPr="000A4838" w:rsidRDefault="007419CB" w:rsidP="0021751D">
      <w:pPr>
        <w:pStyle w:val="NormalWeb"/>
        <w:keepNext/>
        <w:spacing w:before="0" w:beforeAutospacing="0" w:after="160" w:afterAutospacing="0" w:line="480" w:lineRule="auto"/>
        <w:rPr>
          <w:lang w:val="en-US"/>
        </w:rPr>
      </w:pPr>
      <w:r w:rsidRPr="000A4838">
        <w:rPr>
          <w:lang w:val="en-US"/>
        </w:rPr>
        <w:t xml:space="preserve">This graph reveals the main successful combination of elements that were observed, as well as their individual frequency, shedding light of their importance and the clusters identified in the Pareto front. </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F949EF">
      <w:pPr>
        <w:pStyle w:val="Titre3"/>
        <w:numPr>
          <w:ilvl w:val="2"/>
          <w:numId w:val="40"/>
        </w:numPr>
        <w:spacing w:before="0" w:after="160" w:line="480" w:lineRule="auto"/>
        <w:rPr>
          <w:rFonts w:ascii="Times New Roman" w:hAnsi="Times New Roman" w:cs="Times New Roman"/>
          <w:color w:val="auto"/>
          <w:lang w:val="en-US"/>
        </w:rPr>
      </w:pPr>
      <w:bookmarkStart w:id="187" w:name="_Ref205244326"/>
      <w:bookmarkStart w:id="188" w:name="_Toc214314380"/>
      <w:bookmarkStart w:id="189" w:name="_Hlk208744998"/>
      <w:bookmarkStart w:id="190" w:name="_Toc216021127"/>
      <w:r>
        <w:rPr>
          <w:rFonts w:ascii="Times New Roman" w:hAnsi="Times New Roman" w:cs="Times New Roman"/>
          <w:color w:val="auto"/>
          <w:lang w:val="en-US"/>
        </w:rPr>
        <w:t>Ward Clustering</w:t>
      </w:r>
      <w:r w:rsidRPr="000A4838">
        <w:rPr>
          <w:rFonts w:ascii="Times New Roman" w:hAnsi="Times New Roman" w:cs="Times New Roman"/>
          <w:color w:val="auto"/>
          <w:lang w:val="en-US"/>
        </w:rPr>
        <w:t xml:space="preserve"> on CLR-Transformed Compositions</w:t>
      </w:r>
      <w:bookmarkEnd w:id="187"/>
      <w:r>
        <w:rPr>
          <w:rFonts w:ascii="Times New Roman" w:hAnsi="Times New Roman" w:cs="Times New Roman"/>
          <w:color w:val="auto"/>
          <w:lang w:val="en-US"/>
        </w:rPr>
        <w:t xml:space="preserve"> and Analysis</w:t>
      </w:r>
      <w:bookmarkEnd w:id="188"/>
      <w:bookmarkEnd w:id="190"/>
    </w:p>
    <w:p w:rsidR="007419CB" w:rsidRPr="009B0580" w:rsidRDefault="007419CB" w:rsidP="0021751D">
      <w:pPr>
        <w:pStyle w:val="NormalWeb"/>
        <w:spacing w:before="0" w:beforeAutospacing="0" w:after="160" w:afterAutospacing="0" w:line="480" w:lineRule="auto"/>
        <w:rPr>
          <w:lang w:val="en-US"/>
        </w:rPr>
      </w:pPr>
      <w:r w:rsidRPr="009B0580">
        <w:rPr>
          <w:lang w:val="en-US"/>
        </w:rPr>
        <w:t>After centering and log-ratio transforming the compositional data into the matrix.</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CC139D" w:rsidP="0021751D">
            <w:pPr>
              <w:spacing w:after="160" w:line="480" w:lineRule="auto"/>
              <w:rPr>
                <w:lang w:val="en-US"/>
              </w:rPr>
            </w:pPr>
            <m:oMathPara>
              <m:oMath>
                <m:sSub>
                  <m:sSubPr>
                    <m:ctrlPr>
                      <w:rPr>
                        <w:rFonts w:ascii="Cambria Math" w:hAnsi="Cambria Math"/>
                        <w:lang w:val="en-US"/>
                      </w:rPr>
                    </m:ctrlPr>
                  </m:sSubPr>
                  <m:e>
                    <m:r>
                      <w:rPr>
                        <w:rFonts w:ascii="Cambria Math" w:hAnsi="Cambria Math"/>
                        <w:lang w:val="en-US"/>
                      </w:rPr>
                      <m:t>Z</m:t>
                    </m:r>
                  </m:e>
                  <m:sub>
                    <m:r>
                      <m:rPr>
                        <m:sty m:val="p"/>
                      </m:rPr>
                      <w:rPr>
                        <w:rFonts w:ascii="Cambria Math" w:hAnsi="Cambria Math"/>
                        <w:lang w:val="en-US"/>
                      </w:rPr>
                      <m:t>CLR</m:t>
                    </m:r>
                  </m:sub>
                </m:sSub>
                <m:r>
                  <m:rPr>
                    <m:sty m:val="p"/>
                  </m:rPr>
                  <w:rPr>
                    <w:rFonts w:ascii="Cambria Math" w:hAnsi="Cambria Math"/>
                    <w:lang w:val="en-US"/>
                  </w:rPr>
                  <m:t>=</m:t>
                </m:r>
                <m:sSub>
                  <m:sSubPr>
                    <m:ctrlPr>
                      <w:rPr>
                        <w:rFonts w:ascii="Cambria Math" w:hAnsi="Cambria Math"/>
                        <w:lang w:val="en-US"/>
                      </w:rPr>
                    </m:ctrlPr>
                  </m:sSubPr>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ij</m:t>
                            </m:r>
                          </m:sub>
                        </m:sSub>
                      </m:e>
                    </m:d>
                  </m:e>
                  <m:sub>
                    <m:r>
                      <w:rPr>
                        <w:rFonts w:ascii="Cambria Math" w:hAnsi="Cambria Math"/>
                        <w:lang w:val="en-US"/>
                      </w:rPr>
                      <m:t>m</m:t>
                    </m:r>
                    <m:r>
                      <m:rPr>
                        <m:sty m:val="p"/>
                      </m:rPr>
                      <w:rPr>
                        <w:rFonts w:ascii="Cambria Math" w:hAnsi="Cambria Math"/>
                        <w:lang w:val="en-US"/>
                      </w:rPr>
                      <m:t>×</m:t>
                    </m:r>
                    <m:r>
                      <w:rPr>
                        <w:rFonts w:ascii="Cambria Math" w:hAnsi="Cambria Math"/>
                        <w:lang w:val="en-US"/>
                      </w:rPr>
                      <m:t>n</m:t>
                    </m:r>
                  </m:sub>
                </m:sSub>
                <m:r>
                  <m:rPr>
                    <m:sty m:val="p"/>
                  </m:rPr>
                  <w:rPr>
                    <w:rFonts w:ascii="Cambria Math" w:hAnsi="Cambria Math"/>
                    <w:lang w:val="en-US"/>
                  </w:rPr>
                  <m:t>∈</m:t>
                </m:r>
                <m:sSup>
                  <m:sSupPr>
                    <m:ctrlPr>
                      <w:rPr>
                        <w:rFonts w:ascii="Cambria Math" w:hAnsi="Cambria Math"/>
                        <w:lang w:val="en-US"/>
                      </w:rPr>
                    </m:ctrlPr>
                  </m:sSupPr>
                  <m:e>
                    <m:r>
                      <m:rPr>
                        <m:scr m:val="double-struck"/>
                        <m:sty m:val="p"/>
                      </m:rPr>
                      <w:rPr>
                        <w:rFonts w:ascii="Cambria Math" w:hAnsi="Cambria Math"/>
                        <w:lang w:val="en-US"/>
                      </w:rPr>
                      <m:t>R</m:t>
                    </m:r>
                  </m:e>
                  <m:sup>
                    <m:r>
                      <w:rPr>
                        <w:rFonts w:ascii="Cambria Math" w:hAnsi="Cambria Math"/>
                        <w:lang w:val="en-US"/>
                      </w:rPr>
                      <m:t>m</m:t>
                    </m:r>
                    <m:r>
                      <m:rPr>
                        <m:sty m:val="p"/>
                      </m:rPr>
                      <w:rPr>
                        <w:rFonts w:ascii="Cambria Math" w:hAnsi="Cambria Math"/>
                        <w:lang w:val="en-US"/>
                      </w:rPr>
                      <m:t>×</m:t>
                    </m:r>
                    <m:r>
                      <w:rPr>
                        <w:rFonts w:ascii="Cambria Math" w:hAnsi="Cambria Math"/>
                        <w:lang w:val="en-US"/>
                      </w:rPr>
                      <m:t>n</m:t>
                    </m:r>
                  </m:sup>
                </m:sSup>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7</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pStyle w:val="NormalWeb"/>
        <w:spacing w:before="0" w:beforeAutospacing="0" w:after="160" w:afterAutospacing="0" w:line="480" w:lineRule="auto"/>
        <w:rPr>
          <w:lang w:val="en-US"/>
        </w:rPr>
      </w:pPr>
      <w:r w:rsidRPr="009B0580">
        <w:rPr>
          <w:lang w:val="en-US"/>
        </w:rPr>
        <w:t xml:space="preserve">With </w:t>
      </w:r>
      <m:oMath>
        <m:r>
          <w:rPr>
            <w:rFonts w:ascii="Cambria Math" w:hAnsi="Cambria Math"/>
            <w:lang w:val="en-US"/>
          </w:rPr>
          <m:t>n=39</m:t>
        </m:r>
      </m:oMath>
      <w:r w:rsidRPr="009B0580">
        <w:rPr>
          <w:lang w:val="en-US"/>
        </w:rPr>
        <w:t xml:space="preserve"> being the number of elements, and </w:t>
      </w:r>
      <m:oMath>
        <m:r>
          <w:rPr>
            <w:rFonts w:ascii="Cambria Math" w:hAnsi="Cambria Math"/>
            <w:lang w:val="en-US"/>
          </w:rPr>
          <m:t>m</m:t>
        </m:r>
      </m:oMath>
      <w:r w:rsidRPr="009B0580">
        <w:rPr>
          <w:lang w:val="en-US"/>
        </w:rPr>
        <w:t xml:space="preserve"> the number of alloys in the selection. </w:t>
      </w:r>
      <w:r>
        <w:rPr>
          <w:lang w:val="en-US"/>
        </w:rPr>
        <w:t>A clustering based on</w:t>
      </w:r>
      <w:r w:rsidRPr="000A4838">
        <w:rPr>
          <w:lang w:val="en-US"/>
        </w:rPr>
        <w:t xml:space="preserve"> </w:t>
      </w:r>
      <w:r>
        <w:rPr>
          <w:lang w:val="en-US"/>
        </w:rPr>
        <w:t xml:space="preserve">Ward linkage method is performed on the selection of candidates </w:t>
      </w:r>
      <w:r w:rsidRPr="000A4838">
        <w:rPr>
          <w:lang w:val="en-US"/>
        </w:rPr>
        <w:t xml:space="preserve">into </w:t>
      </w:r>
      <m:oMath>
        <m:r>
          <w:rPr>
            <w:rFonts w:ascii="Cambria Math" w:hAnsi="Cambria Math"/>
            <w:lang w:val="en-US"/>
          </w:rPr>
          <m:t>K</m:t>
        </m:r>
      </m:oMath>
      <w:r w:rsidRPr="000A4838">
        <w:rPr>
          <w:lang w:val="en-US"/>
        </w:rPr>
        <w:t xml:space="preserve"> discrete </w:t>
      </w:r>
      <w:r>
        <w:rPr>
          <w:lang w:val="en-US"/>
        </w:rPr>
        <w:t>“</w:t>
      </w:r>
      <w:r w:rsidRPr="00F55F10">
        <w:rPr>
          <w:lang w:val="en-US"/>
        </w:rPr>
        <w:t>chemical families</w:t>
      </w:r>
      <w:r>
        <w:rPr>
          <w:lang w:val="en-US"/>
        </w:rPr>
        <w:t>”</w:t>
      </w:r>
      <w:r w:rsidRPr="000A4838">
        <w:rPr>
          <w:lang w:val="en-US"/>
        </w:rPr>
        <w:t xml:space="preserve">. </w:t>
      </w:r>
      <w:r>
        <w:rPr>
          <w:lang w:val="en-US"/>
        </w:rPr>
        <w:t xml:space="preserve">The Ward linkage algorithm builds the </w:t>
      </w:r>
      <m:oMath>
        <m:r>
          <w:rPr>
            <w:rFonts w:ascii="Cambria Math" w:hAnsi="Cambria Math"/>
            <w:lang w:val="en-US"/>
          </w:rPr>
          <m:t>K</m:t>
        </m:r>
      </m:oMath>
      <w:r>
        <w:rPr>
          <w:lang w:val="en-US"/>
        </w:rPr>
        <w:t xml:space="preserve"> clusters by aggregating pairs of clusters in a way that </w:t>
      </w:r>
      <w:r w:rsidRPr="000A4838">
        <w:rPr>
          <w:lang w:val="en-US"/>
        </w:rPr>
        <w:t>minimiz</w:t>
      </w:r>
      <w:r>
        <w:rPr>
          <w:lang w:val="en-US"/>
        </w:rPr>
        <w:t>es the increase of the</w:t>
      </w:r>
      <w:r w:rsidRPr="000A4838">
        <w:rPr>
          <w:lang w:val="en-US"/>
        </w:rPr>
        <w:t xml:space="preserve"> within-cluster inertia </w:t>
      </w:r>
      <w:r>
        <w:rPr>
          <w:lang w:val="en-US"/>
        </w:rPr>
        <w:t xml:space="preserve">(or variance). The total within-cluster sum of squares (WCSS) is a decreasing function of the number of clusters (see </w:t>
      </w:r>
      <w:r w:rsidRPr="00C360FD">
        <w:rPr>
          <w:lang w:val="en-US"/>
        </w:rPr>
        <w:fldChar w:fldCharType="begin"/>
      </w:r>
      <w:r w:rsidRPr="00C360FD">
        <w:rPr>
          <w:lang w:val="en-US"/>
        </w:rPr>
        <w:instrText xml:space="preserve"> REF _Ref214220160 \h  \* MERGEFORMAT </w:instrText>
      </w:r>
      <w:r w:rsidRPr="00C360FD">
        <w:rPr>
          <w:lang w:val="en-US"/>
        </w:rPr>
      </w:r>
      <w:r w:rsidRPr="00C360FD">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43</w:t>
      </w:r>
      <w:r w:rsidRPr="00C360FD">
        <w:rPr>
          <w:lang w:val="en-US"/>
        </w:rPr>
        <w:fldChar w:fldCharType="end"/>
      </w:r>
      <w:r>
        <w:rPr>
          <w:lang w:val="en-US"/>
        </w:rPr>
        <w:t>), and a balance has to be found between sparsity (limited number of clusters) and “reasonable” clustering (limited WCSS)</w:t>
      </w:r>
      <w:r w:rsidRPr="000A4838">
        <w:rPr>
          <w:lang w:val="en-US"/>
        </w:rPr>
        <w:t>. The elbow point – where additional clusters yield only marginal WCSS reduction – indicates a natural segmentation of the composition space.</w:t>
      </w:r>
    </w:p>
    <w:p w:rsidR="007419CB" w:rsidRPr="000A4838" w:rsidRDefault="007419CB" w:rsidP="0021751D">
      <w:pPr>
        <w:keepNext/>
        <w:spacing w:after="160" w:line="480" w:lineRule="auto"/>
        <w:rPr>
          <w:lang w:val="en-US"/>
        </w:rPr>
      </w:pPr>
      <w:bookmarkStart w:id="191" w:name="_Hlk210766999"/>
      <w:r>
        <w:rPr>
          <w:noProof/>
          <w:lang w:val="en-US"/>
        </w:rPr>
        <w:lastRenderedPageBreak/>
        <w:drawing>
          <wp:inline distT="0" distB="0" distL="0" distR="0" wp14:anchorId="534E7738" wp14:editId="044080FB">
            <wp:extent cx="5715000" cy="2813050"/>
            <wp:effectExtent l="0" t="0" r="0" b="635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78" r="2847"/>
                    <a:stretch/>
                  </pic:blipFill>
                  <pic:spPr bwMode="auto">
                    <a:xfrm>
                      <a:off x="0" y="0"/>
                      <a:ext cx="5747837" cy="2829213"/>
                    </a:xfrm>
                    <a:prstGeom prst="rect">
                      <a:avLst/>
                    </a:prstGeom>
                    <a:noFill/>
                    <a:ln>
                      <a:noFill/>
                    </a:ln>
                    <a:extLst>
                      <a:ext uri="{53640926-AAD7-44D8-BBD7-CCE9431645EC}">
                        <a14:shadowObscured xmlns:a14="http://schemas.microsoft.com/office/drawing/2010/main"/>
                      </a:ext>
                    </a:extLst>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92" w:name="_Ref214220160"/>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43</w:t>
      </w:r>
      <w:r w:rsidRPr="000A4838">
        <w:rPr>
          <w:rFonts w:ascii="Arial" w:hAnsi="Arial" w:cs="Arial"/>
          <w:b/>
          <w:i w:val="0"/>
          <w:color w:val="auto"/>
          <w:sz w:val="20"/>
          <w:szCs w:val="20"/>
          <w:lang w:val="en-US"/>
        </w:rPr>
        <w:fldChar w:fldCharType="end"/>
      </w:r>
      <w:bookmarkEnd w:id="192"/>
      <w:r w:rsidRPr="000A4838">
        <w:rPr>
          <w:rFonts w:ascii="Arial" w:hAnsi="Arial" w:cs="Arial"/>
          <w:b/>
          <w:i w:val="0"/>
          <w:color w:val="auto"/>
          <w:sz w:val="20"/>
          <w:szCs w:val="20"/>
          <w:lang w:val="en-US"/>
        </w:rPr>
        <w:t xml:space="preserve"> : Choice of </w:t>
      </w:r>
      <m:oMath>
        <m:r>
          <m:rPr>
            <m:sty m:val="bi"/>
          </m:rPr>
          <w:rPr>
            <w:rFonts w:ascii="Cambria Math" w:hAnsi="Cambria Math" w:cs="Arial"/>
            <w:color w:val="auto"/>
            <w:sz w:val="20"/>
            <w:szCs w:val="20"/>
            <w:lang w:val="en-US"/>
          </w:rPr>
          <m:t>K</m:t>
        </m:r>
      </m:oMath>
      <w:r w:rsidRPr="000A4838">
        <w:rPr>
          <w:rFonts w:ascii="Arial" w:hAnsi="Arial" w:cs="Arial"/>
          <w:b/>
          <w:i w:val="0"/>
          <w:color w:val="auto"/>
          <w:sz w:val="20"/>
          <w:szCs w:val="20"/>
          <w:lang w:val="en-US"/>
        </w:rPr>
        <w:t xml:space="preserve"> in the </w:t>
      </w:r>
      <w:r>
        <w:rPr>
          <w:rFonts w:ascii="Arial" w:hAnsi="Arial" w:cs="Arial"/>
          <w:b/>
          <w:i w:val="0"/>
          <w:color w:val="auto"/>
          <w:sz w:val="20"/>
          <w:szCs w:val="20"/>
          <w:lang w:val="en-US"/>
        </w:rPr>
        <w:t>Ward Clustering</w:t>
      </w:r>
      <w:r w:rsidRPr="000A4838">
        <w:rPr>
          <w:rFonts w:ascii="Arial" w:hAnsi="Arial" w:cs="Arial"/>
          <w:b/>
          <w:i w:val="0"/>
          <w:color w:val="auto"/>
          <w:sz w:val="20"/>
          <w:szCs w:val="20"/>
          <w:lang w:val="en-US"/>
        </w:rPr>
        <w:t xml:space="preserve"> Method</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The graph on the left edge shows the Within-Cluster Sum of Squares (WCSS), a classic metric to define the best value for </w:t>
      </w:r>
      <m:oMath>
        <m:r>
          <w:rPr>
            <w:rFonts w:ascii="Cambria Math" w:hAnsi="Cambria Math" w:cs="Arial"/>
            <w:sz w:val="20"/>
            <w:szCs w:val="20"/>
            <w:lang w:val="en-US"/>
          </w:rPr>
          <m:t>K</m:t>
        </m:r>
      </m:oMath>
      <w:r w:rsidRPr="000A4838">
        <w:rPr>
          <w:rFonts w:ascii="Arial" w:hAnsi="Arial" w:cs="Arial"/>
          <w:sz w:val="20"/>
          <w:szCs w:val="20"/>
          <w:lang w:val="en-US"/>
        </w:rPr>
        <w:t xml:space="preserve"> in </w:t>
      </w:r>
      <m:oMath>
        <m:r>
          <w:rPr>
            <w:rFonts w:ascii="Cambria Math" w:hAnsi="Cambria Math" w:cs="Arial"/>
            <w:sz w:val="20"/>
            <w:szCs w:val="20"/>
            <w:lang w:val="en-US"/>
          </w:rPr>
          <m:t>K</m:t>
        </m:r>
      </m:oMath>
      <w:r w:rsidRPr="000A4838">
        <w:rPr>
          <w:rFonts w:ascii="Arial" w:hAnsi="Arial" w:cs="Arial"/>
          <w:sz w:val="20"/>
          <w:szCs w:val="20"/>
          <w:lang w:val="en-US"/>
        </w:rPr>
        <w:t xml:space="preserve">-mean clustering. This graph shows a significant gain until </w:t>
      </w:r>
      <m:oMath>
        <m:r>
          <w:rPr>
            <w:rFonts w:ascii="Cambria Math" w:hAnsi="Cambria Math" w:cs="Arial"/>
            <w:sz w:val="20"/>
            <w:szCs w:val="20"/>
            <w:lang w:val="en-US"/>
          </w:rPr>
          <m:t>K=4</m:t>
        </m:r>
      </m:oMath>
      <w:r w:rsidRPr="000A4838">
        <w:rPr>
          <w:rFonts w:ascii="Arial" w:hAnsi="Arial" w:cs="Arial"/>
          <w:sz w:val="20"/>
          <w:szCs w:val="20"/>
          <w:lang w:val="en-US"/>
        </w:rPr>
        <w:t>, then the decrease of WCSS slows down: this value is retained to perform the clustering.</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The 3D graph on the right edge represents the 4 clusters in the latent space defined by the 3 </w:t>
      </w:r>
      <w:r>
        <w:rPr>
          <w:rFonts w:ascii="Arial" w:hAnsi="Arial" w:cs="Arial"/>
          <w:sz w:val="20"/>
          <w:szCs w:val="20"/>
          <w:lang w:val="en-US"/>
        </w:rPr>
        <w:t xml:space="preserve">first </w:t>
      </w:r>
      <w:r w:rsidRPr="000A4838">
        <w:rPr>
          <w:rFonts w:ascii="Arial" w:hAnsi="Arial" w:cs="Arial"/>
          <w:sz w:val="20"/>
          <w:szCs w:val="20"/>
          <w:lang w:val="en-US"/>
        </w:rPr>
        <w:t xml:space="preserve">principal components PC1, PC2 and PC3. </w:t>
      </w:r>
    </w:p>
    <w:bookmarkEnd w:id="191"/>
    <w:p w:rsidR="007419CB" w:rsidRPr="000A4838" w:rsidRDefault="007419CB" w:rsidP="0021751D">
      <w:pPr>
        <w:spacing w:after="160" w:line="480" w:lineRule="auto"/>
        <w:rPr>
          <w:lang w:val="en-US"/>
        </w:rPr>
      </w:pPr>
    </w:p>
    <w:p w:rsidR="007419CB" w:rsidRPr="009B0580" w:rsidRDefault="007419CB" w:rsidP="0021751D">
      <w:pPr>
        <w:pStyle w:val="NormalWeb"/>
        <w:spacing w:before="0" w:beforeAutospacing="0" w:after="160" w:afterAutospacing="0" w:line="480" w:lineRule="auto"/>
        <w:rPr>
          <w:lang w:val="en-US"/>
        </w:rPr>
      </w:pPr>
      <w:r w:rsidRPr="000A4838">
        <w:rPr>
          <w:lang w:val="en-US"/>
        </w:rPr>
        <w:t>To characterize each family quantitatively, cluster-</w:t>
      </w:r>
      <w:r w:rsidRPr="009B0580">
        <w:rPr>
          <w:lang w:val="en-US"/>
        </w:rPr>
        <w:t xml:space="preserve">wise statistics for all seven selected physical properties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r>
              <w:rPr>
                <w:rFonts w:ascii="Cambria Math" w:hAnsi="Cambria Math"/>
                <w:lang w:val="en-US"/>
              </w:rPr>
              <m:t>,</m:t>
            </m:r>
            <m:r>
              <m:rPr>
                <m:sty m:val="p"/>
              </m:rPr>
              <w:rPr>
                <w:rFonts w:ascii="Cambria Math" w:hAnsi="Cambria Math"/>
                <w:lang w:val="en-US"/>
              </w:rPr>
              <m:t>LMP</m:t>
            </m:r>
            <m:r>
              <w:rPr>
                <w:rFonts w:ascii="Cambria Math" w:hAnsi="Cambria Math"/>
                <w:lang w:val="en-US"/>
              </w:rPr>
              <m:t xml:space="preserve">, </m:t>
            </m:r>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A</m:t>
                    </m:r>
                  </m:sub>
                </m:sSub>
              </m:e>
            </m:func>
            <m:r>
              <w:rPr>
                <w:rFonts w:ascii="Cambria Math" w:hAnsi="Cambria Math"/>
                <w:lang w:val="en-US"/>
              </w:rPr>
              <m:t>,ρ,K,G,G/B</m:t>
            </m:r>
          </m:e>
        </m:d>
      </m:oMath>
      <w:r>
        <w:rPr>
          <w:rFonts w:eastAsiaTheme="minorEastAsia"/>
          <w:lang w:val="en-US"/>
        </w:rPr>
        <w:t xml:space="preserve"> </w:t>
      </w:r>
      <w:r>
        <w:rPr>
          <w:lang w:val="en-US"/>
        </w:rPr>
        <w:t>are</w:t>
      </w:r>
      <w:r w:rsidRPr="000A4838">
        <w:rPr>
          <w:lang w:val="en-US"/>
        </w:rPr>
        <w:t xml:space="preserve"> compute</w:t>
      </w:r>
      <w:r>
        <w:rPr>
          <w:lang w:val="en-US"/>
        </w:rPr>
        <w:t>d</w:t>
      </w:r>
      <w:r w:rsidRPr="009B0580">
        <w:rPr>
          <w:lang w:val="en-US"/>
        </w:rPr>
        <w:t xml:space="preserve">. For cluster </w:t>
      </w:r>
      <m:oMath>
        <m:r>
          <w:rPr>
            <w:rStyle w:val="katex-mathml"/>
            <w:rFonts w:eastAsia="Arial"/>
            <w:lang w:val="en-US"/>
          </w:rPr>
          <m:t>k</m:t>
        </m:r>
      </m:oMath>
      <w:r w:rsidRPr="009B0580">
        <w:rPr>
          <w:lang w:val="en-US"/>
        </w:rPr>
        <w:t>, the following quantities are reported:</w:t>
      </w:r>
    </w:p>
    <w:p w:rsidR="007419CB" w:rsidRPr="000A4838" w:rsidRDefault="007419CB" w:rsidP="00F949EF">
      <w:pPr>
        <w:pStyle w:val="NormalWeb"/>
        <w:numPr>
          <w:ilvl w:val="0"/>
          <w:numId w:val="38"/>
        </w:numPr>
        <w:spacing w:before="0" w:beforeAutospacing="0" w:after="160" w:afterAutospacing="0" w:line="480" w:lineRule="auto"/>
        <w:rPr>
          <w:lang w:val="en-US"/>
        </w:rPr>
      </w:pPr>
      <w:r w:rsidRPr="000A4838">
        <w:rPr>
          <w:lang w:val="en-US"/>
        </w:rPr>
        <w:t>Mean</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CC139D" w:rsidP="0021751D">
            <w:pPr>
              <w:spacing w:after="160" w:line="480" w:lineRule="auto"/>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k,j</m:t>
                        </m:r>
                      </m:sub>
                    </m:sSub>
                  </m:e>
                </m:ac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e>
                    </m:d>
                  </m:den>
                </m:f>
                <m:nary>
                  <m:naryPr>
                    <m:chr m:val="∑"/>
                    <m:limLoc m:val="undOvr"/>
                    <m:supHide m:val="1"/>
                    <m:ctrlPr>
                      <w:rPr>
                        <w:rFonts w:ascii="Cambria Math" w:hAnsi="Cambria Math"/>
                        <w:i/>
                        <w:lang w:val="en-US"/>
                      </w:rPr>
                    </m:ctrlPr>
                  </m:naryPr>
                  <m:sub>
                    <m:r>
                      <w:rPr>
                        <w:rFonts w:ascii="Cambria Math" w:hAnsi="Cambria Math"/>
                        <w:lang w:val="en-US"/>
                      </w:rPr>
                      <m:t>i∈</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sub>
                  <m:sup/>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m:t>
                        </m:r>
                      </m:sub>
                    </m:sSub>
                  </m:e>
                </m:nary>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8</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pStyle w:val="NormalWeb"/>
        <w:spacing w:before="0" w:beforeAutospacing="0" w:after="160" w:afterAutospacing="0" w:line="480" w:lineRule="auto"/>
        <w:rPr>
          <w:lang w:val="en-US"/>
        </w:rPr>
      </w:pPr>
      <w:r w:rsidRPr="000A4838">
        <w:rPr>
          <w:lang w:val="en-US"/>
        </w:rPr>
        <w:t xml:space="preserve">Where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m:t>
            </m:r>
          </m:sub>
        </m:sSub>
      </m:oMath>
      <w:r w:rsidRPr="000A4838">
        <w:rPr>
          <w:lang w:val="en-US"/>
        </w:rPr>
        <w:t xml:space="preserve"> is the </w:t>
      </w:r>
      <m:oMath>
        <m:r>
          <w:rPr>
            <w:rFonts w:ascii="Cambria Math" w:hAnsi="Cambria Math"/>
            <w:lang w:val="en-US"/>
          </w:rPr>
          <m:t>j</m:t>
        </m:r>
      </m:oMath>
      <w:r w:rsidRPr="000A4838">
        <w:rPr>
          <w:lang w:val="en-US"/>
        </w:rPr>
        <w:t>-th ph</w:t>
      </w:r>
      <w:proofErr w:type="spellStart"/>
      <w:r w:rsidRPr="000A4838">
        <w:rPr>
          <w:lang w:val="en-US"/>
        </w:rPr>
        <w:t>ysical</w:t>
      </w:r>
      <w:proofErr w:type="spellEnd"/>
      <w:r w:rsidRPr="000A4838">
        <w:rPr>
          <w:lang w:val="en-US"/>
        </w:rPr>
        <w:t xml:space="preserve"> property of alloy </w:t>
      </w:r>
      <m:oMath>
        <m:r>
          <w:rPr>
            <w:rFonts w:ascii="Cambria Math" w:hAnsi="Cambria Math"/>
            <w:lang w:val="en-US"/>
          </w:rPr>
          <m:t>i</m:t>
        </m:r>
      </m:oMath>
      <w:r w:rsidRPr="000A4838">
        <w:rPr>
          <w:lang w:val="en-US"/>
        </w:rPr>
        <w:t xml:space="preserve">. </w:t>
      </w:r>
    </w:p>
    <w:p w:rsidR="007419CB" w:rsidRPr="000A4838" w:rsidRDefault="007419CB" w:rsidP="00F949EF">
      <w:pPr>
        <w:pStyle w:val="NormalWeb"/>
        <w:numPr>
          <w:ilvl w:val="0"/>
          <w:numId w:val="38"/>
        </w:numPr>
        <w:spacing w:before="0" w:beforeAutospacing="0" w:after="160" w:afterAutospacing="0" w:line="480" w:lineRule="auto"/>
        <w:rPr>
          <w:lang w:val="en-US"/>
        </w:rPr>
      </w:pPr>
      <w:r w:rsidRPr="000A4838">
        <w:rPr>
          <w:lang w:val="en-US"/>
        </w:rPr>
        <w:t>Standard deviation</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992"/>
      </w:tblGrid>
      <w:tr w:rsidR="007419CB" w:rsidRPr="000A4838" w:rsidTr="007419CB">
        <w:tc>
          <w:tcPr>
            <w:tcW w:w="8075" w:type="dxa"/>
          </w:tcPr>
          <w:p w:rsidR="007419CB" w:rsidRPr="000A4838" w:rsidRDefault="00CC139D" w:rsidP="0021751D">
            <w:pPr>
              <w:spacing w:after="160" w:line="480" w:lineRule="auto"/>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k,j</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e>
                        </m:d>
                        <m:r>
                          <w:rPr>
                            <w:rFonts w:ascii="Cambria Math" w:hAnsi="Cambria Math"/>
                            <w:lang w:val="en-US"/>
                          </w:rPr>
                          <m:t>-1</m:t>
                        </m:r>
                      </m:den>
                    </m:f>
                    <m:nary>
                      <m:naryPr>
                        <m:chr m:val="∑"/>
                        <m:limLoc m:val="undOvr"/>
                        <m:supHide m:val="1"/>
                        <m:ctrlPr>
                          <w:rPr>
                            <w:rFonts w:ascii="Cambria Math" w:hAnsi="Cambria Math"/>
                            <w:i/>
                            <w:lang w:val="en-US"/>
                          </w:rPr>
                        </m:ctrlPr>
                      </m:naryPr>
                      <m:sub>
                        <m:r>
                          <w:rPr>
                            <w:rFonts w:ascii="Cambria Math" w:hAnsi="Cambria Math"/>
                            <w:lang w:val="en-US"/>
                          </w:rPr>
                          <m:t>i∈</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sub>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m:t>
                                    </m:r>
                                  </m:sub>
                                </m:sSub>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k,j</m:t>
                                        </m:r>
                                      </m:sub>
                                    </m:sSub>
                                  </m:e>
                                </m:acc>
                              </m:e>
                            </m:d>
                          </m:e>
                          <m:sup>
                            <m:r>
                              <w:rPr>
                                <w:rFonts w:ascii="Cambria Math" w:hAnsi="Cambria Math"/>
                                <w:lang w:val="en-US"/>
                              </w:rPr>
                              <m:t>2</m:t>
                            </m:r>
                          </m:sup>
                        </m:sSup>
                      </m:e>
                    </m:nary>
                  </m:e>
                </m:rad>
              </m:oMath>
            </m:oMathPara>
          </w:p>
        </w:tc>
        <w:tc>
          <w:tcPr>
            <w:tcW w:w="992" w:type="dxa"/>
            <w:vAlign w:val="center"/>
          </w:tcPr>
          <w:p w:rsidR="007419CB" w:rsidRPr="000A4838" w:rsidRDefault="007419CB" w:rsidP="0021751D">
            <w:pPr>
              <w:spacing w:after="160" w:line="480" w:lineRule="auto"/>
              <w:rPr>
                <w:lang w:val="en-US"/>
              </w:rPr>
            </w:pPr>
            <m:oMathPara>
              <m:oMath>
                <m:r>
                  <w:rPr>
                    <w:rFonts w:eastAsia="Cambria Math"/>
                    <w:szCs w:val="24"/>
                    <w:lang w:val="en-US"/>
                  </w:rPr>
                  <m:t>(</m:t>
                </m:r>
                <m:r>
                  <m:rPr>
                    <m:sty m:val="p"/>
                  </m:rPr>
                  <w:rPr>
                    <w:rFonts w:eastAsia="Cambria Math"/>
                    <w:szCs w:val="24"/>
                    <w:lang w:val="en-US"/>
                  </w:rPr>
                  <w:fldChar w:fldCharType="begin"/>
                </m:r>
                <m:r>
                  <m:rPr>
                    <m:sty m:val="p"/>
                  </m:rPr>
                  <w:rPr>
                    <w:rFonts w:eastAsia="Cambria Math"/>
                    <w:szCs w:val="24"/>
                    <w:lang w:val="en-US"/>
                  </w:rPr>
                  <m:t xml:space="preserve"> STYLEREF 1 \s </m:t>
                </m:r>
                <m:r>
                  <m:rPr>
                    <m:sty m:val="p"/>
                  </m:rPr>
                  <w:rPr>
                    <w:rFonts w:eastAsia="Cambria Math"/>
                    <w:szCs w:val="24"/>
                    <w:lang w:val="en-US"/>
                  </w:rPr>
                  <w:fldChar w:fldCharType="separate"/>
                </m:r>
                <m:r>
                  <m:rPr>
                    <m:sty m:val="p"/>
                  </m:rPr>
                  <w:rPr>
                    <w:rFonts w:ascii="Cambria Math" w:eastAsia="Cambria Math"/>
                    <w:noProof/>
                    <w:szCs w:val="24"/>
                    <w:lang w:val="en-US"/>
                  </w:rPr>
                  <m:t>4</m:t>
                </m:r>
                <m:r>
                  <m:rPr>
                    <m:sty m:val="p"/>
                  </m:rPr>
                  <w:rPr>
                    <w:rFonts w:ascii="Cambria Math" w:eastAsia="Cambria Math" w:hAnsi="Cambria Math"/>
                    <w:szCs w:val="24"/>
                    <w:lang w:val="en-US"/>
                  </w:rPr>
                  <w:fldChar w:fldCharType="end"/>
                </m:r>
                <m:r>
                  <m:rPr>
                    <m:sty m:val="p"/>
                  </m:rPr>
                  <w:rPr>
                    <w:rFonts w:eastAsia="Cambria Math"/>
                    <w:szCs w:val="24"/>
                    <w:lang w:val="en-US"/>
                  </w:rPr>
                  <w:noBreakHyphen/>
                </m:r>
                <m:r>
                  <m:rPr>
                    <m:sty m:val="p"/>
                  </m:rPr>
                  <w:rPr>
                    <w:rFonts w:eastAsia="Cambria Math"/>
                    <w:szCs w:val="24"/>
                    <w:lang w:val="en-US"/>
                  </w:rPr>
                  <w:fldChar w:fldCharType="begin"/>
                </m:r>
                <m:r>
                  <m:rPr>
                    <m:sty m:val="p"/>
                  </m:rPr>
                  <w:rPr>
                    <w:rFonts w:eastAsia="Cambria Math"/>
                    <w:szCs w:val="24"/>
                    <w:lang w:val="en-US"/>
                  </w:rPr>
                  <m:t xml:space="preserve"> SEQ Équation \* ARABIC \s 1 </m:t>
                </m:r>
                <m:r>
                  <m:rPr>
                    <m:sty m:val="p"/>
                  </m:rPr>
                  <w:rPr>
                    <w:rFonts w:eastAsia="Cambria Math"/>
                    <w:szCs w:val="24"/>
                    <w:lang w:val="en-US"/>
                  </w:rPr>
                  <w:fldChar w:fldCharType="separate"/>
                </m:r>
                <m:r>
                  <m:rPr>
                    <m:sty m:val="p"/>
                  </m:rPr>
                  <w:rPr>
                    <w:rFonts w:ascii="Cambria Math" w:eastAsia="Cambria Math"/>
                    <w:noProof/>
                    <w:szCs w:val="24"/>
                    <w:lang w:val="en-US"/>
                  </w:rPr>
                  <m:t>9</m:t>
                </m:r>
                <m:r>
                  <m:rPr>
                    <m:sty m:val="p"/>
                  </m:rPr>
                  <w:rPr>
                    <w:rFonts w:ascii="Cambria Math" w:eastAsia="Cambria Math" w:hAnsi="Cambria Math"/>
                    <w:szCs w:val="24"/>
                    <w:lang w:val="en-US"/>
                  </w:rPr>
                  <w:fldChar w:fldCharType="end"/>
                </m:r>
                <m:r>
                  <w:rPr>
                    <w:rFonts w:eastAsia="Cambria Math"/>
                    <w:szCs w:val="24"/>
                    <w:lang w:val="en-US"/>
                  </w:rPr>
                  <m:t>)</m:t>
                </m:r>
              </m:oMath>
            </m:oMathPara>
          </w:p>
        </w:tc>
      </w:tr>
    </w:tbl>
    <w:p w:rsidR="007419CB" w:rsidRPr="000A4838" w:rsidRDefault="007419CB" w:rsidP="0021751D">
      <w:pPr>
        <w:pStyle w:val="NormalWeb"/>
        <w:spacing w:before="0" w:beforeAutospacing="0" w:after="160" w:afterAutospacing="0" w:line="480" w:lineRule="auto"/>
        <w:rPr>
          <w:lang w:val="en-US"/>
        </w:rPr>
      </w:pPr>
      <w:r w:rsidRPr="000A4838">
        <w:rPr>
          <w:lang w:val="en-US"/>
        </w:rPr>
        <w:t xml:space="preserve">This denominator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e>
        </m:d>
        <m:r>
          <w:rPr>
            <w:rFonts w:ascii="Cambria Math" w:hAnsi="Cambria Math"/>
            <w:lang w:val="en-US"/>
          </w:rPr>
          <m:t>-1</m:t>
        </m:r>
      </m:oMath>
      <w:r w:rsidRPr="000A4838">
        <w:rPr>
          <w:lang w:val="en-US"/>
        </w:rPr>
        <w:t xml:space="preserve"> ensures an unbiased estimate of the true population variance.</w:t>
      </w:r>
    </w:p>
    <w:p w:rsidR="007419CB" w:rsidRPr="000A4838" w:rsidRDefault="007419CB" w:rsidP="0021751D">
      <w:pPr>
        <w:pStyle w:val="NormalWeb"/>
        <w:spacing w:before="0" w:beforeAutospacing="0" w:after="160" w:afterAutospacing="0" w:line="480" w:lineRule="auto"/>
        <w:rPr>
          <w:lang w:val="en-US"/>
        </w:rPr>
      </w:pPr>
      <w:r w:rsidRPr="009E3D90">
        <w:rPr>
          <w:lang w:val="en-US"/>
        </w:rPr>
        <w:t>By comparing these summaries across clusters, it becomes possible to draw clear contrasts: one family may exhibit the highest average LMP with low variance, indicating robust creep resistance, whereas another may display outstanding oxidation resistance but a lower melting point. These quantitative descriptors are summarized in</w:t>
      </w:r>
      <w:r>
        <w:rPr>
          <w:lang w:val="en-US"/>
        </w:rPr>
        <w:t xml:space="preserve"> </w:t>
      </w:r>
      <w:r w:rsidRPr="0092118C">
        <w:rPr>
          <w:lang w:val="en-US"/>
        </w:rPr>
        <w:fldChar w:fldCharType="begin"/>
      </w:r>
      <w:r w:rsidRPr="0092118C">
        <w:rPr>
          <w:lang w:val="en-US"/>
        </w:rPr>
        <w:instrText xml:space="preserve"> REF _Ref214220524 \h  \* MERGEFORMAT </w:instrText>
      </w:r>
      <w:r w:rsidRPr="0092118C">
        <w:rPr>
          <w:lang w:val="en-US"/>
        </w:rPr>
      </w:r>
      <w:r w:rsidRPr="0092118C">
        <w:rPr>
          <w:lang w:val="en-US"/>
        </w:rPr>
        <w:fldChar w:fldCharType="separate"/>
      </w:r>
      <w:r w:rsidR="00380C88" w:rsidRPr="00380C88">
        <w:rPr>
          <w:rFonts w:ascii="Arial" w:hAnsi="Arial" w:cs="Arial"/>
          <w:b/>
          <w:sz w:val="20"/>
          <w:szCs w:val="20"/>
          <w:lang w:val="en-US"/>
        </w:rPr>
        <w:t xml:space="preserve">Figure </w:t>
      </w:r>
      <w:r w:rsidR="00380C88" w:rsidRPr="00380C88">
        <w:rPr>
          <w:rFonts w:ascii="Arial" w:hAnsi="Arial" w:cs="Arial"/>
          <w:b/>
          <w:noProof/>
          <w:sz w:val="20"/>
          <w:szCs w:val="20"/>
          <w:lang w:val="en-US"/>
        </w:rPr>
        <w:t>44</w:t>
      </w:r>
      <w:r w:rsidRPr="0092118C">
        <w:rPr>
          <w:lang w:val="en-US"/>
        </w:rPr>
        <w:fldChar w:fldCharType="end"/>
      </w:r>
      <w:r w:rsidRPr="009E3D90">
        <w:rPr>
          <w:lang w:val="en-US"/>
        </w:rPr>
        <w:t>, which reports, for each of the four clusters, the mean and standard deviation of the seven key properties</w:t>
      </w:r>
      <w:r>
        <w:rPr>
          <w:lang w:val="en-US"/>
        </w:rPr>
        <w:t>: melting point, creep resistance, high-temperature oxidation, density, bulk modulus, shear modulus, Pugh ratio</w:t>
      </w:r>
      <w:r w:rsidRPr="009E3D90">
        <w:rPr>
          <w:lang w:val="en-US"/>
        </w:rPr>
        <w:t>. Together with the compositional analysis above, this statistical characterization turns an unwieldy set of thousands of CVAE-generated candidates into a manageable palette of chemically meaningful alloy families, each with a clear expectation of physical behavior.</w:t>
      </w:r>
    </w:p>
    <w:p w:rsidR="007419CB" w:rsidRDefault="007419CB" w:rsidP="0021751D">
      <w:pPr>
        <w:pStyle w:val="NormalWeb"/>
        <w:spacing w:before="0" w:beforeAutospacing="0" w:after="160" w:afterAutospacing="0" w:line="480" w:lineRule="auto"/>
        <w:rPr>
          <w:lang w:val="en-US"/>
        </w:rPr>
      </w:pPr>
      <w:r w:rsidRPr="000A4838">
        <w:rPr>
          <w:lang w:val="en-US"/>
        </w:rPr>
        <w:t xml:space="preserve">In summary, the combined pipeline CLR transform → </w:t>
      </w:r>
      <w:r>
        <w:rPr>
          <w:lang w:val="en-US"/>
        </w:rPr>
        <w:t>Ward Clustering</w:t>
      </w:r>
      <w:r w:rsidRPr="000A4838">
        <w:rPr>
          <w:lang w:val="en-US"/>
        </w:rPr>
        <w:t xml:space="preserve"> → property statistics will hopefully transform an unwieldy set of thousands of CVAE-generated candidates into a </w:t>
      </w:r>
      <w:r>
        <w:rPr>
          <w:lang w:val="en-US"/>
        </w:rPr>
        <w:t xml:space="preserve">more </w:t>
      </w:r>
      <w:r w:rsidRPr="000A4838">
        <w:rPr>
          <w:lang w:val="en-US"/>
        </w:rPr>
        <w:t>manageable palette of</w:t>
      </w:r>
      <w:r w:rsidRPr="00F02F18">
        <w:rPr>
          <w:lang w:val="en-US"/>
        </w:rPr>
        <w:t xml:space="preserve"> chemically meaningful recipes,</w:t>
      </w:r>
      <w:r w:rsidRPr="000A4838">
        <w:rPr>
          <w:lang w:val="en-US"/>
        </w:rPr>
        <w:t xml:space="preserve"> each accompanied by statistically expectations of </w:t>
      </w:r>
      <w:r>
        <w:rPr>
          <w:lang w:val="en-US"/>
        </w:rPr>
        <w:t>physical b</w:t>
      </w:r>
      <w:r w:rsidRPr="000A4838">
        <w:rPr>
          <w:lang w:val="en-US"/>
        </w:rPr>
        <w:t>ehavior.</w:t>
      </w:r>
    </w:p>
    <w:p w:rsidR="007419CB" w:rsidRPr="000A4838" w:rsidRDefault="007419CB" w:rsidP="0021751D">
      <w:pPr>
        <w:pStyle w:val="NormalWeb"/>
        <w:spacing w:before="0" w:beforeAutospacing="0" w:after="160" w:afterAutospacing="0" w:line="480" w:lineRule="auto"/>
        <w:rPr>
          <w:lang w:val="en-US"/>
        </w:rPr>
      </w:pPr>
    </w:p>
    <w:p w:rsidR="007419CB" w:rsidRPr="000A4838" w:rsidRDefault="007419CB" w:rsidP="0021751D">
      <w:pPr>
        <w:pStyle w:val="NormalWeb"/>
        <w:spacing w:before="0" w:beforeAutospacing="0" w:after="160" w:afterAutospacing="0" w:line="480" w:lineRule="auto"/>
        <w:rPr>
          <w:lang w:val="en-US"/>
        </w:rPr>
      </w:pPr>
      <w:r>
        <w:rPr>
          <w:noProof/>
        </w:rPr>
        <w:lastRenderedPageBreak/>
        <w:drawing>
          <wp:inline distT="0" distB="0" distL="0" distR="0" wp14:anchorId="39A0DB4D" wp14:editId="6B09E2B3">
            <wp:extent cx="5760720" cy="6619051"/>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6619051"/>
                    </a:xfrm>
                    <a:prstGeom prst="rect">
                      <a:avLst/>
                    </a:prstGeom>
                    <a:noFill/>
                    <a:ln>
                      <a:noFill/>
                    </a:ln>
                  </pic:spPr>
                </pic:pic>
              </a:graphicData>
            </a:graphic>
          </wp:inline>
        </w:drawing>
      </w:r>
    </w:p>
    <w:p w:rsidR="007419CB" w:rsidRPr="000A4838" w:rsidRDefault="007419CB" w:rsidP="0021751D">
      <w:pPr>
        <w:pStyle w:val="Lgende"/>
        <w:spacing w:after="160" w:line="480" w:lineRule="auto"/>
        <w:rPr>
          <w:rFonts w:ascii="Arial" w:hAnsi="Arial" w:cs="Arial"/>
          <w:b/>
          <w:i w:val="0"/>
          <w:color w:val="auto"/>
          <w:sz w:val="20"/>
          <w:szCs w:val="20"/>
          <w:lang w:val="en-US"/>
        </w:rPr>
      </w:pPr>
      <w:bookmarkStart w:id="193" w:name="_Ref214220524"/>
      <w:r w:rsidRPr="000A4838">
        <w:rPr>
          <w:rFonts w:ascii="Arial" w:hAnsi="Arial" w:cs="Arial"/>
          <w:b/>
          <w:i w:val="0"/>
          <w:color w:val="auto"/>
          <w:sz w:val="20"/>
          <w:szCs w:val="20"/>
          <w:lang w:val="en-US"/>
        </w:rPr>
        <w:t xml:space="preserve">Figure </w:t>
      </w:r>
      <w:r w:rsidRPr="000A4838">
        <w:rPr>
          <w:rFonts w:ascii="Arial" w:hAnsi="Arial" w:cs="Arial"/>
          <w:b/>
          <w:i w:val="0"/>
          <w:color w:val="auto"/>
          <w:sz w:val="20"/>
          <w:szCs w:val="20"/>
          <w:lang w:val="en-US"/>
        </w:rPr>
        <w:fldChar w:fldCharType="begin"/>
      </w:r>
      <w:r w:rsidRPr="000A4838">
        <w:rPr>
          <w:rFonts w:ascii="Arial" w:hAnsi="Arial" w:cs="Arial"/>
          <w:b/>
          <w:i w:val="0"/>
          <w:color w:val="auto"/>
          <w:sz w:val="20"/>
          <w:szCs w:val="20"/>
          <w:lang w:val="en-US"/>
        </w:rPr>
        <w:instrText xml:space="preserve"> SEQ Figure \* ARABIC </w:instrText>
      </w:r>
      <w:r w:rsidRPr="000A4838">
        <w:rPr>
          <w:rFonts w:ascii="Arial" w:hAnsi="Arial" w:cs="Arial"/>
          <w:b/>
          <w:i w:val="0"/>
          <w:color w:val="auto"/>
          <w:sz w:val="20"/>
          <w:szCs w:val="20"/>
          <w:lang w:val="en-US"/>
        </w:rPr>
        <w:fldChar w:fldCharType="separate"/>
      </w:r>
      <w:r w:rsidR="00380C88">
        <w:rPr>
          <w:rFonts w:ascii="Arial" w:hAnsi="Arial" w:cs="Arial"/>
          <w:b/>
          <w:i w:val="0"/>
          <w:noProof/>
          <w:color w:val="auto"/>
          <w:sz w:val="20"/>
          <w:szCs w:val="20"/>
          <w:lang w:val="en-US"/>
        </w:rPr>
        <w:t>44</w:t>
      </w:r>
      <w:r w:rsidRPr="000A4838">
        <w:rPr>
          <w:rFonts w:ascii="Arial" w:hAnsi="Arial" w:cs="Arial"/>
          <w:b/>
          <w:i w:val="0"/>
          <w:color w:val="auto"/>
          <w:sz w:val="20"/>
          <w:szCs w:val="20"/>
          <w:lang w:val="en-US"/>
        </w:rPr>
        <w:fldChar w:fldCharType="end"/>
      </w:r>
      <w:bookmarkEnd w:id="193"/>
      <w:r w:rsidRPr="000A4838">
        <w:rPr>
          <w:rFonts w:ascii="Arial" w:hAnsi="Arial" w:cs="Arial"/>
          <w:b/>
          <w:i w:val="0"/>
          <w:color w:val="auto"/>
          <w:sz w:val="20"/>
          <w:szCs w:val="20"/>
          <w:lang w:val="en-US"/>
        </w:rPr>
        <w:t> : Physical Characterization of Clusters (Mean Value &amp; Standard Deviation)</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 xml:space="preserve">Physical characterization of the 4 clusters that were defined through </w:t>
      </w:r>
      <w:r>
        <w:rPr>
          <w:rFonts w:ascii="Arial" w:hAnsi="Arial" w:cs="Arial"/>
          <w:sz w:val="20"/>
          <w:szCs w:val="20"/>
          <w:lang w:val="en-US"/>
        </w:rPr>
        <w:t xml:space="preserve">Ward </w:t>
      </w:r>
      <w:r w:rsidRPr="000A4838">
        <w:rPr>
          <w:rFonts w:ascii="Arial" w:hAnsi="Arial" w:cs="Arial"/>
          <w:sz w:val="20"/>
          <w:szCs w:val="20"/>
          <w:lang w:val="en-US"/>
        </w:rPr>
        <w:t xml:space="preserve">clustering, by providing the average value and standard deviation within each cluster of the physical quantities mentioned above. This shows that </w:t>
      </w:r>
      <w:r>
        <w:rPr>
          <w:rFonts w:ascii="Arial" w:hAnsi="Arial" w:cs="Arial"/>
          <w:sz w:val="20"/>
          <w:szCs w:val="20"/>
          <w:lang w:val="en-US"/>
        </w:rPr>
        <w:t xml:space="preserve">while </w:t>
      </w:r>
      <w:r w:rsidRPr="000A4838">
        <w:rPr>
          <w:rFonts w:ascii="Arial" w:hAnsi="Arial" w:cs="Arial"/>
          <w:sz w:val="20"/>
          <w:szCs w:val="20"/>
          <w:lang w:val="en-US"/>
        </w:rPr>
        <w:t xml:space="preserve">alloys belonging to the green &amp; red clusters </w:t>
      </w:r>
      <w:r>
        <w:rPr>
          <w:rFonts w:ascii="Arial" w:hAnsi="Arial" w:cs="Arial"/>
          <w:sz w:val="20"/>
          <w:szCs w:val="20"/>
          <w:lang w:val="en-US"/>
        </w:rPr>
        <w:t xml:space="preserve">reach the highest melting point, alloys from the blue cluster </w:t>
      </w:r>
      <w:r w:rsidRPr="000A4838">
        <w:rPr>
          <w:rFonts w:ascii="Arial" w:hAnsi="Arial" w:cs="Arial"/>
          <w:sz w:val="20"/>
          <w:szCs w:val="20"/>
          <w:lang w:val="en-US"/>
        </w:rPr>
        <w:t xml:space="preserve">are promising, regarding their resistance to high-temperature oxidation and </w:t>
      </w:r>
      <w:r w:rsidRPr="000A4838">
        <w:rPr>
          <w:rFonts w:ascii="Arial" w:hAnsi="Arial" w:cs="Arial"/>
          <w:sz w:val="20"/>
          <w:szCs w:val="20"/>
          <w:lang w:val="en-US"/>
        </w:rPr>
        <w:lastRenderedPageBreak/>
        <w:t xml:space="preserve">bulk &amp; shear moduli, or </w:t>
      </w:r>
      <w:r>
        <w:rPr>
          <w:rFonts w:ascii="Arial" w:hAnsi="Arial" w:cs="Arial"/>
          <w:sz w:val="20"/>
          <w:szCs w:val="20"/>
          <w:lang w:val="en-US"/>
        </w:rPr>
        <w:t>density</w:t>
      </w:r>
      <w:r w:rsidRPr="000A4838">
        <w:rPr>
          <w:rFonts w:ascii="Arial" w:hAnsi="Arial" w:cs="Arial"/>
          <w:sz w:val="20"/>
          <w:szCs w:val="20"/>
          <w:lang w:val="en-US"/>
        </w:rPr>
        <w:t>. The variations within the cluster do not question the rankings vs physical properties.</w:t>
      </w:r>
    </w:p>
    <w:p w:rsidR="007419CB" w:rsidRPr="000A4838" w:rsidRDefault="007419CB" w:rsidP="0021751D">
      <w:pPr>
        <w:spacing w:after="160" w:line="480" w:lineRule="auto"/>
        <w:rPr>
          <w:rFonts w:ascii="Arial" w:hAnsi="Arial" w:cs="Arial"/>
          <w:sz w:val="20"/>
          <w:szCs w:val="20"/>
          <w:lang w:val="en-US"/>
        </w:rPr>
      </w:pPr>
      <w:r w:rsidRPr="000A4838">
        <w:rPr>
          <w:rFonts w:ascii="Arial" w:hAnsi="Arial" w:cs="Arial"/>
          <w:sz w:val="20"/>
          <w:szCs w:val="20"/>
          <w:lang w:val="en-US"/>
        </w:rPr>
        <w:t>The clusters are chemically roughly described by the composition of their centroid (summarized as the list of elements with a content over 5% in the legend).</w:t>
      </w:r>
    </w:p>
    <w:bookmarkEnd w:id="189"/>
    <w:p w:rsidR="007419CB" w:rsidRPr="000A4838" w:rsidRDefault="007419CB" w:rsidP="0021751D">
      <w:pPr>
        <w:pStyle w:val="NormalWeb"/>
        <w:spacing w:before="0" w:beforeAutospacing="0" w:after="160" w:afterAutospacing="0" w:line="480" w:lineRule="auto"/>
        <w:rPr>
          <w:lang w:val="en-US"/>
        </w:rPr>
      </w:pPr>
    </w:p>
    <w:p w:rsidR="00B77C17" w:rsidRDefault="00B77C17">
      <w:pPr>
        <w:spacing w:after="160" w:line="259" w:lineRule="auto"/>
        <w:rPr>
          <w:lang w:val="en-US"/>
        </w:rPr>
      </w:pPr>
      <w:bookmarkStart w:id="194" w:name="_GoBack"/>
      <w:bookmarkEnd w:id="194"/>
      <w:r>
        <w:rPr>
          <w:lang w:val="en-US"/>
        </w:rPr>
        <w:br w:type="page"/>
      </w:r>
    </w:p>
    <w:p w:rsidR="00B77C17" w:rsidRPr="00B77C17" w:rsidRDefault="00B77C17" w:rsidP="00B77C17">
      <w:pPr>
        <w:pStyle w:val="Bibliographie"/>
        <w:jc w:val="center"/>
        <w:rPr>
          <w:b/>
        </w:rPr>
      </w:pPr>
      <w:r w:rsidRPr="00B77C17">
        <w:rPr>
          <w:b/>
        </w:rPr>
        <w:lastRenderedPageBreak/>
        <w:t>Bibliography</w:t>
      </w:r>
    </w:p>
    <w:p w:rsidR="00B77C17" w:rsidRPr="00B77C17" w:rsidRDefault="00B77C17" w:rsidP="00B77C17">
      <w:pPr>
        <w:pStyle w:val="Bibliographie"/>
        <w:rPr>
          <w:rFonts w:cs="Times New Roman"/>
          <w:lang w:val="en-US"/>
        </w:rPr>
      </w:pPr>
      <w:r>
        <w:rPr>
          <w:lang w:val="en-US"/>
        </w:rPr>
        <w:fldChar w:fldCharType="begin"/>
      </w:r>
      <w:r w:rsidRPr="00B77C17">
        <w:instrText xml:space="preserve"> ADDIN ZOTERO_BIBL {"uncited":[],"omitted":[],"custom":[]} CSL_BIBLIOGRAPHY </w:instrText>
      </w:r>
      <w:r>
        <w:rPr>
          <w:lang w:val="en-US"/>
        </w:rPr>
        <w:fldChar w:fldCharType="separate"/>
      </w:r>
      <w:r w:rsidRPr="00B77C17">
        <w:rPr>
          <w:rFonts w:cs="Times New Roman"/>
        </w:rPr>
        <w:t>1.</w:t>
      </w:r>
      <w:r w:rsidRPr="00B77C17">
        <w:rPr>
          <w:rFonts w:cs="Times New Roman"/>
        </w:rPr>
        <w:tab/>
        <w:t xml:space="preserve">Chen, S. </w:t>
      </w:r>
      <w:r w:rsidRPr="00B77C17">
        <w:rPr>
          <w:rFonts w:cs="Times New Roman"/>
          <w:i/>
          <w:iCs/>
        </w:rPr>
        <w:t>et al.</w:t>
      </w:r>
      <w:r w:rsidRPr="00B77C17">
        <w:rPr>
          <w:rFonts w:cs="Times New Roman"/>
        </w:rPr>
        <w:t xml:space="preserve"> </w:t>
      </w:r>
      <w:r w:rsidRPr="00B77C17">
        <w:rPr>
          <w:rFonts w:cs="Times New Roman"/>
          <w:lang w:val="en-US"/>
        </w:rPr>
        <w:t>Extraordinary creep resistance in a non-</w:t>
      </w:r>
      <w:proofErr w:type="spellStart"/>
      <w:r w:rsidRPr="00B77C17">
        <w:rPr>
          <w:rFonts w:cs="Times New Roman"/>
          <w:lang w:val="en-US"/>
        </w:rPr>
        <w:t>equiatomic</w:t>
      </w:r>
      <w:proofErr w:type="spellEnd"/>
      <w:r w:rsidRPr="00B77C17">
        <w:rPr>
          <w:rFonts w:cs="Times New Roman"/>
          <w:lang w:val="en-US"/>
        </w:rPr>
        <w:t xml:space="preserve"> high-entropy alloy from the optimum solid-solution strengthening and stress-assisted </w:t>
      </w:r>
      <w:proofErr w:type="spellStart"/>
      <w:r w:rsidRPr="00B77C17">
        <w:rPr>
          <w:rFonts w:cs="Times New Roman"/>
          <w:lang w:val="en-US"/>
        </w:rPr>
        <w:t>prec</w:t>
      </w:r>
      <w:proofErr w:type="spellEnd"/>
      <w:r w:rsidRPr="00B77C17">
        <w:rPr>
          <w:rFonts w:cs="Times New Roman"/>
          <w:lang w:val="en-US"/>
        </w:rPr>
        <w:t xml:space="preserve"> </w:t>
      </w:r>
      <w:proofErr w:type="spellStart"/>
      <w:r w:rsidRPr="00B77C17">
        <w:rPr>
          <w:rFonts w:cs="Times New Roman"/>
          <w:lang w:val="en-US"/>
        </w:rPr>
        <w:t>ipitation</w:t>
      </w:r>
      <w:proofErr w:type="spellEnd"/>
      <w:r w:rsidRPr="00B77C17">
        <w:rPr>
          <w:rFonts w:cs="Times New Roman"/>
          <w:lang w:val="en-US"/>
        </w:rPr>
        <w:t xml:space="preserve"> process. </w:t>
      </w:r>
      <w:r w:rsidRPr="00B77C17">
        <w:rPr>
          <w:rFonts w:cs="Times New Roman"/>
          <w:i/>
          <w:iCs/>
          <w:lang w:val="en-US"/>
        </w:rPr>
        <w:t xml:space="preserve">Acta </w:t>
      </w:r>
      <w:proofErr w:type="spellStart"/>
      <w:r w:rsidRPr="00B77C17">
        <w:rPr>
          <w:rFonts w:cs="Times New Roman"/>
          <w:i/>
          <w:iCs/>
          <w:lang w:val="en-US"/>
        </w:rPr>
        <w:t>Materialia</w:t>
      </w:r>
      <w:proofErr w:type="spellEnd"/>
      <w:r w:rsidRPr="00B77C17">
        <w:rPr>
          <w:rFonts w:cs="Times New Roman"/>
          <w:lang w:val="en-US"/>
        </w:rPr>
        <w:t xml:space="preserve"> </w:t>
      </w:r>
      <w:r w:rsidRPr="00B77C17">
        <w:rPr>
          <w:rFonts w:cs="Times New Roman"/>
          <w:b/>
          <w:bCs/>
          <w:lang w:val="en-US"/>
        </w:rPr>
        <w:t>244</w:t>
      </w:r>
      <w:r w:rsidRPr="00B77C17">
        <w:rPr>
          <w:rFonts w:cs="Times New Roman"/>
          <w:lang w:val="en-US"/>
        </w:rPr>
        <w:t>, 118600 (2023).</w:t>
      </w:r>
    </w:p>
    <w:p w:rsidR="00B77C17" w:rsidRPr="00CC139D" w:rsidRDefault="00B77C17" w:rsidP="00B77C17">
      <w:pPr>
        <w:pStyle w:val="Bibliographie"/>
        <w:rPr>
          <w:rFonts w:cs="Times New Roman"/>
        </w:rPr>
      </w:pPr>
      <w:r w:rsidRPr="00B77C17">
        <w:rPr>
          <w:rFonts w:cs="Times New Roman"/>
          <w:lang w:val="en-US"/>
        </w:rPr>
        <w:t>2.</w:t>
      </w:r>
      <w:r w:rsidRPr="00B77C17">
        <w:rPr>
          <w:rFonts w:cs="Times New Roman"/>
          <w:lang w:val="en-US"/>
        </w:rPr>
        <w:tab/>
        <w:t xml:space="preserve">Yang, T. </w:t>
      </w:r>
      <w:r w:rsidRPr="00B77C17">
        <w:rPr>
          <w:rFonts w:cs="Times New Roman"/>
          <w:i/>
          <w:iCs/>
          <w:lang w:val="en-US"/>
        </w:rPr>
        <w:t>et al.</w:t>
      </w:r>
      <w:r w:rsidRPr="00B77C17">
        <w:rPr>
          <w:rFonts w:cs="Times New Roman"/>
          <w:lang w:val="en-US"/>
        </w:rPr>
        <w:t xml:space="preserve"> Control of Nanoscale Precipitation and Elimination of Intermediate-Temperature Embrittlement in Multicomponent High-Entropy Alloys. </w:t>
      </w:r>
      <w:r w:rsidRPr="00CC139D">
        <w:rPr>
          <w:rFonts w:cs="Times New Roman"/>
          <w:i/>
          <w:iCs/>
        </w:rPr>
        <w:t>SSRN Journal</w:t>
      </w:r>
      <w:r w:rsidRPr="00CC139D">
        <w:rPr>
          <w:rFonts w:cs="Times New Roman"/>
        </w:rPr>
        <w:t xml:space="preserve"> https://doi.org/10.2139/ssrn.3477998 (2019) doi:10.2139/ssrn.3477998.</w:t>
      </w:r>
    </w:p>
    <w:p w:rsidR="00B77C17" w:rsidRPr="00B77C17" w:rsidRDefault="00B77C17" w:rsidP="00B77C17">
      <w:pPr>
        <w:pStyle w:val="Bibliographie"/>
        <w:rPr>
          <w:rFonts w:cs="Times New Roman"/>
          <w:lang w:val="en-US"/>
        </w:rPr>
      </w:pPr>
      <w:r w:rsidRPr="00CC139D">
        <w:rPr>
          <w:rFonts w:cs="Times New Roman"/>
        </w:rPr>
        <w:t>3.</w:t>
      </w:r>
      <w:r w:rsidRPr="00CC139D">
        <w:rPr>
          <w:rFonts w:cs="Times New Roman"/>
        </w:rPr>
        <w:tab/>
        <w:t xml:space="preserve">Singh, P. </w:t>
      </w:r>
      <w:r w:rsidRPr="00CC139D">
        <w:rPr>
          <w:rFonts w:cs="Times New Roman"/>
          <w:i/>
          <w:iCs/>
        </w:rPr>
        <w:t>et al.</w:t>
      </w:r>
      <w:r w:rsidRPr="00CC139D">
        <w:rPr>
          <w:rFonts w:cs="Times New Roman"/>
        </w:rPr>
        <w:t xml:space="preserve"> </w:t>
      </w:r>
      <w:r w:rsidRPr="00B77C17">
        <w:rPr>
          <w:rFonts w:cs="Times New Roman"/>
          <w:lang w:val="en-US"/>
        </w:rPr>
        <w:t xml:space="preserve">Theory-guided design of duplex-phase multi-principal-element alloys. </w:t>
      </w:r>
      <w:r w:rsidRPr="00B77C17">
        <w:rPr>
          <w:rFonts w:cs="Times New Roman"/>
          <w:i/>
          <w:iCs/>
          <w:lang w:val="en-US"/>
        </w:rPr>
        <w:t>Acta Materialia</w:t>
      </w:r>
      <w:r w:rsidRPr="00B77C17">
        <w:rPr>
          <w:rFonts w:cs="Times New Roman"/>
          <w:lang w:val="en-US"/>
        </w:rPr>
        <w:t xml:space="preserve"> </w:t>
      </w:r>
      <w:r w:rsidRPr="00B77C17">
        <w:rPr>
          <w:rFonts w:cs="Times New Roman"/>
          <w:b/>
          <w:bCs/>
          <w:lang w:val="en-US"/>
        </w:rPr>
        <w:t>272</w:t>
      </w:r>
      <w:r w:rsidRPr="00B77C17">
        <w:rPr>
          <w:rFonts w:cs="Times New Roman"/>
          <w:lang w:val="en-US"/>
        </w:rPr>
        <w:t>, 119952 (2024).</w:t>
      </w:r>
    </w:p>
    <w:p w:rsidR="00B77C17" w:rsidRPr="00B77C17" w:rsidRDefault="00B77C17" w:rsidP="00B77C17">
      <w:pPr>
        <w:pStyle w:val="Bibliographie"/>
        <w:rPr>
          <w:rFonts w:cs="Times New Roman"/>
          <w:lang w:val="en-US"/>
        </w:rPr>
      </w:pPr>
      <w:r w:rsidRPr="00B77C17">
        <w:rPr>
          <w:rFonts w:cs="Times New Roman"/>
          <w:lang w:val="en-US"/>
        </w:rPr>
        <w:t>4.</w:t>
      </w:r>
      <w:r w:rsidRPr="00B77C17">
        <w:rPr>
          <w:rFonts w:cs="Times New Roman"/>
          <w:lang w:val="en-US"/>
        </w:rPr>
        <w:tab/>
        <w:t xml:space="preserve">Ezatpour, H. R. &amp; Torabi-Parizi, M. Effect of Ti content on achieving development of mechanical properties and wear resistance of CoCrFeNiMoTix high entropy alloy. </w:t>
      </w:r>
      <w:r w:rsidRPr="00B77C17">
        <w:rPr>
          <w:rFonts w:cs="Times New Roman"/>
          <w:i/>
          <w:iCs/>
          <w:lang w:val="en-US"/>
        </w:rPr>
        <w:t>Journal of Materials Research and Technology</w:t>
      </w:r>
      <w:r w:rsidRPr="00B77C17">
        <w:rPr>
          <w:rFonts w:cs="Times New Roman"/>
          <w:lang w:val="en-US"/>
        </w:rPr>
        <w:t xml:space="preserve"> </w:t>
      </w:r>
      <w:r w:rsidRPr="00B77C17">
        <w:rPr>
          <w:rFonts w:cs="Times New Roman"/>
          <w:b/>
          <w:bCs/>
          <w:lang w:val="en-US"/>
        </w:rPr>
        <w:t>29</w:t>
      </w:r>
      <w:r w:rsidRPr="00B77C17">
        <w:rPr>
          <w:rFonts w:cs="Times New Roman"/>
          <w:lang w:val="en-US"/>
        </w:rPr>
        <w:t>, 5447–5463 (2024).</w:t>
      </w:r>
    </w:p>
    <w:p w:rsidR="00B77C17" w:rsidRPr="00B77C17" w:rsidRDefault="00B77C17" w:rsidP="00B77C17">
      <w:pPr>
        <w:pStyle w:val="Bibliographie"/>
        <w:rPr>
          <w:rFonts w:cs="Times New Roman"/>
          <w:lang w:val="en-US"/>
        </w:rPr>
      </w:pPr>
      <w:r w:rsidRPr="00B77C17">
        <w:rPr>
          <w:rFonts w:cs="Times New Roman"/>
          <w:lang w:val="en-US"/>
        </w:rPr>
        <w:t>5.</w:t>
      </w:r>
      <w:r w:rsidRPr="00B77C17">
        <w:rPr>
          <w:rFonts w:cs="Times New Roman"/>
          <w:lang w:val="en-US"/>
        </w:rPr>
        <w:tab/>
        <w:t xml:space="preserve">Zhang, L., Li, H. &amp; Xiao, Z. Criteria of predicting phase formation for MSi2-Type High-Entropy refractory metal silicides. </w:t>
      </w:r>
      <w:r w:rsidRPr="00B77C17">
        <w:rPr>
          <w:rFonts w:cs="Times New Roman"/>
          <w:i/>
          <w:iCs/>
          <w:lang w:val="en-US"/>
        </w:rPr>
        <w:t>Materials &amp; Design</w:t>
      </w:r>
      <w:r w:rsidRPr="00B77C17">
        <w:rPr>
          <w:rFonts w:cs="Times New Roman"/>
          <w:lang w:val="en-US"/>
        </w:rPr>
        <w:t xml:space="preserve"> </w:t>
      </w:r>
      <w:r w:rsidRPr="00B77C17">
        <w:rPr>
          <w:rFonts w:cs="Times New Roman"/>
          <w:b/>
          <w:bCs/>
          <w:lang w:val="en-US"/>
        </w:rPr>
        <w:t>231</w:t>
      </w:r>
      <w:r w:rsidRPr="00B77C17">
        <w:rPr>
          <w:rFonts w:cs="Times New Roman"/>
          <w:lang w:val="en-US"/>
        </w:rPr>
        <w:t>, 112060 (2023).</w:t>
      </w:r>
    </w:p>
    <w:p w:rsidR="00B77C17" w:rsidRPr="00B77C17" w:rsidRDefault="00B77C17" w:rsidP="00B77C17">
      <w:pPr>
        <w:pStyle w:val="Bibliographie"/>
        <w:rPr>
          <w:rFonts w:cs="Times New Roman"/>
          <w:lang w:val="en-US"/>
        </w:rPr>
      </w:pPr>
      <w:r w:rsidRPr="00B77C17">
        <w:rPr>
          <w:rFonts w:cs="Times New Roman"/>
          <w:lang w:val="en-US"/>
        </w:rPr>
        <w:t>6.</w:t>
      </w:r>
      <w:r w:rsidRPr="00B77C17">
        <w:rPr>
          <w:rFonts w:cs="Times New Roman"/>
          <w:lang w:val="en-US"/>
        </w:rPr>
        <w:tab/>
        <w:t xml:space="preserve">Jeong, I.-S. &amp; Lee, J.-H. Single-phase lightweight high-entropy alloys with enhanced mechanical properties. </w:t>
      </w:r>
      <w:r w:rsidRPr="00B77C17">
        <w:rPr>
          <w:rFonts w:cs="Times New Roman"/>
          <w:i/>
          <w:iCs/>
          <w:lang w:val="en-US"/>
        </w:rPr>
        <w:t>Materials &amp; Design</w:t>
      </w:r>
      <w:r w:rsidRPr="00B77C17">
        <w:rPr>
          <w:rFonts w:cs="Times New Roman"/>
          <w:lang w:val="en-US"/>
        </w:rPr>
        <w:t xml:space="preserve"> </w:t>
      </w:r>
      <w:r w:rsidRPr="00B77C17">
        <w:rPr>
          <w:rFonts w:cs="Times New Roman"/>
          <w:b/>
          <w:bCs/>
          <w:lang w:val="en-US"/>
        </w:rPr>
        <w:t>227</w:t>
      </w:r>
      <w:r w:rsidRPr="00B77C17">
        <w:rPr>
          <w:rFonts w:cs="Times New Roman"/>
          <w:lang w:val="en-US"/>
        </w:rPr>
        <w:t>, 111709 (2023).</w:t>
      </w:r>
    </w:p>
    <w:p w:rsidR="00B77C17" w:rsidRPr="00B77C17" w:rsidRDefault="00B77C17" w:rsidP="00B77C17">
      <w:pPr>
        <w:pStyle w:val="Bibliographie"/>
        <w:rPr>
          <w:rFonts w:cs="Times New Roman"/>
          <w:lang w:val="en-US"/>
        </w:rPr>
      </w:pPr>
      <w:r w:rsidRPr="00B77C17">
        <w:rPr>
          <w:rFonts w:cs="Times New Roman"/>
          <w:lang w:val="en-US"/>
        </w:rPr>
        <w:t>7.</w:t>
      </w:r>
      <w:r w:rsidRPr="00B77C17">
        <w:rPr>
          <w:rFonts w:cs="Times New Roman"/>
          <w:lang w:val="en-US"/>
        </w:rPr>
        <w:tab/>
        <w:t xml:space="preserve">Zhang, Y., Zhou, Y. J., Lin, J. P., Chen, G. L. &amp; Liaw, P. K. Solid-Solution Phase Formation Rules for Multi-component Alloys. </w:t>
      </w:r>
      <w:r w:rsidRPr="00B77C17">
        <w:rPr>
          <w:rFonts w:cs="Times New Roman"/>
          <w:i/>
          <w:iCs/>
          <w:lang w:val="en-US"/>
        </w:rPr>
        <w:t>Advanced Engineering Materials</w:t>
      </w:r>
      <w:r w:rsidRPr="00B77C17">
        <w:rPr>
          <w:rFonts w:cs="Times New Roman"/>
          <w:lang w:val="en-US"/>
        </w:rPr>
        <w:t xml:space="preserve"> </w:t>
      </w:r>
      <w:r w:rsidRPr="00B77C17">
        <w:rPr>
          <w:rFonts w:cs="Times New Roman"/>
          <w:b/>
          <w:bCs/>
          <w:lang w:val="en-US"/>
        </w:rPr>
        <w:t>10</w:t>
      </w:r>
      <w:r w:rsidRPr="00B77C17">
        <w:rPr>
          <w:rFonts w:cs="Times New Roman"/>
          <w:lang w:val="en-US"/>
        </w:rPr>
        <w:t>, 534–538 (2008).</w:t>
      </w:r>
    </w:p>
    <w:p w:rsidR="00B77C17" w:rsidRPr="00B77C17" w:rsidRDefault="00B77C17" w:rsidP="00B77C17">
      <w:pPr>
        <w:pStyle w:val="Bibliographie"/>
        <w:rPr>
          <w:rFonts w:cs="Times New Roman"/>
          <w:lang w:val="en-US"/>
        </w:rPr>
      </w:pPr>
      <w:r w:rsidRPr="00B77C17">
        <w:rPr>
          <w:rFonts w:cs="Times New Roman"/>
          <w:lang w:val="en-US"/>
        </w:rPr>
        <w:t>8.</w:t>
      </w:r>
      <w:r w:rsidRPr="00B77C17">
        <w:rPr>
          <w:rFonts w:cs="Times New Roman"/>
          <w:lang w:val="en-US"/>
        </w:rPr>
        <w:tab/>
        <w:t xml:space="preserve">Feng, R., Liaw, P. K., Gao, M. C. &amp; Widom, M. First-principles prediction of high-entropy-alloy stability. </w:t>
      </w:r>
      <w:r w:rsidRPr="00B77C17">
        <w:rPr>
          <w:rFonts w:cs="Times New Roman"/>
          <w:i/>
          <w:iCs/>
          <w:lang w:val="en-US"/>
        </w:rPr>
        <w:t>npj Comput Mater</w:t>
      </w:r>
      <w:r w:rsidRPr="00B77C17">
        <w:rPr>
          <w:rFonts w:cs="Times New Roman"/>
          <w:lang w:val="en-US"/>
        </w:rPr>
        <w:t xml:space="preserve"> </w:t>
      </w:r>
      <w:r w:rsidRPr="00B77C17">
        <w:rPr>
          <w:rFonts w:cs="Times New Roman"/>
          <w:b/>
          <w:bCs/>
          <w:lang w:val="en-US"/>
        </w:rPr>
        <w:t>3</w:t>
      </w:r>
      <w:r w:rsidRPr="00B77C17">
        <w:rPr>
          <w:rFonts w:cs="Times New Roman"/>
          <w:lang w:val="en-US"/>
        </w:rPr>
        <w:t>, (2017).</w:t>
      </w:r>
    </w:p>
    <w:p w:rsidR="00B77C17" w:rsidRPr="00B77C17" w:rsidRDefault="00B77C17" w:rsidP="00B77C17">
      <w:pPr>
        <w:pStyle w:val="Bibliographie"/>
        <w:rPr>
          <w:rFonts w:cs="Times New Roman"/>
          <w:lang w:val="en-US"/>
        </w:rPr>
      </w:pPr>
      <w:r w:rsidRPr="00B77C17">
        <w:rPr>
          <w:rFonts w:cs="Times New Roman"/>
          <w:lang w:val="en-US"/>
        </w:rPr>
        <w:t>9.</w:t>
      </w:r>
      <w:r w:rsidRPr="00B77C17">
        <w:rPr>
          <w:rFonts w:cs="Times New Roman"/>
          <w:lang w:val="en-US"/>
        </w:rPr>
        <w:tab/>
        <w:t xml:space="preserve">Zhang, W., Yan, D., Lu, W. &amp; Li, Z. Carbon and nitrogen co-doping enhances phase stability and mechanical properties of a metastable high-entropy alloy. </w:t>
      </w:r>
      <w:r w:rsidRPr="00B77C17">
        <w:rPr>
          <w:rFonts w:cs="Times New Roman"/>
          <w:i/>
          <w:iCs/>
          <w:lang w:val="en-US"/>
        </w:rPr>
        <w:t>Journal of Alloys and Compounds</w:t>
      </w:r>
      <w:r w:rsidRPr="00B77C17">
        <w:rPr>
          <w:rFonts w:cs="Times New Roman"/>
          <w:lang w:val="en-US"/>
        </w:rPr>
        <w:t xml:space="preserve"> </w:t>
      </w:r>
      <w:r w:rsidRPr="00B77C17">
        <w:rPr>
          <w:rFonts w:cs="Times New Roman"/>
          <w:b/>
          <w:bCs/>
          <w:lang w:val="en-US"/>
        </w:rPr>
        <w:t>831</w:t>
      </w:r>
      <w:r w:rsidRPr="00B77C17">
        <w:rPr>
          <w:rFonts w:cs="Times New Roman"/>
          <w:lang w:val="en-US"/>
        </w:rPr>
        <w:t>, 154799 (2020).</w:t>
      </w:r>
    </w:p>
    <w:p w:rsidR="00B77C17" w:rsidRPr="00B77C17" w:rsidRDefault="00B77C17" w:rsidP="00B77C17">
      <w:pPr>
        <w:pStyle w:val="Bibliographie"/>
        <w:rPr>
          <w:rFonts w:cs="Times New Roman"/>
          <w:lang w:val="en-US"/>
        </w:rPr>
      </w:pPr>
      <w:r w:rsidRPr="00B77C17">
        <w:rPr>
          <w:rFonts w:cs="Times New Roman"/>
          <w:lang w:val="en-US"/>
        </w:rPr>
        <w:lastRenderedPageBreak/>
        <w:t>10.</w:t>
      </w:r>
      <w:r w:rsidRPr="00B77C17">
        <w:rPr>
          <w:rFonts w:cs="Times New Roman"/>
          <w:lang w:val="en-US"/>
        </w:rPr>
        <w:tab/>
        <w:t xml:space="preserve">Miracle, D. B. &amp; Senkov, O. N. A critical review of high entropy alloys and related concepts. </w:t>
      </w:r>
      <w:r w:rsidRPr="00B77C17">
        <w:rPr>
          <w:rFonts w:cs="Times New Roman"/>
          <w:i/>
          <w:iCs/>
          <w:lang w:val="en-US"/>
        </w:rPr>
        <w:t>Acta Materialia</w:t>
      </w:r>
      <w:r w:rsidRPr="00B77C17">
        <w:rPr>
          <w:rFonts w:cs="Times New Roman"/>
          <w:lang w:val="en-US"/>
        </w:rPr>
        <w:t xml:space="preserve"> </w:t>
      </w:r>
      <w:r w:rsidRPr="00B77C17">
        <w:rPr>
          <w:rFonts w:cs="Times New Roman"/>
          <w:b/>
          <w:bCs/>
          <w:lang w:val="en-US"/>
        </w:rPr>
        <w:t>122</w:t>
      </w:r>
      <w:r w:rsidRPr="00B77C17">
        <w:rPr>
          <w:rFonts w:cs="Times New Roman"/>
          <w:lang w:val="en-US"/>
        </w:rPr>
        <w:t>, 448–511 (2017).</w:t>
      </w:r>
    </w:p>
    <w:p w:rsidR="00B77C17" w:rsidRPr="00B77C17" w:rsidRDefault="00B77C17" w:rsidP="00B77C17">
      <w:pPr>
        <w:pStyle w:val="Bibliographie"/>
        <w:rPr>
          <w:rFonts w:cs="Times New Roman"/>
          <w:lang w:val="en-US"/>
        </w:rPr>
      </w:pPr>
      <w:r w:rsidRPr="00B77C17">
        <w:rPr>
          <w:rFonts w:cs="Times New Roman"/>
          <w:lang w:val="en-US"/>
        </w:rPr>
        <w:t>11.</w:t>
      </w:r>
      <w:r w:rsidRPr="00B77C17">
        <w:rPr>
          <w:rFonts w:cs="Times New Roman"/>
          <w:lang w:val="en-US"/>
        </w:rPr>
        <w:tab/>
        <w:t xml:space="preserve">Pickering, E. J. &amp; Jones, N. G. High-entropy alloys: a critical assessment of their founding principles and future prospects. </w:t>
      </w:r>
      <w:r w:rsidRPr="00B77C17">
        <w:rPr>
          <w:rFonts w:cs="Times New Roman"/>
          <w:i/>
          <w:iCs/>
          <w:lang w:val="en-US"/>
        </w:rPr>
        <w:t>International Materials Reviews</w:t>
      </w:r>
      <w:r w:rsidRPr="00B77C17">
        <w:rPr>
          <w:rFonts w:cs="Times New Roman"/>
          <w:lang w:val="en-US"/>
        </w:rPr>
        <w:t xml:space="preserve"> </w:t>
      </w:r>
      <w:r w:rsidRPr="00B77C17">
        <w:rPr>
          <w:rFonts w:cs="Times New Roman"/>
          <w:b/>
          <w:bCs/>
          <w:lang w:val="en-US"/>
        </w:rPr>
        <w:t>61</w:t>
      </w:r>
      <w:r w:rsidRPr="00B77C17">
        <w:rPr>
          <w:rFonts w:cs="Times New Roman"/>
          <w:lang w:val="en-US"/>
        </w:rPr>
        <w:t>, 183–202 (2016).</w:t>
      </w:r>
    </w:p>
    <w:p w:rsidR="00B77C17" w:rsidRPr="00B77C17" w:rsidRDefault="00B77C17" w:rsidP="00B77C17">
      <w:pPr>
        <w:pStyle w:val="Bibliographie"/>
        <w:rPr>
          <w:rFonts w:cs="Times New Roman"/>
          <w:lang w:val="en-US"/>
        </w:rPr>
      </w:pPr>
      <w:r w:rsidRPr="00B77C17">
        <w:rPr>
          <w:rFonts w:cs="Times New Roman"/>
          <w:lang w:val="en-US"/>
        </w:rPr>
        <w:t>12.</w:t>
      </w:r>
      <w:r w:rsidRPr="00B77C17">
        <w:rPr>
          <w:rFonts w:cs="Times New Roman"/>
          <w:lang w:val="en-US"/>
        </w:rPr>
        <w:tab/>
        <w:t xml:space="preserve">Tsai, K.-Y., Tsai, M.-H. &amp; Yeh, J.-W. Sluggish diffusion in Co–Cr–Fe–Mn–Ni high-entropy alloys. </w:t>
      </w:r>
      <w:r w:rsidRPr="00B77C17">
        <w:rPr>
          <w:rFonts w:cs="Times New Roman"/>
          <w:i/>
          <w:iCs/>
          <w:lang w:val="en-US"/>
        </w:rPr>
        <w:t>Acta Materialia</w:t>
      </w:r>
      <w:r w:rsidRPr="00B77C17">
        <w:rPr>
          <w:rFonts w:cs="Times New Roman"/>
          <w:lang w:val="en-US"/>
        </w:rPr>
        <w:t xml:space="preserve"> </w:t>
      </w:r>
      <w:r w:rsidRPr="00B77C17">
        <w:rPr>
          <w:rFonts w:cs="Times New Roman"/>
          <w:b/>
          <w:bCs/>
          <w:lang w:val="en-US"/>
        </w:rPr>
        <w:t>61</w:t>
      </w:r>
      <w:r w:rsidRPr="00B77C17">
        <w:rPr>
          <w:rFonts w:cs="Times New Roman"/>
          <w:lang w:val="en-US"/>
        </w:rPr>
        <w:t>, 4887–4897 (2013).</w:t>
      </w:r>
    </w:p>
    <w:p w:rsidR="00B77C17" w:rsidRPr="00B77C17" w:rsidRDefault="00B77C17" w:rsidP="00B77C17">
      <w:pPr>
        <w:pStyle w:val="Bibliographie"/>
        <w:rPr>
          <w:rFonts w:cs="Times New Roman"/>
          <w:lang w:val="en-US"/>
        </w:rPr>
      </w:pPr>
      <w:r w:rsidRPr="00B77C17">
        <w:rPr>
          <w:rFonts w:cs="Times New Roman"/>
          <w:lang w:val="en-US"/>
        </w:rPr>
        <w:t>13.</w:t>
      </w:r>
      <w:r w:rsidRPr="00B77C17">
        <w:rPr>
          <w:rFonts w:cs="Times New Roman"/>
          <w:lang w:val="en-US"/>
        </w:rPr>
        <w:tab/>
        <w:t xml:space="preserve">Gao, Michael C. </w:t>
      </w:r>
      <w:r w:rsidRPr="00B77C17">
        <w:rPr>
          <w:rFonts w:cs="Times New Roman"/>
          <w:i/>
          <w:iCs/>
          <w:lang w:val="en-US"/>
        </w:rPr>
        <w:t>High-Entropy Alloys: Fundamentals and Applications</w:t>
      </w:r>
      <w:r w:rsidRPr="00B77C17">
        <w:rPr>
          <w:rFonts w:cs="Times New Roman"/>
          <w:lang w:val="en-US"/>
        </w:rPr>
        <w:t>. (Springer, 2018).</w:t>
      </w:r>
    </w:p>
    <w:p w:rsidR="00B77C17" w:rsidRPr="00B77C17" w:rsidRDefault="00B77C17" w:rsidP="00B77C17">
      <w:pPr>
        <w:pStyle w:val="Bibliographie"/>
        <w:rPr>
          <w:rFonts w:cs="Times New Roman"/>
          <w:lang w:val="en-US"/>
        </w:rPr>
      </w:pPr>
      <w:r w:rsidRPr="00B77C17">
        <w:rPr>
          <w:rFonts w:cs="Times New Roman"/>
          <w:lang w:val="en-US"/>
        </w:rPr>
        <w:t>14.</w:t>
      </w:r>
      <w:r w:rsidRPr="00B77C17">
        <w:rPr>
          <w:rFonts w:cs="Times New Roman"/>
          <w:lang w:val="en-US"/>
        </w:rPr>
        <w:tab/>
        <w:t xml:space="preserve">Jain, A. &amp; Bligaard, T. Atomic-position independent descriptor for machine learning of material properties. </w:t>
      </w:r>
      <w:r w:rsidRPr="00B77C17">
        <w:rPr>
          <w:rFonts w:cs="Times New Roman"/>
          <w:i/>
          <w:iCs/>
          <w:lang w:val="en-US"/>
        </w:rPr>
        <w:t>Phys. Rev. B</w:t>
      </w:r>
      <w:r w:rsidRPr="00B77C17">
        <w:rPr>
          <w:rFonts w:cs="Times New Roman"/>
          <w:lang w:val="en-US"/>
        </w:rPr>
        <w:t xml:space="preserve"> </w:t>
      </w:r>
      <w:r w:rsidRPr="00B77C17">
        <w:rPr>
          <w:rFonts w:cs="Times New Roman"/>
          <w:b/>
          <w:bCs/>
          <w:lang w:val="en-US"/>
        </w:rPr>
        <w:t>98</w:t>
      </w:r>
      <w:r w:rsidRPr="00B77C17">
        <w:rPr>
          <w:rFonts w:cs="Times New Roman"/>
          <w:lang w:val="en-US"/>
        </w:rPr>
        <w:t>, (2018).</w:t>
      </w:r>
    </w:p>
    <w:p w:rsidR="00B77C17" w:rsidRPr="00B77C17" w:rsidRDefault="00B77C17" w:rsidP="00B77C17">
      <w:pPr>
        <w:pStyle w:val="Bibliographie"/>
        <w:rPr>
          <w:rFonts w:cs="Times New Roman"/>
          <w:lang w:val="en-US"/>
        </w:rPr>
      </w:pPr>
      <w:r w:rsidRPr="00B77C17">
        <w:rPr>
          <w:rFonts w:cs="Times New Roman"/>
          <w:lang w:val="en-US"/>
        </w:rPr>
        <w:t>15.</w:t>
      </w:r>
      <w:r w:rsidRPr="00B77C17">
        <w:rPr>
          <w:rFonts w:cs="Times New Roman"/>
          <w:lang w:val="en-US"/>
        </w:rPr>
        <w:tab/>
        <w:t xml:space="preserve">Goodall, R. E. A. &amp; Lee, A. A. Predicting materials properties without crystal structure: deep representation learning from stoichiometry. </w:t>
      </w:r>
      <w:r w:rsidRPr="00B77C17">
        <w:rPr>
          <w:rFonts w:cs="Times New Roman"/>
          <w:i/>
          <w:iCs/>
          <w:lang w:val="en-US"/>
        </w:rPr>
        <w:t>Nat Commun</w:t>
      </w:r>
      <w:r w:rsidRPr="00B77C17">
        <w:rPr>
          <w:rFonts w:cs="Times New Roman"/>
          <w:lang w:val="en-US"/>
        </w:rPr>
        <w:t xml:space="preserve"> </w:t>
      </w:r>
      <w:r w:rsidRPr="00B77C17">
        <w:rPr>
          <w:rFonts w:cs="Times New Roman"/>
          <w:b/>
          <w:bCs/>
          <w:lang w:val="en-US"/>
        </w:rPr>
        <w:t>11</w:t>
      </w:r>
      <w:r w:rsidRPr="00B77C17">
        <w:rPr>
          <w:rFonts w:cs="Times New Roman"/>
          <w:lang w:val="en-US"/>
        </w:rPr>
        <w:t>, (2020).</w:t>
      </w:r>
    </w:p>
    <w:p w:rsidR="00B77C17" w:rsidRPr="00B77C17" w:rsidRDefault="00B77C17" w:rsidP="00B77C17">
      <w:pPr>
        <w:pStyle w:val="Bibliographie"/>
        <w:rPr>
          <w:rFonts w:cs="Times New Roman"/>
          <w:lang w:val="en-US"/>
        </w:rPr>
      </w:pPr>
      <w:r w:rsidRPr="00B77C17">
        <w:rPr>
          <w:rFonts w:cs="Times New Roman"/>
          <w:lang w:val="en-US"/>
        </w:rPr>
        <w:t>16.</w:t>
      </w:r>
      <w:r w:rsidRPr="00B77C17">
        <w:rPr>
          <w:rFonts w:cs="Times New Roman"/>
          <w:lang w:val="en-US"/>
        </w:rPr>
        <w:tab/>
        <w:t xml:space="preserve">Janet, J. P. &amp; Kulik, H. J. Resolving Transition Metal Chemical Space: Feature Selection for Machine Learning and Structure–Property Relationships. </w:t>
      </w:r>
      <w:r w:rsidRPr="00B77C17">
        <w:rPr>
          <w:rFonts w:cs="Times New Roman"/>
          <w:i/>
          <w:iCs/>
          <w:lang w:val="en-US"/>
        </w:rPr>
        <w:t>J. Phys. Chem. A</w:t>
      </w:r>
      <w:r w:rsidRPr="00B77C17">
        <w:rPr>
          <w:rFonts w:cs="Times New Roman"/>
          <w:lang w:val="en-US"/>
        </w:rPr>
        <w:t xml:space="preserve"> </w:t>
      </w:r>
      <w:r w:rsidRPr="00B77C17">
        <w:rPr>
          <w:rFonts w:cs="Times New Roman"/>
          <w:b/>
          <w:bCs/>
          <w:lang w:val="en-US"/>
        </w:rPr>
        <w:t>121</w:t>
      </w:r>
      <w:r w:rsidRPr="00B77C17">
        <w:rPr>
          <w:rFonts w:cs="Times New Roman"/>
          <w:lang w:val="en-US"/>
        </w:rPr>
        <w:t>, 8939–8954 (2017).</w:t>
      </w:r>
    </w:p>
    <w:p w:rsidR="00B77C17" w:rsidRPr="00B77C17" w:rsidRDefault="00B77C17" w:rsidP="00B77C17">
      <w:pPr>
        <w:pStyle w:val="Bibliographie"/>
        <w:rPr>
          <w:rFonts w:cs="Times New Roman"/>
          <w:lang w:val="en-US"/>
        </w:rPr>
      </w:pPr>
      <w:r w:rsidRPr="00B77C17">
        <w:rPr>
          <w:rFonts w:cs="Times New Roman"/>
          <w:lang w:val="en-US"/>
        </w:rPr>
        <w:t>17.</w:t>
      </w:r>
      <w:r w:rsidRPr="00B77C17">
        <w:rPr>
          <w:rFonts w:cs="Times New Roman"/>
          <w:lang w:val="en-US"/>
        </w:rPr>
        <w:tab/>
        <w:t xml:space="preserve">Isayev, O. </w:t>
      </w:r>
      <w:r w:rsidRPr="00B77C17">
        <w:rPr>
          <w:rFonts w:cs="Times New Roman"/>
          <w:i/>
          <w:iCs/>
          <w:lang w:val="en-US"/>
        </w:rPr>
        <w:t>et al.</w:t>
      </w:r>
      <w:r w:rsidRPr="00B77C17">
        <w:rPr>
          <w:rFonts w:cs="Times New Roman"/>
          <w:lang w:val="en-US"/>
        </w:rPr>
        <w:t xml:space="preserve"> Universal fragment descriptors for predicting properties of inorganic crystals. </w:t>
      </w:r>
      <w:r w:rsidRPr="00B77C17">
        <w:rPr>
          <w:rFonts w:cs="Times New Roman"/>
          <w:i/>
          <w:iCs/>
          <w:lang w:val="en-US"/>
        </w:rPr>
        <w:t>Nat Commun</w:t>
      </w:r>
      <w:r w:rsidRPr="00B77C17">
        <w:rPr>
          <w:rFonts w:cs="Times New Roman"/>
          <w:lang w:val="en-US"/>
        </w:rPr>
        <w:t xml:space="preserve"> </w:t>
      </w:r>
      <w:r w:rsidRPr="00B77C17">
        <w:rPr>
          <w:rFonts w:cs="Times New Roman"/>
          <w:b/>
          <w:bCs/>
          <w:lang w:val="en-US"/>
        </w:rPr>
        <w:t>8</w:t>
      </w:r>
      <w:r w:rsidRPr="00B77C17">
        <w:rPr>
          <w:rFonts w:cs="Times New Roman"/>
          <w:lang w:val="en-US"/>
        </w:rPr>
        <w:t>, (2017).</w:t>
      </w:r>
    </w:p>
    <w:p w:rsidR="00B77C17" w:rsidRPr="00B77C17" w:rsidRDefault="00B77C17" w:rsidP="00B77C17">
      <w:pPr>
        <w:pStyle w:val="Bibliographie"/>
        <w:rPr>
          <w:rFonts w:cs="Times New Roman"/>
          <w:lang w:val="en-US"/>
        </w:rPr>
      </w:pPr>
      <w:r w:rsidRPr="00B77C17">
        <w:rPr>
          <w:rFonts w:cs="Times New Roman"/>
          <w:lang w:val="en-US"/>
        </w:rPr>
        <w:t>18.</w:t>
      </w:r>
      <w:r w:rsidRPr="00B77C17">
        <w:rPr>
          <w:rFonts w:cs="Times New Roman"/>
          <w:lang w:val="en-US"/>
        </w:rPr>
        <w:tab/>
        <w:t xml:space="preserve">Choudhary, K., DeCost, B. &amp; Tavazza, F. Machine learning with force-field-inspired descriptors for materials: Fast screening and mapping energy landscape. </w:t>
      </w:r>
      <w:r w:rsidRPr="00B77C17">
        <w:rPr>
          <w:rFonts w:cs="Times New Roman"/>
          <w:i/>
          <w:iCs/>
          <w:lang w:val="en-US"/>
        </w:rPr>
        <w:t>Phys. Rev. Materials</w:t>
      </w:r>
      <w:r w:rsidRPr="00B77C17">
        <w:rPr>
          <w:rFonts w:cs="Times New Roman"/>
          <w:lang w:val="en-US"/>
        </w:rPr>
        <w:t xml:space="preserve"> </w:t>
      </w:r>
      <w:r w:rsidRPr="00B77C17">
        <w:rPr>
          <w:rFonts w:cs="Times New Roman"/>
          <w:b/>
          <w:bCs/>
          <w:lang w:val="en-US"/>
        </w:rPr>
        <w:t>2</w:t>
      </w:r>
      <w:r w:rsidRPr="00B77C17">
        <w:rPr>
          <w:rFonts w:cs="Times New Roman"/>
          <w:lang w:val="en-US"/>
        </w:rPr>
        <w:t>, (2018).</w:t>
      </w:r>
    </w:p>
    <w:p w:rsidR="00B77C17" w:rsidRPr="00B77C17" w:rsidRDefault="00B77C17" w:rsidP="00B77C17">
      <w:pPr>
        <w:pStyle w:val="Bibliographie"/>
        <w:rPr>
          <w:rFonts w:cs="Times New Roman"/>
          <w:lang w:val="en-US"/>
        </w:rPr>
      </w:pPr>
      <w:r w:rsidRPr="00B77C17">
        <w:rPr>
          <w:rFonts w:cs="Times New Roman"/>
          <w:lang w:val="en-US"/>
        </w:rPr>
        <w:t>19.</w:t>
      </w:r>
      <w:r w:rsidRPr="00B77C17">
        <w:rPr>
          <w:rFonts w:cs="Times New Roman"/>
          <w:lang w:val="en-US"/>
        </w:rPr>
        <w:tab/>
        <w:t xml:space="preserve">Karamad, M. </w:t>
      </w:r>
      <w:r w:rsidRPr="00B77C17">
        <w:rPr>
          <w:rFonts w:cs="Times New Roman"/>
          <w:i/>
          <w:iCs/>
          <w:lang w:val="en-US"/>
        </w:rPr>
        <w:t>et al.</w:t>
      </w:r>
      <w:r w:rsidRPr="00B77C17">
        <w:rPr>
          <w:rFonts w:cs="Times New Roman"/>
          <w:lang w:val="en-US"/>
        </w:rPr>
        <w:t xml:space="preserve"> Orbital graph convolutional neural network for material property prediction. </w:t>
      </w:r>
      <w:r w:rsidRPr="00B77C17">
        <w:rPr>
          <w:rFonts w:cs="Times New Roman"/>
          <w:i/>
          <w:iCs/>
          <w:lang w:val="en-US"/>
        </w:rPr>
        <w:t>Phys. Rev. Materials</w:t>
      </w:r>
      <w:r w:rsidRPr="00B77C17">
        <w:rPr>
          <w:rFonts w:cs="Times New Roman"/>
          <w:lang w:val="en-US"/>
        </w:rPr>
        <w:t xml:space="preserve"> </w:t>
      </w:r>
      <w:r w:rsidRPr="00B77C17">
        <w:rPr>
          <w:rFonts w:cs="Times New Roman"/>
          <w:b/>
          <w:bCs/>
          <w:lang w:val="en-US"/>
        </w:rPr>
        <w:t>4</w:t>
      </w:r>
      <w:r w:rsidRPr="00B77C17">
        <w:rPr>
          <w:rFonts w:cs="Times New Roman"/>
          <w:lang w:val="en-US"/>
        </w:rPr>
        <w:t>, (2020).</w:t>
      </w:r>
    </w:p>
    <w:p w:rsidR="00B77C17" w:rsidRPr="00B77C17" w:rsidRDefault="00B77C17" w:rsidP="00B77C17">
      <w:pPr>
        <w:pStyle w:val="Bibliographie"/>
        <w:rPr>
          <w:rFonts w:cs="Times New Roman"/>
          <w:lang w:val="en-US"/>
        </w:rPr>
      </w:pPr>
      <w:r w:rsidRPr="00B77C17">
        <w:rPr>
          <w:rFonts w:cs="Times New Roman"/>
          <w:lang w:val="en-US"/>
        </w:rPr>
        <w:t>20.</w:t>
      </w:r>
      <w:r w:rsidRPr="00B77C17">
        <w:rPr>
          <w:rFonts w:cs="Times New Roman"/>
          <w:lang w:val="en-US"/>
        </w:rPr>
        <w:tab/>
        <w:t xml:space="preserve">Tian, X. </w:t>
      </w:r>
      <w:r w:rsidRPr="00B77C17">
        <w:rPr>
          <w:rFonts w:cs="Times New Roman"/>
          <w:i/>
          <w:iCs/>
          <w:lang w:val="en-US"/>
        </w:rPr>
        <w:t>et al.</w:t>
      </w:r>
      <w:r w:rsidRPr="00B77C17">
        <w:rPr>
          <w:rFonts w:cs="Times New Roman"/>
          <w:lang w:val="en-US"/>
        </w:rPr>
        <w:t xml:space="preserve"> Atomistic graph networks for experimental materials property prediction. (2021).</w:t>
      </w:r>
    </w:p>
    <w:p w:rsidR="00B77C17" w:rsidRPr="00B77C17" w:rsidRDefault="00B77C17" w:rsidP="00B77C17">
      <w:pPr>
        <w:pStyle w:val="Bibliographie"/>
        <w:rPr>
          <w:rFonts w:cs="Times New Roman"/>
          <w:lang w:val="en-US"/>
        </w:rPr>
      </w:pPr>
      <w:r w:rsidRPr="00B77C17">
        <w:rPr>
          <w:rFonts w:cs="Times New Roman"/>
          <w:lang w:val="en-US"/>
        </w:rPr>
        <w:t>21.</w:t>
      </w:r>
      <w:r w:rsidRPr="00B77C17">
        <w:rPr>
          <w:rFonts w:cs="Times New Roman"/>
          <w:lang w:val="en-US"/>
        </w:rPr>
        <w:tab/>
        <w:t xml:space="preserve">A., V. </w:t>
      </w:r>
      <w:r w:rsidRPr="00B77C17">
        <w:rPr>
          <w:rFonts w:cs="Times New Roman"/>
          <w:i/>
          <w:iCs/>
          <w:lang w:val="en-US"/>
        </w:rPr>
        <w:t>et al.</w:t>
      </w:r>
      <w:r w:rsidRPr="00B77C17">
        <w:rPr>
          <w:rFonts w:cs="Times New Roman"/>
          <w:lang w:val="en-US"/>
        </w:rPr>
        <w:t xml:space="preserve"> Learning Atoms from Crystal Structure. (2024).</w:t>
      </w:r>
    </w:p>
    <w:p w:rsidR="00B77C17" w:rsidRPr="00B77C17" w:rsidRDefault="00B77C17" w:rsidP="00B77C17">
      <w:pPr>
        <w:pStyle w:val="Bibliographie"/>
        <w:rPr>
          <w:rFonts w:cs="Times New Roman"/>
          <w:lang w:val="en-US"/>
        </w:rPr>
      </w:pPr>
      <w:r w:rsidRPr="00B77C17">
        <w:rPr>
          <w:rFonts w:cs="Times New Roman"/>
          <w:lang w:val="en-US"/>
        </w:rPr>
        <w:lastRenderedPageBreak/>
        <w:t>22.</w:t>
      </w:r>
      <w:r w:rsidRPr="00B77C17">
        <w:rPr>
          <w:rFonts w:cs="Times New Roman"/>
          <w:lang w:val="en-US"/>
        </w:rPr>
        <w:tab/>
        <w:t xml:space="preserve">Zhang, R., Seth, S. &amp; Cumby, J. New generalized crystallographic descriptors for structural machine learning. </w:t>
      </w:r>
      <w:r w:rsidRPr="00B77C17">
        <w:rPr>
          <w:rFonts w:cs="Times New Roman"/>
          <w:i/>
          <w:iCs/>
          <w:lang w:val="en-US"/>
        </w:rPr>
        <w:t>Acta Crystallogr A Found Adv</w:t>
      </w:r>
      <w:r w:rsidRPr="00B77C17">
        <w:rPr>
          <w:rFonts w:cs="Times New Roman"/>
          <w:lang w:val="en-US"/>
        </w:rPr>
        <w:t xml:space="preserve"> </w:t>
      </w:r>
      <w:r w:rsidRPr="00B77C17">
        <w:rPr>
          <w:rFonts w:cs="Times New Roman"/>
          <w:b/>
          <w:bCs/>
          <w:lang w:val="en-US"/>
        </w:rPr>
        <w:t>77</w:t>
      </w:r>
      <w:r w:rsidRPr="00B77C17">
        <w:rPr>
          <w:rFonts w:cs="Times New Roman"/>
          <w:lang w:val="en-US"/>
        </w:rPr>
        <w:t>, C476–C476 (2021).</w:t>
      </w:r>
    </w:p>
    <w:p w:rsidR="00B77C17" w:rsidRPr="00B77C17" w:rsidRDefault="00B77C17" w:rsidP="00B77C17">
      <w:pPr>
        <w:pStyle w:val="Bibliographie"/>
        <w:rPr>
          <w:rFonts w:cs="Times New Roman"/>
          <w:lang w:val="en-US"/>
        </w:rPr>
      </w:pPr>
      <w:r w:rsidRPr="00B77C17">
        <w:rPr>
          <w:rFonts w:cs="Times New Roman"/>
          <w:lang w:val="en-US"/>
        </w:rPr>
        <w:t>23.</w:t>
      </w:r>
      <w:r w:rsidRPr="00B77C17">
        <w:rPr>
          <w:rFonts w:cs="Times New Roman"/>
          <w:lang w:val="en-US"/>
        </w:rPr>
        <w:tab/>
        <w:t xml:space="preserve">Electronegativity. </w:t>
      </w:r>
      <w:r w:rsidRPr="00B77C17">
        <w:rPr>
          <w:rFonts w:cs="Times New Roman"/>
          <w:i/>
          <w:iCs/>
          <w:lang w:val="en-US"/>
        </w:rPr>
        <w:t>Wikipedia</w:t>
      </w:r>
      <w:r w:rsidRPr="00B77C17">
        <w:rPr>
          <w:rFonts w:cs="Times New Roman"/>
          <w:lang w:val="en-US"/>
        </w:rPr>
        <w:t xml:space="preserve"> (2025).</w:t>
      </w:r>
    </w:p>
    <w:p w:rsidR="00B77C17" w:rsidRPr="00B77C17" w:rsidRDefault="00B77C17" w:rsidP="00B77C17">
      <w:pPr>
        <w:pStyle w:val="Bibliographie"/>
        <w:rPr>
          <w:rFonts w:cs="Times New Roman"/>
          <w:lang w:val="en-US"/>
        </w:rPr>
      </w:pPr>
      <w:r w:rsidRPr="00B77C17">
        <w:rPr>
          <w:rFonts w:cs="Times New Roman"/>
          <w:lang w:val="en-US"/>
        </w:rPr>
        <w:t>24.</w:t>
      </w:r>
      <w:r w:rsidRPr="00B77C17">
        <w:rPr>
          <w:rFonts w:cs="Times New Roman"/>
          <w:lang w:val="en-US"/>
        </w:rPr>
        <w:tab/>
        <w:t xml:space="preserve">Lang, P. F. Revisiting Electronegativity and Electronegativity Scales. </w:t>
      </w:r>
      <w:r w:rsidRPr="00B77C17">
        <w:rPr>
          <w:rFonts w:cs="Times New Roman"/>
          <w:i/>
          <w:iCs/>
          <w:lang w:val="en-US"/>
        </w:rPr>
        <w:t>J. Chem. Educ.</w:t>
      </w:r>
      <w:r w:rsidRPr="00B77C17">
        <w:rPr>
          <w:rFonts w:cs="Times New Roman"/>
          <w:lang w:val="en-US"/>
        </w:rPr>
        <w:t xml:space="preserve"> </w:t>
      </w:r>
      <w:r w:rsidRPr="00B77C17">
        <w:rPr>
          <w:rFonts w:cs="Times New Roman"/>
          <w:b/>
          <w:bCs/>
          <w:lang w:val="en-US"/>
        </w:rPr>
        <w:t>102</w:t>
      </w:r>
      <w:r w:rsidRPr="00B77C17">
        <w:rPr>
          <w:rFonts w:cs="Times New Roman"/>
          <w:lang w:val="en-US"/>
        </w:rPr>
        <w:t>, 424–429 (2025).</w:t>
      </w:r>
    </w:p>
    <w:p w:rsidR="00B77C17" w:rsidRPr="00B77C17" w:rsidRDefault="00B77C17" w:rsidP="00B77C17">
      <w:pPr>
        <w:pStyle w:val="Bibliographie"/>
        <w:rPr>
          <w:rFonts w:cs="Times New Roman"/>
          <w:lang w:val="en-US"/>
        </w:rPr>
      </w:pPr>
      <w:r w:rsidRPr="00B77C17">
        <w:rPr>
          <w:rFonts w:cs="Times New Roman"/>
          <w:lang w:val="en-US"/>
        </w:rPr>
        <w:t>25.</w:t>
      </w:r>
      <w:r w:rsidRPr="00B77C17">
        <w:rPr>
          <w:rFonts w:cs="Times New Roman"/>
          <w:lang w:val="en-US"/>
        </w:rPr>
        <w:tab/>
        <w:t xml:space="preserve">Ramprasad, R., Batra, R., Pilania, G., Mannodi-Kanakkithodi, A. &amp; Kim, C. Machine learning in materials informatics: recent applications and prospects. </w:t>
      </w:r>
      <w:r w:rsidRPr="00B77C17">
        <w:rPr>
          <w:rFonts w:cs="Times New Roman"/>
          <w:i/>
          <w:iCs/>
          <w:lang w:val="en-US"/>
        </w:rPr>
        <w:t>npj Computational Materials</w:t>
      </w:r>
      <w:r w:rsidRPr="00B77C17">
        <w:rPr>
          <w:rFonts w:cs="Times New Roman"/>
          <w:lang w:val="en-US"/>
        </w:rPr>
        <w:t xml:space="preserve"> </w:t>
      </w:r>
      <w:r w:rsidRPr="00B77C17">
        <w:rPr>
          <w:rFonts w:cs="Times New Roman"/>
          <w:b/>
          <w:bCs/>
          <w:lang w:val="en-US"/>
        </w:rPr>
        <w:t>3</w:t>
      </w:r>
      <w:r w:rsidRPr="00B77C17">
        <w:rPr>
          <w:rFonts w:cs="Times New Roman"/>
          <w:lang w:val="en-US"/>
        </w:rPr>
        <w:t>, 54 (2017).</w:t>
      </w:r>
    </w:p>
    <w:p w:rsidR="00B77C17" w:rsidRPr="00B77C17" w:rsidRDefault="00B77C17" w:rsidP="00B77C17">
      <w:pPr>
        <w:pStyle w:val="Bibliographie"/>
        <w:rPr>
          <w:rFonts w:cs="Times New Roman"/>
          <w:lang w:val="en-US"/>
        </w:rPr>
      </w:pPr>
      <w:r w:rsidRPr="00B77C17">
        <w:rPr>
          <w:rFonts w:cs="Times New Roman"/>
          <w:lang w:val="en-US"/>
        </w:rPr>
        <w:t>26.</w:t>
      </w:r>
      <w:r w:rsidRPr="00B77C17">
        <w:rPr>
          <w:rFonts w:cs="Times New Roman"/>
          <w:lang w:val="en-US"/>
        </w:rPr>
        <w:tab/>
        <w:t xml:space="preserve">Allahyari, Z. &amp; Oganov, A. R. Nonempirical Definition of the Mendeleev Numbers: Organizing the Chemical Space. </w:t>
      </w:r>
      <w:r w:rsidRPr="00B77C17">
        <w:rPr>
          <w:rFonts w:cs="Times New Roman"/>
          <w:i/>
          <w:iCs/>
          <w:lang w:val="en-US"/>
        </w:rPr>
        <w:t>J. Phys. Chem. C</w:t>
      </w:r>
      <w:r w:rsidRPr="00B77C17">
        <w:rPr>
          <w:rFonts w:cs="Times New Roman"/>
          <w:lang w:val="en-US"/>
        </w:rPr>
        <w:t xml:space="preserve"> </w:t>
      </w:r>
      <w:r w:rsidRPr="00B77C17">
        <w:rPr>
          <w:rFonts w:cs="Times New Roman"/>
          <w:b/>
          <w:bCs/>
          <w:lang w:val="en-US"/>
        </w:rPr>
        <w:t>124</w:t>
      </w:r>
      <w:r w:rsidRPr="00B77C17">
        <w:rPr>
          <w:rFonts w:cs="Times New Roman"/>
          <w:lang w:val="en-US"/>
        </w:rPr>
        <w:t>, 23867–23878 (2020).</w:t>
      </w:r>
    </w:p>
    <w:p w:rsidR="00B77C17" w:rsidRPr="00B77C17" w:rsidRDefault="00B77C17" w:rsidP="00B77C17">
      <w:pPr>
        <w:pStyle w:val="Bibliographie"/>
        <w:rPr>
          <w:rFonts w:cs="Times New Roman"/>
        </w:rPr>
      </w:pPr>
      <w:r w:rsidRPr="00B77C17">
        <w:rPr>
          <w:rFonts w:cs="Times New Roman"/>
          <w:lang w:val="en-US"/>
        </w:rPr>
        <w:t>27.</w:t>
      </w:r>
      <w:r w:rsidRPr="00B77C17">
        <w:rPr>
          <w:rFonts w:cs="Times New Roman"/>
          <w:lang w:val="en-US"/>
        </w:rPr>
        <w:tab/>
        <w:t xml:space="preserve">Chen, W. </w:t>
      </w:r>
      <w:r w:rsidRPr="00B77C17">
        <w:rPr>
          <w:rFonts w:cs="Times New Roman"/>
          <w:i/>
          <w:iCs/>
          <w:lang w:val="en-US"/>
        </w:rPr>
        <w:t>et al.</w:t>
      </w:r>
      <w:r w:rsidRPr="00B77C17">
        <w:rPr>
          <w:rFonts w:cs="Times New Roman"/>
          <w:lang w:val="en-US"/>
        </w:rPr>
        <w:t xml:space="preserve"> A map of single-phase high-entropy alloys. </w:t>
      </w:r>
      <w:r w:rsidRPr="00B77C17">
        <w:rPr>
          <w:rFonts w:cs="Times New Roman"/>
          <w:i/>
          <w:iCs/>
        </w:rPr>
        <w:t>Nature Communications</w:t>
      </w:r>
      <w:r w:rsidRPr="00B77C17">
        <w:rPr>
          <w:rFonts w:cs="Times New Roman"/>
        </w:rPr>
        <w:t xml:space="preserve"> </w:t>
      </w:r>
      <w:r w:rsidRPr="00B77C17">
        <w:rPr>
          <w:rFonts w:cs="Times New Roman"/>
          <w:b/>
          <w:bCs/>
        </w:rPr>
        <w:t>14</w:t>
      </w:r>
      <w:r w:rsidRPr="00B77C17">
        <w:rPr>
          <w:rFonts w:cs="Times New Roman"/>
        </w:rPr>
        <w:t>, 2856 (2023).</w:t>
      </w:r>
    </w:p>
    <w:p w:rsidR="00B77C17" w:rsidRPr="00B77C17" w:rsidRDefault="00B77C17" w:rsidP="00B77C17">
      <w:pPr>
        <w:pStyle w:val="Bibliographie"/>
        <w:rPr>
          <w:rFonts w:cs="Times New Roman"/>
          <w:lang w:val="en-US"/>
        </w:rPr>
      </w:pPr>
      <w:r w:rsidRPr="00B77C17">
        <w:rPr>
          <w:rFonts w:cs="Times New Roman"/>
        </w:rPr>
        <w:t>28.</w:t>
      </w:r>
      <w:r w:rsidRPr="00B77C17">
        <w:rPr>
          <w:rFonts w:cs="Times New Roman"/>
        </w:rPr>
        <w:tab/>
        <w:t xml:space="preserve">Nutor, R. K. </w:t>
      </w:r>
      <w:r w:rsidRPr="00B77C17">
        <w:rPr>
          <w:rFonts w:cs="Times New Roman"/>
          <w:i/>
          <w:iCs/>
        </w:rPr>
        <w:t>et al.</w:t>
      </w:r>
      <w:r w:rsidRPr="00B77C17">
        <w:rPr>
          <w:rFonts w:cs="Times New Roman"/>
        </w:rPr>
        <w:t xml:space="preserve"> </w:t>
      </w:r>
      <w:r w:rsidRPr="00B77C17">
        <w:rPr>
          <w:rFonts w:cs="Times New Roman"/>
          <w:lang w:val="en-US"/>
        </w:rPr>
        <w:t xml:space="preserve">Phase Selection, Lattice Distortions, and Mechanical Properties in High-Entropy Alloys. </w:t>
      </w:r>
      <w:r w:rsidRPr="00B77C17">
        <w:rPr>
          <w:rFonts w:cs="Times New Roman"/>
          <w:i/>
          <w:iCs/>
          <w:lang w:val="en-US"/>
        </w:rPr>
        <w:t>Advanced Engineering Materials</w:t>
      </w:r>
      <w:r w:rsidRPr="00B77C17">
        <w:rPr>
          <w:rFonts w:cs="Times New Roman"/>
          <w:lang w:val="en-US"/>
        </w:rPr>
        <w:t xml:space="preserve"> </w:t>
      </w:r>
      <w:r w:rsidRPr="00B77C17">
        <w:rPr>
          <w:rFonts w:cs="Times New Roman"/>
          <w:b/>
          <w:bCs/>
          <w:lang w:val="en-US"/>
        </w:rPr>
        <w:t>22</w:t>
      </w:r>
      <w:r w:rsidRPr="00B77C17">
        <w:rPr>
          <w:rFonts w:cs="Times New Roman"/>
          <w:lang w:val="en-US"/>
        </w:rPr>
        <w:t>, 2000466 (2020).</w:t>
      </w:r>
    </w:p>
    <w:p w:rsidR="00B77C17" w:rsidRPr="00B77C17" w:rsidRDefault="00B77C17" w:rsidP="00B77C17">
      <w:pPr>
        <w:pStyle w:val="Bibliographie"/>
        <w:rPr>
          <w:rFonts w:cs="Times New Roman"/>
          <w:lang w:val="en-US"/>
        </w:rPr>
      </w:pPr>
      <w:r w:rsidRPr="00B77C17">
        <w:rPr>
          <w:rFonts w:cs="Times New Roman"/>
          <w:lang w:val="en-US"/>
        </w:rPr>
        <w:t>29.</w:t>
      </w:r>
      <w:r w:rsidRPr="00B77C17">
        <w:rPr>
          <w:rFonts w:cs="Times New Roman"/>
          <w:lang w:val="en-US"/>
        </w:rPr>
        <w:tab/>
        <w:t xml:space="preserve">Tan, L. </w:t>
      </w:r>
      <w:r w:rsidRPr="00B77C17">
        <w:rPr>
          <w:rFonts w:cs="Times New Roman"/>
          <w:i/>
          <w:iCs/>
          <w:lang w:val="en-US"/>
        </w:rPr>
        <w:t>et al.</w:t>
      </w:r>
      <w:r w:rsidRPr="00B77C17">
        <w:rPr>
          <w:rFonts w:cs="Times New Roman"/>
          <w:lang w:val="en-US"/>
        </w:rPr>
        <w:t xml:space="preserve"> Design Principles of low-activation High Entropy Alloys. </w:t>
      </w:r>
      <w:r w:rsidRPr="00B77C17">
        <w:rPr>
          <w:rFonts w:cs="Times New Roman"/>
          <w:i/>
          <w:iCs/>
          <w:lang w:val="en-US"/>
        </w:rPr>
        <w:t>Journal of Alloys and Compounds</w:t>
      </w:r>
      <w:r w:rsidRPr="00B77C17">
        <w:rPr>
          <w:rFonts w:cs="Times New Roman"/>
          <w:lang w:val="en-US"/>
        </w:rPr>
        <w:t xml:space="preserve"> </w:t>
      </w:r>
      <w:r w:rsidRPr="00B77C17">
        <w:rPr>
          <w:rFonts w:cs="Times New Roman"/>
          <w:b/>
          <w:bCs/>
          <w:lang w:val="en-US"/>
        </w:rPr>
        <w:t>907</w:t>
      </w:r>
      <w:r w:rsidRPr="00B77C17">
        <w:rPr>
          <w:rFonts w:cs="Times New Roman"/>
          <w:lang w:val="en-US"/>
        </w:rPr>
        <w:t>, 164526 (2022).</w:t>
      </w:r>
    </w:p>
    <w:p w:rsidR="00B77C17" w:rsidRPr="00B77C17" w:rsidRDefault="00B77C17" w:rsidP="00B77C17">
      <w:pPr>
        <w:pStyle w:val="Bibliographie"/>
        <w:rPr>
          <w:rFonts w:cs="Times New Roman"/>
          <w:lang w:val="en-US"/>
        </w:rPr>
      </w:pPr>
      <w:r w:rsidRPr="00B77C17">
        <w:rPr>
          <w:rFonts w:cs="Times New Roman"/>
          <w:lang w:val="en-US"/>
        </w:rPr>
        <w:t>30.</w:t>
      </w:r>
      <w:r w:rsidRPr="00B77C17">
        <w:rPr>
          <w:rFonts w:cs="Times New Roman"/>
          <w:lang w:val="en-US"/>
        </w:rPr>
        <w:tab/>
        <w:t xml:space="preserve">Chauhan, P., Chopra, S. &amp; Thangaraju, S. Inter-Dependency Relationships in High-Entropy Alloys: Phase Stability Criteria. </w:t>
      </w:r>
      <w:r w:rsidRPr="00B77C17">
        <w:rPr>
          <w:rFonts w:cs="Times New Roman"/>
          <w:i/>
          <w:iCs/>
          <w:lang w:val="en-US"/>
        </w:rPr>
        <w:t>Advanced Engineering Materials</w:t>
      </w:r>
      <w:r w:rsidRPr="00B77C17">
        <w:rPr>
          <w:rFonts w:cs="Times New Roman"/>
          <w:lang w:val="en-US"/>
        </w:rPr>
        <w:t xml:space="preserve"> </w:t>
      </w:r>
      <w:r w:rsidRPr="00B77C17">
        <w:rPr>
          <w:rFonts w:cs="Times New Roman"/>
          <w:b/>
          <w:bCs/>
          <w:lang w:val="en-US"/>
        </w:rPr>
        <w:t>21</w:t>
      </w:r>
      <w:r w:rsidRPr="00B77C17">
        <w:rPr>
          <w:rFonts w:cs="Times New Roman"/>
          <w:lang w:val="en-US"/>
        </w:rPr>
        <w:t>, 1900251 (2019).</w:t>
      </w:r>
    </w:p>
    <w:p w:rsidR="00B77C17" w:rsidRPr="00B77C17" w:rsidRDefault="00B77C17" w:rsidP="00B77C17">
      <w:pPr>
        <w:pStyle w:val="Bibliographie"/>
        <w:rPr>
          <w:rFonts w:cs="Times New Roman"/>
          <w:lang w:val="en-US"/>
        </w:rPr>
      </w:pPr>
      <w:r w:rsidRPr="00B77C17">
        <w:rPr>
          <w:rFonts w:cs="Times New Roman"/>
          <w:lang w:val="en-US"/>
        </w:rPr>
        <w:t>31.</w:t>
      </w:r>
      <w:r w:rsidRPr="00B77C17">
        <w:rPr>
          <w:rFonts w:cs="Times New Roman"/>
          <w:lang w:val="en-US"/>
        </w:rPr>
        <w:tab/>
        <w:t xml:space="preserve">Nutor, R. K. </w:t>
      </w:r>
      <w:r w:rsidRPr="00B77C17">
        <w:rPr>
          <w:rFonts w:cs="Times New Roman"/>
          <w:i/>
          <w:iCs/>
          <w:lang w:val="en-US"/>
        </w:rPr>
        <w:t>et al.</w:t>
      </w:r>
      <w:r w:rsidRPr="00B77C17">
        <w:rPr>
          <w:rFonts w:cs="Times New Roman"/>
          <w:lang w:val="en-US"/>
        </w:rPr>
        <w:t xml:space="preserve"> Phase Selection, Lattice Distortions, and Mechanical Properties in High-Entropy Alloys. </w:t>
      </w:r>
      <w:r w:rsidRPr="00B77C17">
        <w:rPr>
          <w:rFonts w:cs="Times New Roman"/>
          <w:i/>
          <w:iCs/>
          <w:lang w:val="en-US"/>
        </w:rPr>
        <w:t>Advanced Engineering Materials</w:t>
      </w:r>
      <w:r w:rsidRPr="00B77C17">
        <w:rPr>
          <w:rFonts w:cs="Times New Roman"/>
          <w:lang w:val="en-US"/>
        </w:rPr>
        <w:t xml:space="preserve"> </w:t>
      </w:r>
      <w:r w:rsidRPr="00B77C17">
        <w:rPr>
          <w:rFonts w:cs="Times New Roman"/>
          <w:b/>
          <w:bCs/>
          <w:lang w:val="en-US"/>
        </w:rPr>
        <w:t>22</w:t>
      </w:r>
      <w:r w:rsidRPr="00B77C17">
        <w:rPr>
          <w:rFonts w:cs="Times New Roman"/>
          <w:lang w:val="en-US"/>
        </w:rPr>
        <w:t>, 2000466 (2020).</w:t>
      </w:r>
    </w:p>
    <w:p w:rsidR="00B77C17" w:rsidRPr="00B77C17" w:rsidRDefault="00B77C17" w:rsidP="00B77C17">
      <w:pPr>
        <w:pStyle w:val="Bibliographie"/>
        <w:rPr>
          <w:rFonts w:cs="Times New Roman"/>
          <w:lang w:val="en-US"/>
        </w:rPr>
      </w:pPr>
      <w:r w:rsidRPr="00B77C17">
        <w:rPr>
          <w:rFonts w:cs="Times New Roman"/>
          <w:lang w:val="en-US"/>
        </w:rPr>
        <w:t>32.</w:t>
      </w:r>
      <w:r w:rsidRPr="00B77C17">
        <w:rPr>
          <w:rFonts w:cs="Times New Roman"/>
          <w:lang w:val="en-US"/>
        </w:rPr>
        <w:tab/>
        <w:t xml:space="preserve">Yang, X. &amp; Zhang, Y. Prediction of high-entropy stabilized solid-solution in multi-component alloys. </w:t>
      </w:r>
      <w:r w:rsidRPr="00B77C17">
        <w:rPr>
          <w:rFonts w:cs="Times New Roman"/>
          <w:i/>
          <w:iCs/>
          <w:lang w:val="en-US"/>
        </w:rPr>
        <w:t>Materials Chemistry and Physics</w:t>
      </w:r>
      <w:r w:rsidRPr="00B77C17">
        <w:rPr>
          <w:rFonts w:cs="Times New Roman"/>
          <w:lang w:val="en-US"/>
        </w:rPr>
        <w:t xml:space="preserve"> </w:t>
      </w:r>
      <w:r w:rsidRPr="00B77C17">
        <w:rPr>
          <w:rFonts w:cs="Times New Roman"/>
          <w:b/>
          <w:bCs/>
          <w:lang w:val="en-US"/>
        </w:rPr>
        <w:t>132</w:t>
      </w:r>
      <w:r w:rsidRPr="00B77C17">
        <w:rPr>
          <w:rFonts w:cs="Times New Roman"/>
          <w:lang w:val="en-US"/>
        </w:rPr>
        <w:t>, 233–238 (2012).</w:t>
      </w:r>
    </w:p>
    <w:p w:rsidR="00B77C17" w:rsidRPr="00B77C17" w:rsidRDefault="00B77C17" w:rsidP="00B77C17">
      <w:pPr>
        <w:pStyle w:val="Bibliographie"/>
        <w:rPr>
          <w:rFonts w:cs="Times New Roman"/>
          <w:lang w:val="en-US"/>
        </w:rPr>
      </w:pPr>
      <w:r w:rsidRPr="00B77C17">
        <w:rPr>
          <w:rFonts w:cs="Times New Roman"/>
          <w:lang w:val="en-US"/>
        </w:rPr>
        <w:t>33.</w:t>
      </w:r>
      <w:r w:rsidRPr="00B77C17">
        <w:rPr>
          <w:rFonts w:cs="Times New Roman"/>
          <w:lang w:val="en-US"/>
        </w:rPr>
        <w:tab/>
        <w:t xml:space="preserve">Tan, L. </w:t>
      </w:r>
      <w:r w:rsidRPr="00B77C17">
        <w:rPr>
          <w:rFonts w:cs="Times New Roman"/>
          <w:i/>
          <w:iCs/>
          <w:lang w:val="en-US"/>
        </w:rPr>
        <w:t>et al.</w:t>
      </w:r>
      <w:r w:rsidRPr="00B77C17">
        <w:rPr>
          <w:rFonts w:cs="Times New Roman"/>
          <w:lang w:val="en-US"/>
        </w:rPr>
        <w:t xml:space="preserve"> Design principles of low-activation high entropy alloys. </w:t>
      </w:r>
      <w:r w:rsidRPr="00B77C17">
        <w:rPr>
          <w:rFonts w:cs="Times New Roman"/>
          <w:i/>
          <w:iCs/>
          <w:lang w:val="en-US"/>
        </w:rPr>
        <w:t>Journal of Alloys and Compounds</w:t>
      </w:r>
      <w:r w:rsidRPr="00B77C17">
        <w:rPr>
          <w:rFonts w:cs="Times New Roman"/>
          <w:lang w:val="en-US"/>
        </w:rPr>
        <w:t xml:space="preserve"> </w:t>
      </w:r>
      <w:r w:rsidRPr="00B77C17">
        <w:rPr>
          <w:rFonts w:cs="Times New Roman"/>
          <w:b/>
          <w:bCs/>
          <w:lang w:val="en-US"/>
        </w:rPr>
        <w:t>907</w:t>
      </w:r>
      <w:r w:rsidRPr="00B77C17">
        <w:rPr>
          <w:rFonts w:cs="Times New Roman"/>
          <w:lang w:val="en-US"/>
        </w:rPr>
        <w:t>, 164526 (2022).</w:t>
      </w:r>
    </w:p>
    <w:p w:rsidR="00B77C17" w:rsidRPr="00B77C17" w:rsidRDefault="00B77C17" w:rsidP="00B77C17">
      <w:pPr>
        <w:pStyle w:val="Bibliographie"/>
        <w:rPr>
          <w:rFonts w:cs="Times New Roman"/>
          <w:lang w:val="en-US"/>
        </w:rPr>
      </w:pPr>
      <w:r w:rsidRPr="00B77C17">
        <w:rPr>
          <w:rFonts w:cs="Times New Roman"/>
          <w:lang w:val="en-US"/>
        </w:rPr>
        <w:lastRenderedPageBreak/>
        <w:t>34.</w:t>
      </w:r>
      <w:r w:rsidRPr="00B77C17">
        <w:rPr>
          <w:rFonts w:cs="Times New Roman"/>
          <w:lang w:val="en-US"/>
        </w:rPr>
        <w:tab/>
        <w:t>5_Oxidation of pure metals.pdf.</w:t>
      </w:r>
    </w:p>
    <w:p w:rsidR="00B77C17" w:rsidRPr="00B77C17" w:rsidRDefault="00B77C17" w:rsidP="00B77C17">
      <w:pPr>
        <w:pStyle w:val="Bibliographie"/>
        <w:rPr>
          <w:rFonts w:cs="Times New Roman"/>
          <w:lang w:val="en-US"/>
        </w:rPr>
      </w:pPr>
      <w:r w:rsidRPr="00B77C17">
        <w:rPr>
          <w:rFonts w:cs="Times New Roman"/>
          <w:lang w:val="en-US"/>
        </w:rPr>
        <w:t>35.</w:t>
      </w:r>
      <w:r w:rsidRPr="00B77C17">
        <w:rPr>
          <w:rFonts w:cs="Times New Roman"/>
          <w:lang w:val="en-US"/>
        </w:rPr>
        <w:tab/>
        <w:t xml:space="preserve">Taylor, C. D. &amp; Tossey, B. M. High temperature oxidation of corrosion resistant alloys from machine learning. </w:t>
      </w:r>
      <w:r w:rsidRPr="00B77C17">
        <w:rPr>
          <w:rFonts w:cs="Times New Roman"/>
          <w:i/>
          <w:iCs/>
          <w:lang w:val="en-US"/>
        </w:rPr>
        <w:t>npj Materials Degradation</w:t>
      </w:r>
      <w:r w:rsidRPr="00B77C17">
        <w:rPr>
          <w:rFonts w:cs="Times New Roman"/>
          <w:lang w:val="en-US"/>
        </w:rPr>
        <w:t xml:space="preserve"> </w:t>
      </w:r>
      <w:r w:rsidRPr="00B77C17">
        <w:rPr>
          <w:rFonts w:cs="Times New Roman"/>
          <w:b/>
          <w:bCs/>
          <w:lang w:val="en-US"/>
        </w:rPr>
        <w:t>5</w:t>
      </w:r>
      <w:r w:rsidRPr="00B77C17">
        <w:rPr>
          <w:rFonts w:cs="Times New Roman"/>
          <w:lang w:val="en-US"/>
        </w:rPr>
        <w:t>, 38 (2021).</w:t>
      </w:r>
    </w:p>
    <w:p w:rsidR="00B77C17" w:rsidRPr="00B77C17" w:rsidRDefault="00B77C17" w:rsidP="00B77C17">
      <w:pPr>
        <w:pStyle w:val="Bibliographie"/>
        <w:rPr>
          <w:rFonts w:cs="Times New Roman"/>
          <w:lang w:val="en-US"/>
        </w:rPr>
      </w:pPr>
      <w:r w:rsidRPr="00B77C17">
        <w:rPr>
          <w:rFonts w:cs="Times New Roman"/>
          <w:lang w:val="en-US"/>
        </w:rPr>
        <w:t>36.</w:t>
      </w:r>
      <w:r w:rsidRPr="00B77C17">
        <w:rPr>
          <w:rFonts w:cs="Times New Roman"/>
          <w:lang w:val="en-US"/>
        </w:rPr>
        <w:tab/>
        <w:t xml:space="preserve">Barrett, C. A. </w:t>
      </w:r>
      <w:r w:rsidRPr="00B77C17">
        <w:rPr>
          <w:rFonts w:cs="Times New Roman"/>
          <w:i/>
          <w:iCs/>
          <w:lang w:val="en-US"/>
        </w:rPr>
        <w:t>A Statistical Analysis of Elevated Temperature Gravimetric Cyclic Oxidation Data of 36 Ni- and Co-Base Superalloys Based on an Oxidation Attack Parameter</w:t>
      </w:r>
      <w:r w:rsidRPr="00B77C17">
        <w:rPr>
          <w:rFonts w:cs="Times New Roman"/>
          <w:lang w:val="en-US"/>
        </w:rPr>
        <w:t>. https://ntrs.nasa.gov/citations/19930008880 (1992).</w:t>
      </w:r>
    </w:p>
    <w:p w:rsidR="00B77C17" w:rsidRPr="00B77C17" w:rsidRDefault="00B77C17" w:rsidP="00B77C17">
      <w:pPr>
        <w:pStyle w:val="Bibliographie"/>
        <w:rPr>
          <w:rFonts w:cs="Times New Roman"/>
          <w:lang w:val="en-US"/>
        </w:rPr>
      </w:pPr>
      <w:r w:rsidRPr="00B77C17">
        <w:rPr>
          <w:rFonts w:cs="Times New Roman"/>
          <w:lang w:val="en-US"/>
        </w:rPr>
        <w:t>37.</w:t>
      </w:r>
      <w:r w:rsidRPr="00B77C17">
        <w:rPr>
          <w:rFonts w:cs="Times New Roman"/>
          <w:lang w:val="en-US"/>
        </w:rPr>
        <w:tab/>
        <w:t>Rozman, K. A., Detrois, M., Jablonski, P. D., Gao, M. C. &amp; Hawk, J. A. Effect of Mn in CrCoFeNiMn high entropy alloy on creep performance.</w:t>
      </w:r>
    </w:p>
    <w:p w:rsidR="00B77C17" w:rsidRPr="00B77C17" w:rsidRDefault="00B77C17" w:rsidP="00B77C17">
      <w:pPr>
        <w:pStyle w:val="Bibliographie"/>
        <w:rPr>
          <w:rFonts w:cs="Times New Roman"/>
          <w:lang w:val="en-US"/>
        </w:rPr>
      </w:pPr>
      <w:r w:rsidRPr="00B77C17">
        <w:rPr>
          <w:rFonts w:cs="Times New Roman"/>
          <w:lang w:val="en-US"/>
        </w:rPr>
        <w:t>38.</w:t>
      </w:r>
      <w:r w:rsidRPr="00B77C17">
        <w:rPr>
          <w:rFonts w:cs="Times New Roman"/>
          <w:lang w:val="en-US"/>
        </w:rPr>
        <w:tab/>
        <w:t xml:space="preserve">Sun, Y. &amp; Ni, J. Machine Learning Advances in High-Entropy Alloys: A Mini-Review. </w:t>
      </w:r>
      <w:r w:rsidRPr="00B77C17">
        <w:rPr>
          <w:rFonts w:cs="Times New Roman"/>
          <w:i/>
          <w:iCs/>
          <w:lang w:val="en-US"/>
        </w:rPr>
        <w:t>Entropy</w:t>
      </w:r>
      <w:r w:rsidRPr="00B77C17">
        <w:rPr>
          <w:rFonts w:cs="Times New Roman"/>
          <w:lang w:val="en-US"/>
        </w:rPr>
        <w:t xml:space="preserve"> </w:t>
      </w:r>
      <w:r w:rsidRPr="00B77C17">
        <w:rPr>
          <w:rFonts w:cs="Times New Roman"/>
          <w:b/>
          <w:bCs/>
          <w:lang w:val="en-US"/>
        </w:rPr>
        <w:t>26</w:t>
      </w:r>
      <w:r w:rsidRPr="00B77C17">
        <w:rPr>
          <w:rFonts w:cs="Times New Roman"/>
          <w:lang w:val="en-US"/>
        </w:rPr>
        <w:t>, (2024).</w:t>
      </w:r>
    </w:p>
    <w:p w:rsidR="00B77C17" w:rsidRPr="00B77C17" w:rsidRDefault="00B77C17" w:rsidP="00B77C17">
      <w:pPr>
        <w:pStyle w:val="Bibliographie"/>
        <w:rPr>
          <w:rFonts w:cs="Times New Roman"/>
          <w:lang w:val="en-US"/>
        </w:rPr>
      </w:pPr>
      <w:r w:rsidRPr="00B77C17">
        <w:rPr>
          <w:rFonts w:cs="Times New Roman"/>
          <w:lang w:val="en-US"/>
        </w:rPr>
        <w:t>39.</w:t>
      </w:r>
      <w:r w:rsidRPr="00B77C17">
        <w:rPr>
          <w:rFonts w:cs="Times New Roman"/>
          <w:lang w:val="en-US"/>
        </w:rPr>
        <w:tab/>
        <w:t xml:space="preserve">Guo, S., Ng, C., Lu, J. &amp; Liu, C. T. Effect of valence electron concentration on stability of fcc or bcc phase in high entropy alloys. </w:t>
      </w:r>
      <w:r w:rsidRPr="00B77C17">
        <w:rPr>
          <w:rFonts w:cs="Times New Roman"/>
          <w:i/>
          <w:iCs/>
          <w:lang w:val="en-US"/>
        </w:rPr>
        <w:t>Journal of Applied Physics</w:t>
      </w:r>
      <w:r w:rsidRPr="00B77C17">
        <w:rPr>
          <w:rFonts w:cs="Times New Roman"/>
          <w:lang w:val="en-US"/>
        </w:rPr>
        <w:t xml:space="preserve"> </w:t>
      </w:r>
      <w:r w:rsidRPr="00B77C17">
        <w:rPr>
          <w:rFonts w:cs="Times New Roman"/>
          <w:b/>
          <w:bCs/>
          <w:lang w:val="en-US"/>
        </w:rPr>
        <w:t>109</w:t>
      </w:r>
      <w:r w:rsidRPr="00B77C17">
        <w:rPr>
          <w:rFonts w:cs="Times New Roman"/>
          <w:lang w:val="en-US"/>
        </w:rPr>
        <w:t>, 103505 (2011).</w:t>
      </w:r>
    </w:p>
    <w:p w:rsidR="00B77C17" w:rsidRPr="00B77C17" w:rsidRDefault="00B77C17" w:rsidP="00B77C17">
      <w:pPr>
        <w:pStyle w:val="Bibliographie"/>
        <w:rPr>
          <w:rFonts w:cs="Times New Roman"/>
          <w:lang w:val="en-US"/>
        </w:rPr>
      </w:pPr>
      <w:r w:rsidRPr="00B77C17">
        <w:rPr>
          <w:rFonts w:cs="Times New Roman"/>
          <w:lang w:val="en-US"/>
        </w:rPr>
        <w:t>40.</w:t>
      </w:r>
      <w:r w:rsidRPr="00B77C17">
        <w:rPr>
          <w:rFonts w:cs="Times New Roman"/>
          <w:lang w:val="en-US"/>
        </w:rPr>
        <w:tab/>
        <w:t xml:space="preserve">Zhang, Y. &amp; Peng, W. jie. Microstructural control and properties optimization of high-entrop alloys. </w:t>
      </w:r>
      <w:r w:rsidRPr="00B77C17">
        <w:rPr>
          <w:rFonts w:cs="Times New Roman"/>
          <w:i/>
          <w:iCs/>
          <w:lang w:val="en-US"/>
        </w:rPr>
        <w:t>Procedia Engineering</w:t>
      </w:r>
      <w:r w:rsidRPr="00B77C17">
        <w:rPr>
          <w:rFonts w:cs="Times New Roman"/>
          <w:lang w:val="en-US"/>
        </w:rPr>
        <w:t xml:space="preserve"> </w:t>
      </w:r>
      <w:r w:rsidRPr="00B77C17">
        <w:rPr>
          <w:rFonts w:cs="Times New Roman"/>
          <w:b/>
          <w:bCs/>
          <w:lang w:val="en-US"/>
        </w:rPr>
        <w:t>27</w:t>
      </w:r>
      <w:r w:rsidRPr="00B77C17">
        <w:rPr>
          <w:rFonts w:cs="Times New Roman"/>
          <w:lang w:val="en-US"/>
        </w:rPr>
        <w:t>, 1169–1178 (2012).</w:t>
      </w:r>
    </w:p>
    <w:p w:rsidR="00B77C17" w:rsidRPr="00B77C17" w:rsidRDefault="00B77C17" w:rsidP="00B77C17">
      <w:pPr>
        <w:pStyle w:val="Bibliographie"/>
        <w:rPr>
          <w:rFonts w:cs="Times New Roman"/>
          <w:lang w:val="en-US"/>
        </w:rPr>
      </w:pPr>
      <w:r w:rsidRPr="00B77C17">
        <w:rPr>
          <w:rFonts w:cs="Times New Roman"/>
          <w:lang w:val="en-US"/>
        </w:rPr>
        <w:t>41.</w:t>
      </w:r>
      <w:r w:rsidRPr="00B77C17">
        <w:rPr>
          <w:rFonts w:cs="Times New Roman"/>
          <w:lang w:val="en-US"/>
        </w:rPr>
        <w:tab/>
        <w:t xml:space="preserve">Kamran, S., Chen, K. &amp; Chen, L. Ab initio examination of ductility features of fcc metals. </w:t>
      </w:r>
      <w:r w:rsidRPr="00B77C17">
        <w:rPr>
          <w:rFonts w:cs="Times New Roman"/>
          <w:i/>
          <w:iCs/>
          <w:lang w:val="en-US"/>
        </w:rPr>
        <w:t>Phys. Rev. B</w:t>
      </w:r>
      <w:r w:rsidRPr="00B77C17">
        <w:rPr>
          <w:rFonts w:cs="Times New Roman"/>
          <w:lang w:val="en-US"/>
        </w:rPr>
        <w:t xml:space="preserve"> </w:t>
      </w:r>
      <w:r w:rsidRPr="00B77C17">
        <w:rPr>
          <w:rFonts w:cs="Times New Roman"/>
          <w:b/>
          <w:bCs/>
          <w:lang w:val="en-US"/>
        </w:rPr>
        <w:t>79</w:t>
      </w:r>
      <w:r w:rsidRPr="00B77C17">
        <w:rPr>
          <w:rFonts w:cs="Times New Roman"/>
          <w:lang w:val="en-US"/>
        </w:rPr>
        <w:t>, 024106 (2009).</w:t>
      </w:r>
    </w:p>
    <w:p w:rsidR="00B77C17" w:rsidRPr="00B77C17" w:rsidRDefault="00B77C17" w:rsidP="00B77C17">
      <w:pPr>
        <w:pStyle w:val="Bibliographie"/>
        <w:rPr>
          <w:rFonts w:cs="Times New Roman"/>
          <w:lang w:val="en-US"/>
        </w:rPr>
      </w:pPr>
      <w:r w:rsidRPr="00B77C17">
        <w:rPr>
          <w:rFonts w:cs="Times New Roman"/>
          <w:lang w:val="en-US"/>
        </w:rPr>
        <w:t>42.</w:t>
      </w:r>
      <w:r w:rsidRPr="00B77C17">
        <w:rPr>
          <w:rFonts w:cs="Times New Roman"/>
          <w:lang w:val="en-US"/>
        </w:rPr>
        <w:tab/>
        <w:t xml:space="preserve">Bennett, A. R., Lundstrøm, J., Chatterjee, S., Thaysen-Andersen, M. &amp; Bojar, D. Compositional data analysis enables statistical rigor in comparative glycomics. </w:t>
      </w:r>
      <w:r w:rsidRPr="00B77C17">
        <w:rPr>
          <w:rFonts w:cs="Times New Roman"/>
          <w:i/>
          <w:iCs/>
          <w:lang w:val="en-US"/>
        </w:rPr>
        <w:t>Nature Communications</w:t>
      </w:r>
      <w:r w:rsidRPr="00B77C17">
        <w:rPr>
          <w:rFonts w:cs="Times New Roman"/>
          <w:lang w:val="en-US"/>
        </w:rPr>
        <w:t xml:space="preserve"> </w:t>
      </w:r>
      <w:r w:rsidRPr="00B77C17">
        <w:rPr>
          <w:rFonts w:cs="Times New Roman"/>
          <w:b/>
          <w:bCs/>
          <w:lang w:val="en-US"/>
        </w:rPr>
        <w:t>16</w:t>
      </w:r>
      <w:r w:rsidRPr="00B77C17">
        <w:rPr>
          <w:rFonts w:cs="Times New Roman"/>
          <w:lang w:val="en-US"/>
        </w:rPr>
        <w:t>, 795 (2025).</w:t>
      </w:r>
    </w:p>
    <w:p w:rsidR="00B77C17" w:rsidRPr="00B77C17" w:rsidRDefault="00B77C17" w:rsidP="00B77C17">
      <w:pPr>
        <w:pStyle w:val="Bibliographie"/>
        <w:rPr>
          <w:rFonts w:cs="Times New Roman"/>
          <w:lang w:val="en-US"/>
        </w:rPr>
      </w:pPr>
      <w:r w:rsidRPr="00B77C17">
        <w:rPr>
          <w:rFonts w:cs="Times New Roman"/>
          <w:lang w:val="en-US"/>
        </w:rPr>
        <w:t>43.</w:t>
      </w:r>
      <w:r w:rsidRPr="00B77C17">
        <w:rPr>
          <w:rFonts w:cs="Times New Roman"/>
          <w:lang w:val="en-US"/>
        </w:rPr>
        <w:tab/>
        <w:t xml:space="preserve">Molnar, C. </w:t>
      </w:r>
      <w:r w:rsidRPr="00B77C17">
        <w:rPr>
          <w:rFonts w:cs="Times New Roman"/>
          <w:i/>
          <w:iCs/>
          <w:lang w:val="en-US"/>
        </w:rPr>
        <w:t>Interpretable Machine Learning: A Guide for Making Black Box Models Explainable</w:t>
      </w:r>
      <w:r w:rsidRPr="00B77C17">
        <w:rPr>
          <w:rFonts w:cs="Times New Roman"/>
          <w:lang w:val="en-US"/>
        </w:rPr>
        <w:t>. (2025).</w:t>
      </w:r>
    </w:p>
    <w:p w:rsidR="00B77C17" w:rsidRPr="00B77C17" w:rsidRDefault="00B77C17" w:rsidP="00B77C17">
      <w:pPr>
        <w:pStyle w:val="Bibliographie"/>
        <w:rPr>
          <w:rFonts w:cs="Times New Roman"/>
          <w:lang w:val="en-US"/>
        </w:rPr>
      </w:pPr>
      <w:r w:rsidRPr="00B77C17">
        <w:rPr>
          <w:rFonts w:cs="Times New Roman"/>
          <w:lang w:val="en-US"/>
        </w:rPr>
        <w:t>44.</w:t>
      </w:r>
      <w:r w:rsidRPr="00B77C17">
        <w:rPr>
          <w:rFonts w:cs="Times New Roman"/>
          <w:lang w:val="en-US"/>
        </w:rPr>
        <w:tab/>
        <w:t xml:space="preserve">Sun, Y. J., Xiong, K., Li, Z. B., Zhang, S. M. &amp; Mao, Y. First-Principles Study of Structural, Mechanical, and Thermodynamic Pr operties of Refractory Metals (Rh, Ir, W, Ta, Nb, Mo, Re, and Os). </w:t>
      </w:r>
      <w:r w:rsidRPr="00B77C17">
        <w:rPr>
          <w:rFonts w:cs="Times New Roman"/>
          <w:i/>
          <w:iCs/>
          <w:lang w:val="en-US"/>
        </w:rPr>
        <w:t>MSF</w:t>
      </w:r>
      <w:r w:rsidRPr="00B77C17">
        <w:rPr>
          <w:rFonts w:cs="Times New Roman"/>
          <w:lang w:val="en-US"/>
        </w:rPr>
        <w:t xml:space="preserve"> </w:t>
      </w:r>
      <w:r w:rsidRPr="00B77C17">
        <w:rPr>
          <w:rFonts w:cs="Times New Roman"/>
          <w:b/>
          <w:bCs/>
          <w:lang w:val="en-US"/>
        </w:rPr>
        <w:t>993</w:t>
      </w:r>
      <w:r w:rsidRPr="00B77C17">
        <w:rPr>
          <w:rFonts w:cs="Times New Roman"/>
          <w:lang w:val="en-US"/>
        </w:rPr>
        <w:t>, 1017–1030 (2020).</w:t>
      </w:r>
    </w:p>
    <w:p w:rsidR="00B77C17" w:rsidRPr="00B77C17" w:rsidRDefault="00B77C17" w:rsidP="00B77C17">
      <w:pPr>
        <w:pStyle w:val="Bibliographie"/>
        <w:rPr>
          <w:rFonts w:cs="Times New Roman"/>
          <w:lang w:val="en-US"/>
        </w:rPr>
      </w:pPr>
      <w:r w:rsidRPr="00B77C17">
        <w:rPr>
          <w:rFonts w:cs="Times New Roman"/>
          <w:lang w:val="en-US"/>
        </w:rPr>
        <w:lastRenderedPageBreak/>
        <w:t>45.</w:t>
      </w:r>
      <w:r w:rsidRPr="00B77C17">
        <w:rPr>
          <w:rFonts w:cs="Times New Roman"/>
          <w:lang w:val="en-US"/>
        </w:rPr>
        <w:tab/>
        <w:t xml:space="preserve">Wei, N. </w:t>
      </w:r>
      <w:r w:rsidRPr="00B77C17">
        <w:rPr>
          <w:rFonts w:cs="Times New Roman"/>
          <w:i/>
          <w:iCs/>
          <w:lang w:val="en-US"/>
        </w:rPr>
        <w:t>et al.</w:t>
      </w:r>
      <w:r w:rsidRPr="00B77C17">
        <w:rPr>
          <w:rFonts w:cs="Times New Roman"/>
          <w:lang w:val="en-US"/>
        </w:rPr>
        <w:t xml:space="preserve"> First-principles study of the phase stability and the mechanical prope rties of W-Ta and W-Re alloys. </w:t>
      </w:r>
      <w:r w:rsidRPr="00B77C17">
        <w:rPr>
          <w:rFonts w:cs="Times New Roman"/>
          <w:i/>
          <w:iCs/>
          <w:lang w:val="en-US"/>
        </w:rPr>
        <w:t>AIP Advances</w:t>
      </w:r>
      <w:r w:rsidRPr="00B77C17">
        <w:rPr>
          <w:rFonts w:cs="Times New Roman"/>
          <w:lang w:val="en-US"/>
        </w:rPr>
        <w:t xml:space="preserve"> </w:t>
      </w:r>
      <w:r w:rsidRPr="00B77C17">
        <w:rPr>
          <w:rFonts w:cs="Times New Roman"/>
          <w:b/>
          <w:bCs/>
          <w:lang w:val="en-US"/>
        </w:rPr>
        <w:t>4</w:t>
      </w:r>
      <w:r w:rsidRPr="00B77C17">
        <w:rPr>
          <w:rFonts w:cs="Times New Roman"/>
          <w:lang w:val="en-US"/>
        </w:rPr>
        <w:t>, (2014).</w:t>
      </w:r>
    </w:p>
    <w:p w:rsidR="00B77C17" w:rsidRPr="00B77C17" w:rsidRDefault="00B77C17" w:rsidP="00B77C17">
      <w:pPr>
        <w:pStyle w:val="Bibliographie"/>
        <w:rPr>
          <w:rFonts w:cs="Times New Roman"/>
          <w:lang w:val="en-US"/>
        </w:rPr>
      </w:pPr>
      <w:r w:rsidRPr="00B77C17">
        <w:rPr>
          <w:rFonts w:cs="Times New Roman"/>
          <w:lang w:val="en-US"/>
        </w:rPr>
        <w:t>46.</w:t>
      </w:r>
      <w:r w:rsidRPr="00B77C17">
        <w:rPr>
          <w:rFonts w:cs="Times New Roman"/>
          <w:lang w:val="en-US"/>
        </w:rPr>
        <w:tab/>
        <w:t xml:space="preserve">Zheng, S. &amp; Wang, S. First-Principles Design of Refractory High Entropy Alloy VMoNbTaW. </w:t>
      </w:r>
      <w:r w:rsidRPr="00B77C17">
        <w:rPr>
          <w:rFonts w:cs="Times New Roman"/>
          <w:i/>
          <w:iCs/>
          <w:lang w:val="en-US"/>
        </w:rPr>
        <w:t>Entropy</w:t>
      </w:r>
      <w:r w:rsidRPr="00B77C17">
        <w:rPr>
          <w:rFonts w:cs="Times New Roman"/>
          <w:lang w:val="en-US"/>
        </w:rPr>
        <w:t xml:space="preserve"> </w:t>
      </w:r>
      <w:r w:rsidRPr="00B77C17">
        <w:rPr>
          <w:rFonts w:cs="Times New Roman"/>
          <w:b/>
          <w:bCs/>
          <w:lang w:val="en-US"/>
        </w:rPr>
        <w:t>20</w:t>
      </w:r>
      <w:r w:rsidRPr="00B77C17">
        <w:rPr>
          <w:rFonts w:cs="Times New Roman"/>
          <w:lang w:val="en-US"/>
        </w:rPr>
        <w:t>, 965 (2018).</w:t>
      </w:r>
    </w:p>
    <w:p w:rsidR="00B77C17" w:rsidRPr="00B77C17" w:rsidRDefault="00B77C17" w:rsidP="00B77C17">
      <w:pPr>
        <w:pStyle w:val="Bibliographie"/>
        <w:rPr>
          <w:rFonts w:cs="Times New Roman"/>
          <w:lang w:val="en-US"/>
        </w:rPr>
      </w:pPr>
      <w:r w:rsidRPr="00B77C17">
        <w:rPr>
          <w:rFonts w:cs="Times New Roman"/>
          <w:lang w:val="en-US"/>
        </w:rPr>
        <w:t>47.</w:t>
      </w:r>
      <w:r w:rsidRPr="00B77C17">
        <w:rPr>
          <w:rFonts w:cs="Times New Roman"/>
          <w:lang w:val="en-US"/>
        </w:rPr>
        <w:tab/>
        <w:t xml:space="preserve">Hu, Y. L. </w:t>
      </w:r>
      <w:r w:rsidRPr="00B77C17">
        <w:rPr>
          <w:rFonts w:cs="Times New Roman"/>
          <w:i/>
          <w:iCs/>
          <w:lang w:val="en-US"/>
        </w:rPr>
        <w:t>et al.</w:t>
      </w:r>
      <w:r w:rsidRPr="00B77C17">
        <w:rPr>
          <w:rFonts w:cs="Times New Roman"/>
          <w:lang w:val="en-US"/>
        </w:rPr>
        <w:t xml:space="preserve"> First-principle calculation investigation of NbMoTaW based refractory high entropy alloys. </w:t>
      </w:r>
      <w:r w:rsidRPr="00B77C17">
        <w:rPr>
          <w:rFonts w:cs="Times New Roman"/>
          <w:i/>
          <w:iCs/>
          <w:lang w:val="en-US"/>
        </w:rPr>
        <w:t>Journal of Alloys and Compounds</w:t>
      </w:r>
      <w:r w:rsidRPr="00B77C17">
        <w:rPr>
          <w:rFonts w:cs="Times New Roman"/>
          <w:lang w:val="en-US"/>
        </w:rPr>
        <w:t xml:space="preserve"> </w:t>
      </w:r>
      <w:r w:rsidRPr="00B77C17">
        <w:rPr>
          <w:rFonts w:cs="Times New Roman"/>
          <w:b/>
          <w:bCs/>
          <w:lang w:val="en-US"/>
        </w:rPr>
        <w:t>827</w:t>
      </w:r>
      <w:r w:rsidRPr="00B77C17">
        <w:rPr>
          <w:rFonts w:cs="Times New Roman"/>
          <w:lang w:val="en-US"/>
        </w:rPr>
        <w:t>, 153963 (2020).</w:t>
      </w:r>
    </w:p>
    <w:p w:rsidR="00B77C17" w:rsidRPr="00B77C17" w:rsidRDefault="00B77C17" w:rsidP="00B77C17">
      <w:pPr>
        <w:pStyle w:val="Bibliographie"/>
        <w:rPr>
          <w:rFonts w:cs="Times New Roman"/>
          <w:lang w:val="en-US"/>
        </w:rPr>
      </w:pPr>
      <w:r w:rsidRPr="00B77C17">
        <w:rPr>
          <w:rFonts w:cs="Times New Roman"/>
          <w:lang w:val="en-US"/>
        </w:rPr>
        <w:t>48.</w:t>
      </w:r>
      <w:r w:rsidRPr="00B77C17">
        <w:rPr>
          <w:rFonts w:cs="Times New Roman"/>
          <w:lang w:val="en-US"/>
        </w:rPr>
        <w:tab/>
        <w:t xml:space="preserve">Giese, S. </w:t>
      </w:r>
      <w:r w:rsidRPr="00B77C17">
        <w:rPr>
          <w:rFonts w:cs="Times New Roman"/>
          <w:i/>
          <w:iCs/>
          <w:lang w:val="en-US"/>
        </w:rPr>
        <w:t>et al.</w:t>
      </w:r>
      <w:r w:rsidRPr="00B77C17">
        <w:rPr>
          <w:rFonts w:cs="Times New Roman"/>
          <w:lang w:val="en-US"/>
        </w:rPr>
        <w:t xml:space="preserve"> The Importance of Diffusivity and Partitioning Behavior of Solid Solut ion Strengthening Elements for the High Temperature Creep Strength of Ni-Base Superalloys. </w:t>
      </w:r>
      <w:r w:rsidRPr="00B77C17">
        <w:rPr>
          <w:rFonts w:cs="Times New Roman"/>
          <w:i/>
          <w:iCs/>
          <w:lang w:val="en-US"/>
        </w:rPr>
        <w:t>Metall Mater Trans A</w:t>
      </w:r>
      <w:r w:rsidRPr="00B77C17">
        <w:rPr>
          <w:rFonts w:cs="Times New Roman"/>
          <w:lang w:val="en-US"/>
        </w:rPr>
        <w:t xml:space="preserve"> </w:t>
      </w:r>
      <w:r w:rsidRPr="00B77C17">
        <w:rPr>
          <w:rFonts w:cs="Times New Roman"/>
          <w:b/>
          <w:bCs/>
          <w:lang w:val="en-US"/>
        </w:rPr>
        <w:t>51</w:t>
      </w:r>
      <w:r w:rsidRPr="00B77C17">
        <w:rPr>
          <w:rFonts w:cs="Times New Roman"/>
          <w:lang w:val="en-US"/>
        </w:rPr>
        <w:t>, 6195–6206 (2020).</w:t>
      </w:r>
    </w:p>
    <w:p w:rsidR="00B77C17" w:rsidRPr="00B77C17" w:rsidRDefault="00B77C17" w:rsidP="00B77C17">
      <w:pPr>
        <w:pStyle w:val="Bibliographie"/>
        <w:rPr>
          <w:rFonts w:cs="Times New Roman"/>
          <w:lang w:val="en-US"/>
        </w:rPr>
      </w:pPr>
      <w:r w:rsidRPr="00B77C17">
        <w:rPr>
          <w:rFonts w:cs="Times New Roman"/>
          <w:lang w:val="en-US"/>
        </w:rPr>
        <w:t>49.</w:t>
      </w:r>
      <w:r w:rsidRPr="00B77C17">
        <w:rPr>
          <w:rFonts w:cs="Times New Roman"/>
          <w:lang w:val="en-US"/>
        </w:rPr>
        <w:tab/>
        <w:t xml:space="preserve">Haußmann, L., ur Rehman, H. ur, Matschkal, D., Göken, M. &amp; Neumeier, S. Solid Solution Strengthening of Mo, Re, Ta and W in Ni during High-Tem perature Creep. </w:t>
      </w:r>
      <w:r w:rsidRPr="00B77C17">
        <w:rPr>
          <w:rFonts w:cs="Times New Roman"/>
          <w:i/>
          <w:iCs/>
          <w:lang w:val="en-US"/>
        </w:rPr>
        <w:t>Metals</w:t>
      </w:r>
      <w:r w:rsidRPr="00B77C17">
        <w:rPr>
          <w:rFonts w:cs="Times New Roman"/>
          <w:lang w:val="en-US"/>
        </w:rPr>
        <w:t xml:space="preserve"> </w:t>
      </w:r>
      <w:r w:rsidRPr="00B77C17">
        <w:rPr>
          <w:rFonts w:cs="Times New Roman"/>
          <w:b/>
          <w:bCs/>
          <w:lang w:val="en-US"/>
        </w:rPr>
        <w:t>11</w:t>
      </w:r>
      <w:r w:rsidRPr="00B77C17">
        <w:rPr>
          <w:rFonts w:cs="Times New Roman"/>
          <w:lang w:val="en-US"/>
        </w:rPr>
        <w:t>, 1909 (2021).</w:t>
      </w:r>
    </w:p>
    <w:p w:rsidR="00B77C17" w:rsidRPr="00B77C17" w:rsidRDefault="00B77C17" w:rsidP="00B77C17">
      <w:pPr>
        <w:pStyle w:val="Bibliographie"/>
        <w:rPr>
          <w:rFonts w:cs="Times New Roman"/>
          <w:lang w:val="en-US"/>
        </w:rPr>
      </w:pPr>
      <w:r w:rsidRPr="00B77C17">
        <w:rPr>
          <w:rFonts w:cs="Times New Roman"/>
          <w:lang w:val="en-US"/>
        </w:rPr>
        <w:t>50.</w:t>
      </w:r>
      <w:r w:rsidRPr="00B77C17">
        <w:rPr>
          <w:rFonts w:cs="Times New Roman"/>
          <w:lang w:val="en-US"/>
        </w:rPr>
        <w:tab/>
        <w:t xml:space="preserve">Cao, C. M. </w:t>
      </w:r>
      <w:r w:rsidRPr="00B77C17">
        <w:rPr>
          <w:rFonts w:cs="Times New Roman"/>
          <w:i/>
          <w:iCs/>
          <w:lang w:val="en-US"/>
        </w:rPr>
        <w:t>et al.</w:t>
      </w:r>
      <w:r w:rsidRPr="00B77C17">
        <w:rPr>
          <w:rFonts w:cs="Times New Roman"/>
          <w:lang w:val="en-US"/>
        </w:rPr>
        <w:t xml:space="preserve"> Creep behaviour and microstructural evolution of Alx CrMnFeCoNi high-entropy alloys. </w:t>
      </w:r>
      <w:r w:rsidRPr="00B77C17">
        <w:rPr>
          <w:rFonts w:cs="Times New Roman"/>
          <w:i/>
          <w:iCs/>
          <w:lang w:val="en-US"/>
        </w:rPr>
        <w:t>Materials Science and Technology</w:t>
      </w:r>
      <w:r w:rsidRPr="00B77C17">
        <w:rPr>
          <w:rFonts w:cs="Times New Roman"/>
          <w:lang w:val="en-US"/>
        </w:rPr>
        <w:t xml:space="preserve"> </w:t>
      </w:r>
      <w:r w:rsidRPr="00B77C17">
        <w:rPr>
          <w:rFonts w:cs="Times New Roman"/>
          <w:b/>
          <w:bCs/>
          <w:lang w:val="en-US"/>
        </w:rPr>
        <w:t>35</w:t>
      </w:r>
      <w:r w:rsidRPr="00B77C17">
        <w:rPr>
          <w:rFonts w:cs="Times New Roman"/>
          <w:lang w:val="en-US"/>
        </w:rPr>
        <w:t>, 1283–1290 (2019).</w:t>
      </w:r>
    </w:p>
    <w:p w:rsidR="00B77C17" w:rsidRPr="00B77C17" w:rsidRDefault="00B77C17" w:rsidP="00B77C17">
      <w:pPr>
        <w:pStyle w:val="Bibliographie"/>
        <w:rPr>
          <w:rFonts w:cs="Times New Roman"/>
          <w:lang w:val="en-US"/>
        </w:rPr>
      </w:pPr>
      <w:r w:rsidRPr="00B77C17">
        <w:rPr>
          <w:rFonts w:cs="Times New Roman"/>
          <w:lang w:val="en-US"/>
        </w:rPr>
        <w:t>51.</w:t>
      </w:r>
      <w:r w:rsidRPr="00B77C17">
        <w:rPr>
          <w:rFonts w:cs="Times New Roman"/>
          <w:lang w:val="en-US"/>
        </w:rPr>
        <w:tab/>
        <w:t xml:space="preserve">Smith, T. M. </w:t>
      </w:r>
      <w:r w:rsidRPr="00B77C17">
        <w:rPr>
          <w:rFonts w:cs="Times New Roman"/>
          <w:i/>
          <w:iCs/>
          <w:lang w:val="en-US"/>
        </w:rPr>
        <w:t>et al.</w:t>
      </w:r>
      <w:r w:rsidRPr="00B77C17">
        <w:rPr>
          <w:rFonts w:cs="Times New Roman"/>
          <w:lang w:val="en-US"/>
        </w:rPr>
        <w:t xml:space="preserve"> Phase transformation strengthening of high-temperature superalloys. </w:t>
      </w:r>
      <w:r w:rsidRPr="00B77C17">
        <w:rPr>
          <w:rFonts w:cs="Times New Roman"/>
          <w:i/>
          <w:iCs/>
          <w:lang w:val="en-US"/>
        </w:rPr>
        <w:t>Nat Commun</w:t>
      </w:r>
      <w:r w:rsidRPr="00B77C17">
        <w:rPr>
          <w:rFonts w:cs="Times New Roman"/>
          <w:lang w:val="en-US"/>
        </w:rPr>
        <w:t xml:space="preserve"> </w:t>
      </w:r>
      <w:r w:rsidRPr="00B77C17">
        <w:rPr>
          <w:rFonts w:cs="Times New Roman"/>
          <w:b/>
          <w:bCs/>
          <w:lang w:val="en-US"/>
        </w:rPr>
        <w:t>7</w:t>
      </w:r>
      <w:r w:rsidRPr="00B77C17">
        <w:rPr>
          <w:rFonts w:cs="Times New Roman"/>
          <w:lang w:val="en-US"/>
        </w:rPr>
        <w:t>, (2016).</w:t>
      </w:r>
    </w:p>
    <w:p w:rsidR="00B77C17" w:rsidRPr="00B77C17" w:rsidRDefault="00B77C17" w:rsidP="00B77C17">
      <w:pPr>
        <w:pStyle w:val="Bibliographie"/>
        <w:rPr>
          <w:rFonts w:cs="Times New Roman"/>
          <w:lang w:val="en-US"/>
        </w:rPr>
      </w:pPr>
      <w:r w:rsidRPr="00B77C17">
        <w:rPr>
          <w:rFonts w:cs="Times New Roman"/>
          <w:lang w:val="en-US"/>
        </w:rPr>
        <w:t>52.</w:t>
      </w:r>
      <w:r w:rsidRPr="00B77C17">
        <w:rPr>
          <w:rFonts w:cs="Times New Roman"/>
          <w:lang w:val="en-US"/>
        </w:rPr>
        <w:tab/>
        <w:t xml:space="preserve">Srikanth, M., Annamalai, A. R., Muthuchamy, A. &amp; Jen, C.-P. A Review of the Latest Developments in the Field of Refractory High-En tropy Alloys. </w:t>
      </w:r>
      <w:r w:rsidRPr="00B77C17">
        <w:rPr>
          <w:rFonts w:cs="Times New Roman"/>
          <w:i/>
          <w:iCs/>
          <w:lang w:val="en-US"/>
        </w:rPr>
        <w:t>Crystals</w:t>
      </w:r>
      <w:r w:rsidRPr="00B77C17">
        <w:rPr>
          <w:rFonts w:cs="Times New Roman"/>
          <w:lang w:val="en-US"/>
        </w:rPr>
        <w:t xml:space="preserve"> </w:t>
      </w:r>
      <w:r w:rsidRPr="00B77C17">
        <w:rPr>
          <w:rFonts w:cs="Times New Roman"/>
          <w:b/>
          <w:bCs/>
          <w:lang w:val="en-US"/>
        </w:rPr>
        <w:t>11</w:t>
      </w:r>
      <w:r w:rsidRPr="00B77C17">
        <w:rPr>
          <w:rFonts w:cs="Times New Roman"/>
          <w:lang w:val="en-US"/>
        </w:rPr>
        <w:t>, 612 (2021).</w:t>
      </w:r>
    </w:p>
    <w:p w:rsidR="00B77C17" w:rsidRPr="00B77C17" w:rsidRDefault="00B77C17" w:rsidP="00B77C17">
      <w:pPr>
        <w:pStyle w:val="Bibliographie"/>
        <w:rPr>
          <w:rFonts w:cs="Times New Roman"/>
          <w:lang w:val="en-US"/>
        </w:rPr>
      </w:pPr>
      <w:r w:rsidRPr="00B77C17">
        <w:rPr>
          <w:rFonts w:cs="Times New Roman"/>
          <w:lang w:val="en-US"/>
        </w:rPr>
        <w:t>53.</w:t>
      </w:r>
      <w:r w:rsidRPr="00B77C17">
        <w:rPr>
          <w:rFonts w:cs="Times New Roman"/>
          <w:lang w:val="en-US"/>
        </w:rPr>
        <w:tab/>
        <w:t xml:space="preserve">Tsao, T.-K., Yeh, A.-C., Kuo, C.-M. &amp; Murakami, H. High Temperature Oxidation and Corrosion Properties of High Entropy Superalloys. </w:t>
      </w:r>
      <w:r w:rsidRPr="00B77C17">
        <w:rPr>
          <w:rFonts w:cs="Times New Roman"/>
          <w:i/>
          <w:iCs/>
          <w:lang w:val="en-US"/>
        </w:rPr>
        <w:t>Entropy</w:t>
      </w:r>
      <w:r w:rsidRPr="00B77C17">
        <w:rPr>
          <w:rFonts w:cs="Times New Roman"/>
          <w:lang w:val="en-US"/>
        </w:rPr>
        <w:t xml:space="preserve"> </w:t>
      </w:r>
      <w:r w:rsidRPr="00B77C17">
        <w:rPr>
          <w:rFonts w:cs="Times New Roman"/>
          <w:b/>
          <w:bCs/>
          <w:lang w:val="en-US"/>
        </w:rPr>
        <w:t>18</w:t>
      </w:r>
      <w:r w:rsidRPr="00B77C17">
        <w:rPr>
          <w:rFonts w:cs="Times New Roman"/>
          <w:lang w:val="en-US"/>
        </w:rPr>
        <w:t>, 62 (2016).</w:t>
      </w:r>
    </w:p>
    <w:p w:rsidR="00B77C17" w:rsidRPr="00B77C17" w:rsidRDefault="00B77C17" w:rsidP="00B77C17">
      <w:pPr>
        <w:pStyle w:val="Bibliographie"/>
        <w:rPr>
          <w:rFonts w:cs="Times New Roman"/>
          <w:lang w:val="en-US"/>
        </w:rPr>
      </w:pPr>
      <w:r w:rsidRPr="00B77C17">
        <w:rPr>
          <w:rFonts w:cs="Times New Roman"/>
          <w:lang w:val="en-US"/>
        </w:rPr>
        <w:t>54.</w:t>
      </w:r>
      <w:r w:rsidRPr="00B77C17">
        <w:rPr>
          <w:rFonts w:cs="Times New Roman"/>
          <w:lang w:val="en-US"/>
        </w:rPr>
        <w:tab/>
        <w:t xml:space="preserve">Dehury, R. K., Kumar, R., Joshi, Y. G. &amp; Gupta, V. Elemental Influence on Oxidation Behaviour of Cantor‐Based and Refract ory High Entropy Alloys: A Critical Review. </w:t>
      </w:r>
      <w:r w:rsidRPr="00B77C17">
        <w:rPr>
          <w:rFonts w:cs="Times New Roman"/>
          <w:i/>
          <w:iCs/>
          <w:lang w:val="en-US"/>
        </w:rPr>
        <w:t>Adv Eng Mater</w:t>
      </w:r>
      <w:r w:rsidRPr="00B77C17">
        <w:rPr>
          <w:rFonts w:cs="Times New Roman"/>
          <w:lang w:val="en-US"/>
        </w:rPr>
        <w:t xml:space="preserve"> </w:t>
      </w:r>
      <w:r w:rsidRPr="00B77C17">
        <w:rPr>
          <w:rFonts w:cs="Times New Roman"/>
          <w:b/>
          <w:bCs/>
          <w:lang w:val="en-US"/>
        </w:rPr>
        <w:t>26</w:t>
      </w:r>
      <w:r w:rsidRPr="00B77C17">
        <w:rPr>
          <w:rFonts w:cs="Times New Roman"/>
          <w:lang w:val="en-US"/>
        </w:rPr>
        <w:t>, (2024).</w:t>
      </w:r>
    </w:p>
    <w:p w:rsidR="00B77C17" w:rsidRPr="00B77C17" w:rsidRDefault="00B77C17" w:rsidP="00B77C17">
      <w:pPr>
        <w:pStyle w:val="Bibliographie"/>
        <w:rPr>
          <w:rFonts w:cs="Times New Roman"/>
          <w:lang w:val="en-US"/>
        </w:rPr>
      </w:pPr>
      <w:r w:rsidRPr="00B77C17">
        <w:rPr>
          <w:rFonts w:cs="Times New Roman"/>
          <w:lang w:val="en-US"/>
        </w:rPr>
        <w:t>55.</w:t>
      </w:r>
      <w:r w:rsidRPr="00B77C17">
        <w:rPr>
          <w:rFonts w:cs="Times New Roman"/>
          <w:lang w:val="en-US"/>
        </w:rPr>
        <w:tab/>
        <w:t xml:space="preserve">Sun, A. </w:t>
      </w:r>
      <w:r w:rsidRPr="00B77C17">
        <w:rPr>
          <w:rFonts w:cs="Times New Roman"/>
          <w:i/>
          <w:iCs/>
          <w:lang w:val="en-US"/>
        </w:rPr>
        <w:t>et al.</w:t>
      </w:r>
      <w:r w:rsidRPr="00B77C17">
        <w:rPr>
          <w:rFonts w:cs="Times New Roman"/>
          <w:lang w:val="en-US"/>
        </w:rPr>
        <w:t xml:space="preserve"> Fabrication, high-temperature mechanical behavior, and oxidation resis tance of high entropy alloys: A review. </w:t>
      </w:r>
      <w:r w:rsidRPr="00B77C17">
        <w:rPr>
          <w:rFonts w:cs="Times New Roman"/>
          <w:i/>
          <w:iCs/>
          <w:lang w:val="en-US"/>
        </w:rPr>
        <w:t>J. Micromech. Mol. Phys.</w:t>
      </w:r>
      <w:r w:rsidRPr="00B77C17">
        <w:rPr>
          <w:rFonts w:cs="Times New Roman"/>
          <w:lang w:val="en-US"/>
        </w:rPr>
        <w:t xml:space="preserve"> </w:t>
      </w:r>
      <w:r w:rsidRPr="00B77C17">
        <w:rPr>
          <w:rFonts w:cs="Times New Roman"/>
          <w:b/>
          <w:bCs/>
          <w:lang w:val="en-US"/>
        </w:rPr>
        <w:t>08</w:t>
      </w:r>
      <w:r w:rsidRPr="00B77C17">
        <w:rPr>
          <w:rFonts w:cs="Times New Roman"/>
          <w:lang w:val="en-US"/>
        </w:rPr>
        <w:t>, 99–122 (2023).</w:t>
      </w:r>
    </w:p>
    <w:p w:rsidR="00B77C17" w:rsidRPr="00B77C17" w:rsidRDefault="00B77C17" w:rsidP="00B77C17">
      <w:pPr>
        <w:pStyle w:val="Bibliographie"/>
        <w:rPr>
          <w:rFonts w:cs="Times New Roman"/>
          <w:lang w:val="en-US"/>
        </w:rPr>
      </w:pPr>
      <w:r w:rsidRPr="00B77C17">
        <w:rPr>
          <w:rFonts w:cs="Times New Roman"/>
          <w:lang w:val="en-US"/>
        </w:rPr>
        <w:lastRenderedPageBreak/>
        <w:t>56.</w:t>
      </w:r>
      <w:r w:rsidRPr="00B77C17">
        <w:rPr>
          <w:rFonts w:cs="Times New Roman"/>
          <w:lang w:val="en-US"/>
        </w:rPr>
        <w:tab/>
        <w:t xml:space="preserve">Liu, S. </w:t>
      </w:r>
      <w:r w:rsidRPr="00B77C17">
        <w:rPr>
          <w:rFonts w:cs="Times New Roman"/>
          <w:i/>
          <w:iCs/>
          <w:lang w:val="en-US"/>
        </w:rPr>
        <w:t>et al.</w:t>
      </w:r>
      <w:r w:rsidRPr="00B77C17">
        <w:rPr>
          <w:rFonts w:cs="Times New Roman"/>
          <w:lang w:val="en-US"/>
        </w:rPr>
        <w:t xml:space="preserve"> Oxidation behaviors and mechanical properties of L12-strengthened high -entropy alloys at 700 ℃. </w:t>
      </w:r>
      <w:r w:rsidRPr="00B77C17">
        <w:rPr>
          <w:rFonts w:cs="Times New Roman"/>
          <w:i/>
          <w:iCs/>
          <w:lang w:val="en-US"/>
        </w:rPr>
        <w:t>Corrosion Science</w:t>
      </w:r>
      <w:r w:rsidRPr="00B77C17">
        <w:rPr>
          <w:rFonts w:cs="Times New Roman"/>
          <w:lang w:val="en-US"/>
        </w:rPr>
        <w:t xml:space="preserve"> </w:t>
      </w:r>
      <w:r w:rsidRPr="00B77C17">
        <w:rPr>
          <w:rFonts w:cs="Times New Roman"/>
          <w:b/>
          <w:bCs/>
          <w:lang w:val="en-US"/>
        </w:rPr>
        <w:t>206</w:t>
      </w:r>
      <w:r w:rsidRPr="00B77C17">
        <w:rPr>
          <w:rFonts w:cs="Times New Roman"/>
          <w:lang w:val="en-US"/>
        </w:rPr>
        <w:t>, 110499 (2022).</w:t>
      </w:r>
    </w:p>
    <w:p w:rsidR="00B77C17" w:rsidRPr="00B77C17" w:rsidRDefault="00B77C17" w:rsidP="00B77C17">
      <w:pPr>
        <w:pStyle w:val="Bibliographie"/>
        <w:rPr>
          <w:rFonts w:cs="Times New Roman"/>
          <w:lang w:val="en-US"/>
        </w:rPr>
      </w:pPr>
      <w:r w:rsidRPr="00B77C17">
        <w:rPr>
          <w:rFonts w:cs="Times New Roman"/>
          <w:lang w:val="en-US"/>
        </w:rPr>
        <w:t>57.</w:t>
      </w:r>
      <w:r w:rsidRPr="00B77C17">
        <w:rPr>
          <w:rFonts w:cs="Times New Roman"/>
          <w:lang w:val="en-US"/>
        </w:rPr>
        <w:tab/>
        <w:t xml:space="preserve">Yang, J.-J. </w:t>
      </w:r>
      <w:r w:rsidRPr="00B77C17">
        <w:rPr>
          <w:rFonts w:cs="Times New Roman"/>
          <w:i/>
          <w:iCs/>
          <w:lang w:val="en-US"/>
        </w:rPr>
        <w:t>et al.</w:t>
      </w:r>
      <w:r w:rsidRPr="00B77C17">
        <w:rPr>
          <w:rFonts w:cs="Times New Roman"/>
          <w:lang w:val="en-US"/>
        </w:rPr>
        <w:t xml:space="preserve"> Improvement in oxidation behavior of Al0.2Co1.5CrFeNi1.5Ti0.3 high-ent ropy superalloys by minor Nb addition. </w:t>
      </w:r>
      <w:r w:rsidRPr="00B77C17">
        <w:rPr>
          <w:rFonts w:cs="Times New Roman"/>
          <w:i/>
          <w:iCs/>
          <w:lang w:val="en-US"/>
        </w:rPr>
        <w:t>Journal of Alloys and Compounds</w:t>
      </w:r>
      <w:r w:rsidRPr="00B77C17">
        <w:rPr>
          <w:rFonts w:cs="Times New Roman"/>
          <w:lang w:val="en-US"/>
        </w:rPr>
        <w:t xml:space="preserve"> </w:t>
      </w:r>
      <w:r w:rsidRPr="00B77C17">
        <w:rPr>
          <w:rFonts w:cs="Times New Roman"/>
          <w:b/>
          <w:bCs/>
          <w:lang w:val="en-US"/>
        </w:rPr>
        <w:t>825</w:t>
      </w:r>
      <w:r w:rsidRPr="00B77C17">
        <w:rPr>
          <w:rFonts w:cs="Times New Roman"/>
          <w:lang w:val="en-US"/>
        </w:rPr>
        <w:t>, 153983 (2020).</w:t>
      </w:r>
    </w:p>
    <w:p w:rsidR="00B77C17" w:rsidRPr="00B77C17" w:rsidRDefault="00B77C17" w:rsidP="00B77C17">
      <w:pPr>
        <w:pStyle w:val="Bibliographie"/>
        <w:rPr>
          <w:rFonts w:cs="Times New Roman"/>
          <w:lang w:val="en-US"/>
        </w:rPr>
      </w:pPr>
      <w:r w:rsidRPr="00B77C17">
        <w:rPr>
          <w:rFonts w:cs="Times New Roman"/>
          <w:lang w:val="en-US"/>
        </w:rPr>
        <w:t>58.</w:t>
      </w:r>
      <w:r w:rsidRPr="00B77C17">
        <w:rPr>
          <w:rFonts w:cs="Times New Roman"/>
          <w:lang w:val="en-US"/>
        </w:rPr>
        <w:tab/>
        <w:t xml:space="preserve">Gorr, B. </w:t>
      </w:r>
      <w:r w:rsidRPr="00B77C17">
        <w:rPr>
          <w:rFonts w:cs="Times New Roman"/>
          <w:i/>
          <w:iCs/>
          <w:lang w:val="en-US"/>
        </w:rPr>
        <w:t>et al.</w:t>
      </w:r>
      <w:r w:rsidRPr="00B77C17">
        <w:rPr>
          <w:rFonts w:cs="Times New Roman"/>
          <w:lang w:val="en-US"/>
        </w:rPr>
        <w:t xml:space="preserve"> High-Temperature Oxidation Behavior of Refractory High-Entropy Alloys: Effect of Alloy Composition. </w:t>
      </w:r>
      <w:r w:rsidRPr="00B77C17">
        <w:rPr>
          <w:rFonts w:cs="Times New Roman"/>
          <w:i/>
          <w:iCs/>
          <w:lang w:val="en-US"/>
        </w:rPr>
        <w:t>Oxid Met</w:t>
      </w:r>
      <w:r w:rsidRPr="00B77C17">
        <w:rPr>
          <w:rFonts w:cs="Times New Roman"/>
          <w:lang w:val="en-US"/>
        </w:rPr>
        <w:t xml:space="preserve"> </w:t>
      </w:r>
      <w:r w:rsidRPr="00B77C17">
        <w:rPr>
          <w:rFonts w:cs="Times New Roman"/>
          <w:b/>
          <w:bCs/>
          <w:lang w:val="en-US"/>
        </w:rPr>
        <w:t>88</w:t>
      </w:r>
      <w:r w:rsidRPr="00B77C17">
        <w:rPr>
          <w:rFonts w:cs="Times New Roman"/>
          <w:lang w:val="en-US"/>
        </w:rPr>
        <w:t>, 339–349 (2017).</w:t>
      </w:r>
    </w:p>
    <w:p w:rsidR="00B77C17" w:rsidRPr="00B77C17" w:rsidRDefault="00B77C17" w:rsidP="00B77C17">
      <w:pPr>
        <w:pStyle w:val="Bibliographie"/>
        <w:rPr>
          <w:rFonts w:cs="Times New Roman"/>
          <w:lang w:val="en-US"/>
        </w:rPr>
      </w:pPr>
      <w:r w:rsidRPr="00B77C17">
        <w:rPr>
          <w:rFonts w:cs="Times New Roman"/>
          <w:lang w:val="en-US"/>
        </w:rPr>
        <w:t>59.</w:t>
      </w:r>
      <w:r w:rsidRPr="00B77C17">
        <w:rPr>
          <w:rFonts w:cs="Times New Roman"/>
          <w:lang w:val="en-US"/>
        </w:rPr>
        <w:tab/>
        <w:t xml:space="preserve">Tang, Z. </w:t>
      </w:r>
      <w:r w:rsidRPr="00B77C17">
        <w:rPr>
          <w:rFonts w:cs="Times New Roman"/>
          <w:i/>
          <w:iCs/>
          <w:lang w:val="en-US"/>
        </w:rPr>
        <w:t>et al.</w:t>
      </w:r>
      <w:r w:rsidRPr="00B77C17">
        <w:rPr>
          <w:rFonts w:cs="Times New Roman"/>
          <w:lang w:val="en-US"/>
        </w:rPr>
        <w:t xml:space="preserve"> Rapid Experimental Screening of High‐Entropy Diborides for Superior Ox idation Resistance. </w:t>
      </w:r>
      <w:r w:rsidRPr="00B77C17">
        <w:rPr>
          <w:rFonts w:cs="Times New Roman"/>
          <w:i/>
          <w:iCs/>
          <w:lang w:val="en-US"/>
        </w:rPr>
        <w:t>Adv Funct Materials</w:t>
      </w:r>
      <w:r w:rsidRPr="00B77C17">
        <w:rPr>
          <w:rFonts w:cs="Times New Roman"/>
          <w:lang w:val="en-US"/>
        </w:rPr>
        <w:t xml:space="preserve"> </w:t>
      </w:r>
      <w:r w:rsidRPr="00B77C17">
        <w:rPr>
          <w:rFonts w:cs="Times New Roman"/>
          <w:b/>
          <w:bCs/>
          <w:lang w:val="en-US"/>
        </w:rPr>
        <w:t>34</w:t>
      </w:r>
      <w:r w:rsidRPr="00B77C17">
        <w:rPr>
          <w:rFonts w:cs="Times New Roman"/>
          <w:lang w:val="en-US"/>
        </w:rPr>
        <w:t>, (2023).</w:t>
      </w:r>
    </w:p>
    <w:p w:rsidR="00B77C17" w:rsidRPr="00B77C17" w:rsidRDefault="00B77C17" w:rsidP="00B77C17">
      <w:pPr>
        <w:pStyle w:val="Bibliographie"/>
        <w:rPr>
          <w:rFonts w:cs="Times New Roman"/>
          <w:lang w:val="en-US"/>
        </w:rPr>
      </w:pPr>
      <w:r w:rsidRPr="00B77C17">
        <w:rPr>
          <w:rFonts w:cs="Times New Roman"/>
          <w:lang w:val="en-US"/>
        </w:rPr>
        <w:t>60.</w:t>
      </w:r>
      <w:r w:rsidRPr="00B77C17">
        <w:rPr>
          <w:rFonts w:cs="Times New Roman"/>
          <w:lang w:val="en-US"/>
        </w:rPr>
        <w:tab/>
        <w:t xml:space="preserve">Liu, H., Liu, L. &amp; Xin, C. Effect of alloying elements on the structure and mechanical properties of NbMoTaWX (X = Cr, V, Ti, Zr, and Hf) refractory high-entropy alloy s. </w:t>
      </w:r>
      <w:r w:rsidRPr="00B77C17">
        <w:rPr>
          <w:rFonts w:cs="Times New Roman"/>
          <w:i/>
          <w:iCs/>
          <w:lang w:val="en-US"/>
        </w:rPr>
        <w:t>AIP Advances</w:t>
      </w:r>
      <w:r w:rsidRPr="00B77C17">
        <w:rPr>
          <w:rFonts w:cs="Times New Roman"/>
          <w:lang w:val="en-US"/>
        </w:rPr>
        <w:t xml:space="preserve"> </w:t>
      </w:r>
      <w:r w:rsidRPr="00B77C17">
        <w:rPr>
          <w:rFonts w:cs="Times New Roman"/>
          <w:b/>
          <w:bCs/>
          <w:lang w:val="en-US"/>
        </w:rPr>
        <w:t>11</w:t>
      </w:r>
      <w:r w:rsidRPr="00B77C17">
        <w:rPr>
          <w:rFonts w:cs="Times New Roman"/>
          <w:lang w:val="en-US"/>
        </w:rPr>
        <w:t>, (2021).</w:t>
      </w:r>
    </w:p>
    <w:p w:rsidR="00B77C17" w:rsidRPr="00B77C17" w:rsidRDefault="00B77C17" w:rsidP="00B77C17">
      <w:pPr>
        <w:pStyle w:val="Bibliographie"/>
        <w:rPr>
          <w:rFonts w:cs="Times New Roman"/>
          <w:lang w:val="en-US"/>
        </w:rPr>
      </w:pPr>
      <w:r w:rsidRPr="00B77C17">
        <w:rPr>
          <w:rFonts w:cs="Times New Roman"/>
        </w:rPr>
        <w:t>61.</w:t>
      </w:r>
      <w:r w:rsidRPr="00B77C17">
        <w:rPr>
          <w:rFonts w:cs="Times New Roman"/>
        </w:rPr>
        <w:tab/>
        <w:t xml:space="preserve">Tseng, K.-K. </w:t>
      </w:r>
      <w:r w:rsidRPr="00B77C17">
        <w:rPr>
          <w:rFonts w:cs="Times New Roman"/>
          <w:i/>
          <w:iCs/>
        </w:rPr>
        <w:t>et al.</w:t>
      </w:r>
      <w:r w:rsidRPr="00B77C17">
        <w:rPr>
          <w:rFonts w:cs="Times New Roman"/>
        </w:rPr>
        <w:t xml:space="preserve"> </w:t>
      </w:r>
      <w:r w:rsidRPr="00B77C17">
        <w:rPr>
          <w:rFonts w:cs="Times New Roman"/>
          <w:lang w:val="en-US"/>
        </w:rPr>
        <w:t xml:space="preserve">Effects of Mo, Nb, Ta, Ti, and Zr on Mechanical Properties of Equiatom ic Hf-Mo-Nb-Ta-Ti-Zr Alloys. </w:t>
      </w:r>
      <w:r w:rsidRPr="00B77C17">
        <w:rPr>
          <w:rFonts w:cs="Times New Roman"/>
          <w:i/>
          <w:iCs/>
          <w:lang w:val="en-US"/>
        </w:rPr>
        <w:t>Entropy</w:t>
      </w:r>
      <w:r w:rsidRPr="00B77C17">
        <w:rPr>
          <w:rFonts w:cs="Times New Roman"/>
          <w:lang w:val="en-US"/>
        </w:rPr>
        <w:t xml:space="preserve"> </w:t>
      </w:r>
      <w:r w:rsidRPr="00B77C17">
        <w:rPr>
          <w:rFonts w:cs="Times New Roman"/>
          <w:b/>
          <w:bCs/>
          <w:lang w:val="en-US"/>
        </w:rPr>
        <w:t>21</w:t>
      </w:r>
      <w:r w:rsidRPr="00B77C17">
        <w:rPr>
          <w:rFonts w:cs="Times New Roman"/>
          <w:lang w:val="en-US"/>
        </w:rPr>
        <w:t>, 15 (2018).</w:t>
      </w:r>
    </w:p>
    <w:p w:rsidR="00B77C17" w:rsidRPr="00B77C17" w:rsidRDefault="00B77C17" w:rsidP="00B77C17">
      <w:pPr>
        <w:pStyle w:val="Bibliographie"/>
        <w:rPr>
          <w:rFonts w:cs="Times New Roman"/>
          <w:lang w:val="en-US"/>
        </w:rPr>
      </w:pPr>
      <w:r w:rsidRPr="00B77C17">
        <w:rPr>
          <w:rFonts w:cs="Times New Roman"/>
          <w:lang w:val="en-US"/>
        </w:rPr>
        <w:t>62.</w:t>
      </w:r>
      <w:r w:rsidRPr="00B77C17">
        <w:rPr>
          <w:rFonts w:cs="Times New Roman"/>
          <w:lang w:val="en-US"/>
        </w:rPr>
        <w:tab/>
        <w:t xml:space="preserve">Tong, Y. </w:t>
      </w:r>
      <w:r w:rsidRPr="00B77C17">
        <w:rPr>
          <w:rFonts w:cs="Times New Roman"/>
          <w:i/>
          <w:iCs/>
          <w:lang w:val="en-US"/>
        </w:rPr>
        <w:t>et al.</w:t>
      </w:r>
      <w:r w:rsidRPr="00B77C17">
        <w:rPr>
          <w:rFonts w:cs="Times New Roman"/>
          <w:lang w:val="en-US"/>
        </w:rPr>
        <w:t xml:space="preserve"> Influence of alloying elements on mechanical and electronic properties of NbMoTaWX (X = Cr, Zr, V, Hf and Re) refractory high entropy alloys. </w:t>
      </w:r>
      <w:r w:rsidRPr="00B77C17">
        <w:rPr>
          <w:rFonts w:cs="Times New Roman"/>
          <w:i/>
          <w:iCs/>
          <w:lang w:val="en-US"/>
        </w:rPr>
        <w:t>Intermetallics</w:t>
      </w:r>
      <w:r w:rsidRPr="00B77C17">
        <w:rPr>
          <w:rFonts w:cs="Times New Roman"/>
          <w:lang w:val="en-US"/>
        </w:rPr>
        <w:t xml:space="preserve"> </w:t>
      </w:r>
      <w:r w:rsidRPr="00B77C17">
        <w:rPr>
          <w:rFonts w:cs="Times New Roman"/>
          <w:b/>
          <w:bCs/>
          <w:lang w:val="en-US"/>
        </w:rPr>
        <w:t>126</w:t>
      </w:r>
      <w:r w:rsidRPr="00B77C17">
        <w:rPr>
          <w:rFonts w:cs="Times New Roman"/>
          <w:lang w:val="en-US"/>
        </w:rPr>
        <w:t>, 106928 (2020).</w:t>
      </w:r>
    </w:p>
    <w:p w:rsidR="00B77C17" w:rsidRPr="00B77C17" w:rsidRDefault="00B77C17" w:rsidP="00B77C17">
      <w:pPr>
        <w:pStyle w:val="Bibliographie"/>
        <w:rPr>
          <w:rFonts w:cs="Times New Roman"/>
          <w:lang w:val="en-US"/>
        </w:rPr>
      </w:pPr>
      <w:r w:rsidRPr="00B77C17">
        <w:rPr>
          <w:rFonts w:cs="Times New Roman"/>
          <w:lang w:val="en-US"/>
        </w:rPr>
        <w:t>63.</w:t>
      </w:r>
      <w:r w:rsidRPr="00B77C17">
        <w:rPr>
          <w:rFonts w:cs="Times New Roman"/>
          <w:lang w:val="en-US"/>
        </w:rPr>
        <w:tab/>
        <w:t xml:space="preserve">Nugraha, F., Aulia, M. F. &amp; Achmad, T. L. Effect of Alloying Compositions on the Stacking Fault Energy and Elast icity of FeNiCrAlCo and FeNiCrAlCu: A First-principles Study for Fe-ba sed High Entropy Superalloy Design. </w:t>
      </w:r>
      <w:r w:rsidRPr="00B77C17">
        <w:rPr>
          <w:rFonts w:cs="Times New Roman"/>
          <w:i/>
          <w:iCs/>
          <w:lang w:val="en-US"/>
        </w:rPr>
        <w:t>E3S Web Conf.</w:t>
      </w:r>
      <w:r w:rsidRPr="00B77C17">
        <w:rPr>
          <w:rFonts w:cs="Times New Roman"/>
          <w:lang w:val="en-US"/>
        </w:rPr>
        <w:t xml:space="preserve"> </w:t>
      </w:r>
      <w:r w:rsidRPr="00B77C17">
        <w:rPr>
          <w:rFonts w:cs="Times New Roman"/>
          <w:b/>
          <w:bCs/>
          <w:lang w:val="en-US"/>
        </w:rPr>
        <w:t>543</w:t>
      </w:r>
      <w:r w:rsidRPr="00B77C17">
        <w:rPr>
          <w:rFonts w:cs="Times New Roman"/>
          <w:lang w:val="en-US"/>
        </w:rPr>
        <w:t>, 03009 (2024).</w:t>
      </w:r>
    </w:p>
    <w:p w:rsidR="00B77C17" w:rsidRPr="00B77C17" w:rsidRDefault="00B77C17" w:rsidP="00B77C17">
      <w:pPr>
        <w:pStyle w:val="Bibliographie"/>
        <w:rPr>
          <w:rFonts w:cs="Times New Roman"/>
          <w:lang w:val="en-US"/>
        </w:rPr>
      </w:pPr>
      <w:r w:rsidRPr="00B77C17">
        <w:rPr>
          <w:rFonts w:cs="Times New Roman"/>
          <w:lang w:val="en-US"/>
        </w:rPr>
        <w:t>64.</w:t>
      </w:r>
      <w:r w:rsidRPr="00B77C17">
        <w:rPr>
          <w:rFonts w:cs="Times New Roman"/>
          <w:lang w:val="en-US"/>
        </w:rPr>
        <w:tab/>
        <w:t xml:space="preserve">Wang, S. Q. &amp; Ye, H. Q. First-Principles Studies on the Component Dependences of High-Entropy Alloys. </w:t>
      </w:r>
      <w:r w:rsidRPr="00B77C17">
        <w:rPr>
          <w:rFonts w:cs="Times New Roman"/>
          <w:i/>
          <w:iCs/>
          <w:lang w:val="en-US"/>
        </w:rPr>
        <w:t>AMR</w:t>
      </w:r>
      <w:r w:rsidRPr="00B77C17">
        <w:rPr>
          <w:rFonts w:cs="Times New Roman"/>
          <w:lang w:val="en-US"/>
        </w:rPr>
        <w:t xml:space="preserve"> </w:t>
      </w:r>
      <w:r w:rsidRPr="00B77C17">
        <w:rPr>
          <w:rFonts w:cs="Times New Roman"/>
          <w:b/>
          <w:bCs/>
          <w:lang w:val="en-US"/>
        </w:rPr>
        <w:t>338</w:t>
      </w:r>
      <w:r w:rsidRPr="00B77C17">
        <w:rPr>
          <w:rFonts w:cs="Times New Roman"/>
          <w:lang w:val="en-US"/>
        </w:rPr>
        <w:t>, 380–383 (2011).</w:t>
      </w:r>
    </w:p>
    <w:p w:rsidR="00B77C17" w:rsidRPr="00B77C17" w:rsidRDefault="00B77C17" w:rsidP="00B77C17">
      <w:pPr>
        <w:pStyle w:val="Bibliographie"/>
        <w:rPr>
          <w:rFonts w:cs="Times New Roman"/>
          <w:lang w:val="en-US"/>
        </w:rPr>
      </w:pPr>
      <w:r w:rsidRPr="00B77C17">
        <w:rPr>
          <w:rFonts w:cs="Times New Roman"/>
          <w:lang w:val="en-US"/>
        </w:rPr>
        <w:t>65.</w:t>
      </w:r>
      <w:r w:rsidRPr="00B77C17">
        <w:rPr>
          <w:rFonts w:cs="Times New Roman"/>
          <w:lang w:val="en-US"/>
        </w:rPr>
        <w:tab/>
        <w:t xml:space="preserve">Hillel, G. </w:t>
      </w:r>
      <w:r w:rsidRPr="00B77C17">
        <w:rPr>
          <w:rFonts w:cs="Times New Roman"/>
          <w:i/>
          <w:iCs/>
          <w:lang w:val="en-US"/>
        </w:rPr>
        <w:t>et al.</w:t>
      </w:r>
      <w:r w:rsidRPr="00B77C17">
        <w:rPr>
          <w:rFonts w:cs="Times New Roman"/>
          <w:lang w:val="en-US"/>
        </w:rPr>
        <w:t xml:space="preserve"> Understanding the Role of the Constituting Elements of the AlCoCrFeNi High Entropy Alloy through the Investigation of Quaternary Alloys. </w:t>
      </w:r>
      <w:r w:rsidRPr="00B77C17">
        <w:rPr>
          <w:rFonts w:cs="Times New Roman"/>
          <w:i/>
          <w:iCs/>
          <w:lang w:val="en-US"/>
        </w:rPr>
        <w:t>Metals</w:t>
      </w:r>
      <w:r w:rsidRPr="00B77C17">
        <w:rPr>
          <w:rFonts w:cs="Times New Roman"/>
          <w:lang w:val="en-US"/>
        </w:rPr>
        <w:t xml:space="preserve"> </w:t>
      </w:r>
      <w:r w:rsidRPr="00B77C17">
        <w:rPr>
          <w:rFonts w:cs="Times New Roman"/>
          <w:b/>
          <w:bCs/>
          <w:lang w:val="en-US"/>
        </w:rPr>
        <w:t>10</w:t>
      </w:r>
      <w:r w:rsidRPr="00B77C17">
        <w:rPr>
          <w:rFonts w:cs="Times New Roman"/>
          <w:lang w:val="en-US"/>
        </w:rPr>
        <w:t>, 1275 (2020).</w:t>
      </w:r>
    </w:p>
    <w:p w:rsidR="00B77C17" w:rsidRPr="00B77C17" w:rsidRDefault="00B77C17" w:rsidP="00B77C17">
      <w:pPr>
        <w:pStyle w:val="Bibliographie"/>
        <w:rPr>
          <w:rFonts w:cs="Times New Roman"/>
          <w:lang w:val="en-US"/>
        </w:rPr>
      </w:pPr>
      <w:r w:rsidRPr="00B77C17">
        <w:rPr>
          <w:rFonts w:cs="Times New Roman"/>
          <w:lang w:val="en-US"/>
        </w:rPr>
        <w:lastRenderedPageBreak/>
        <w:t>66.</w:t>
      </w:r>
      <w:r w:rsidRPr="00B77C17">
        <w:rPr>
          <w:rFonts w:cs="Times New Roman"/>
          <w:lang w:val="en-US"/>
        </w:rPr>
        <w:tab/>
        <w:t xml:space="preserve">Song, Y. </w:t>
      </w:r>
      <w:r w:rsidRPr="00B77C17">
        <w:rPr>
          <w:rFonts w:cs="Times New Roman"/>
          <w:i/>
          <w:iCs/>
          <w:lang w:val="en-US"/>
        </w:rPr>
        <w:t>et al.</w:t>
      </w:r>
      <w:r w:rsidRPr="00B77C17">
        <w:rPr>
          <w:rFonts w:cs="Times New Roman"/>
          <w:lang w:val="en-US"/>
        </w:rPr>
        <w:t xml:space="preserve"> Effects of co-alloying Al and Cu on the corrosion behavior and mechani cal properties of nanocrystalline FeCrNiCo high entropy alloys. </w:t>
      </w:r>
      <w:r w:rsidRPr="00B77C17">
        <w:rPr>
          <w:rFonts w:cs="Times New Roman"/>
          <w:i/>
          <w:iCs/>
          <w:lang w:val="en-US"/>
        </w:rPr>
        <w:t>Corrosion Science</w:t>
      </w:r>
      <w:r w:rsidRPr="00B77C17">
        <w:rPr>
          <w:rFonts w:cs="Times New Roman"/>
          <w:lang w:val="en-US"/>
        </w:rPr>
        <w:t xml:space="preserve"> </w:t>
      </w:r>
      <w:r w:rsidRPr="00B77C17">
        <w:rPr>
          <w:rFonts w:cs="Times New Roman"/>
          <w:b/>
          <w:bCs/>
          <w:lang w:val="en-US"/>
        </w:rPr>
        <w:t>213</w:t>
      </w:r>
      <w:r w:rsidRPr="00B77C17">
        <w:rPr>
          <w:rFonts w:cs="Times New Roman"/>
          <w:lang w:val="en-US"/>
        </w:rPr>
        <w:t>, 110983 (2023).</w:t>
      </w:r>
    </w:p>
    <w:p w:rsidR="00B77C17" w:rsidRPr="00B77C17" w:rsidRDefault="00B77C17" w:rsidP="00B77C17">
      <w:pPr>
        <w:pStyle w:val="Bibliographie"/>
        <w:rPr>
          <w:rFonts w:cs="Times New Roman"/>
          <w:lang w:val="en-US"/>
        </w:rPr>
      </w:pPr>
      <w:r w:rsidRPr="00B77C17">
        <w:rPr>
          <w:rFonts w:cs="Times New Roman"/>
          <w:lang w:val="en-US"/>
        </w:rPr>
        <w:t>67.</w:t>
      </w:r>
      <w:r w:rsidRPr="00B77C17">
        <w:rPr>
          <w:rFonts w:cs="Times New Roman"/>
          <w:lang w:val="en-US"/>
        </w:rPr>
        <w:tab/>
        <w:t xml:space="preserve">Liu, Y. </w:t>
      </w:r>
      <w:r w:rsidRPr="00B77C17">
        <w:rPr>
          <w:rFonts w:cs="Times New Roman"/>
          <w:i/>
          <w:iCs/>
          <w:lang w:val="en-US"/>
        </w:rPr>
        <w:t>et al.</w:t>
      </w:r>
      <w:r w:rsidRPr="00B77C17">
        <w:rPr>
          <w:rFonts w:cs="Times New Roman"/>
          <w:lang w:val="en-US"/>
        </w:rPr>
        <w:t xml:space="preserve"> Mechanical properties of CrFeCoNiCux (0 ≤ x ≤ 0.3) H EAs from first-principles calculations. </w:t>
      </w:r>
      <w:r w:rsidRPr="00B77C17">
        <w:rPr>
          <w:rFonts w:cs="Times New Roman"/>
          <w:i/>
          <w:iCs/>
          <w:lang w:val="en-US"/>
        </w:rPr>
        <w:t>RSC Adv.</w:t>
      </w:r>
      <w:r w:rsidRPr="00B77C17">
        <w:rPr>
          <w:rFonts w:cs="Times New Roman"/>
          <w:lang w:val="en-US"/>
        </w:rPr>
        <w:t xml:space="preserve"> </w:t>
      </w:r>
      <w:r w:rsidRPr="00B77C17">
        <w:rPr>
          <w:rFonts w:cs="Times New Roman"/>
          <w:b/>
          <w:bCs/>
          <w:lang w:val="en-US"/>
        </w:rPr>
        <w:t>10</w:t>
      </w:r>
      <w:r w:rsidRPr="00B77C17">
        <w:rPr>
          <w:rFonts w:cs="Times New Roman"/>
          <w:lang w:val="en-US"/>
        </w:rPr>
        <w:t>, 41324–41331 (2020).</w:t>
      </w:r>
    </w:p>
    <w:p w:rsidR="00B77C17" w:rsidRPr="00B77C17" w:rsidRDefault="00B77C17" w:rsidP="00B77C17">
      <w:pPr>
        <w:pStyle w:val="Bibliographie"/>
        <w:rPr>
          <w:rFonts w:cs="Times New Roman"/>
        </w:rPr>
      </w:pPr>
      <w:r w:rsidRPr="00B77C17">
        <w:rPr>
          <w:rFonts w:cs="Times New Roman"/>
          <w:lang w:val="en-US"/>
        </w:rPr>
        <w:t>68.</w:t>
      </w:r>
      <w:r w:rsidRPr="00B77C17">
        <w:rPr>
          <w:rFonts w:cs="Times New Roman"/>
          <w:lang w:val="en-US"/>
        </w:rPr>
        <w:tab/>
        <w:t xml:space="preserve">Wagner, C. </w:t>
      </w:r>
      <w:r w:rsidRPr="00B77C17">
        <w:rPr>
          <w:rFonts w:cs="Times New Roman"/>
          <w:i/>
          <w:iCs/>
          <w:lang w:val="en-US"/>
        </w:rPr>
        <w:t>et al.</w:t>
      </w:r>
      <w:r w:rsidRPr="00B77C17">
        <w:rPr>
          <w:rFonts w:cs="Times New Roman"/>
          <w:lang w:val="en-US"/>
        </w:rPr>
        <w:t xml:space="preserve"> Effects of Cr/Ni ratio on physical properties of Cr-Mn-Fe-Co-Ni high-e ntropy alloys. </w:t>
      </w:r>
      <w:r w:rsidRPr="00B77C17">
        <w:rPr>
          <w:rFonts w:cs="Times New Roman"/>
          <w:i/>
          <w:iCs/>
        </w:rPr>
        <w:t>Acta Materialia</w:t>
      </w:r>
      <w:r w:rsidRPr="00B77C17">
        <w:rPr>
          <w:rFonts w:cs="Times New Roman"/>
        </w:rPr>
        <w:t xml:space="preserve"> </w:t>
      </w:r>
      <w:r w:rsidRPr="00B77C17">
        <w:rPr>
          <w:rFonts w:cs="Times New Roman"/>
          <w:b/>
          <w:bCs/>
        </w:rPr>
        <w:t>227</w:t>
      </w:r>
      <w:r w:rsidRPr="00B77C17">
        <w:rPr>
          <w:rFonts w:cs="Times New Roman"/>
        </w:rPr>
        <w:t>, 117693 (2022).</w:t>
      </w:r>
    </w:p>
    <w:p w:rsidR="00B77C17" w:rsidRPr="00B77C17" w:rsidRDefault="00B77C17" w:rsidP="00B77C17">
      <w:pPr>
        <w:pStyle w:val="Bibliographie"/>
        <w:rPr>
          <w:rFonts w:cs="Times New Roman"/>
        </w:rPr>
      </w:pPr>
      <w:r w:rsidRPr="00B77C17">
        <w:rPr>
          <w:rFonts w:cs="Times New Roman"/>
        </w:rPr>
        <w:t>69.</w:t>
      </w:r>
      <w:r w:rsidRPr="00B77C17">
        <w:rPr>
          <w:rFonts w:cs="Times New Roman"/>
        </w:rPr>
        <w:tab/>
        <w:t xml:space="preserve">Expectation–maximization algorithm. </w:t>
      </w:r>
      <w:r w:rsidRPr="00B77C17">
        <w:rPr>
          <w:rFonts w:cs="Times New Roman"/>
          <w:i/>
          <w:iCs/>
        </w:rPr>
        <w:t>Wikipedia</w:t>
      </w:r>
      <w:r w:rsidRPr="00B77C17">
        <w:rPr>
          <w:rFonts w:cs="Times New Roman"/>
        </w:rPr>
        <w:t xml:space="preserve"> (2025).</w:t>
      </w:r>
    </w:p>
    <w:p w:rsidR="00B77C17" w:rsidRPr="00B77C17" w:rsidRDefault="00B77C17" w:rsidP="00B77C17">
      <w:pPr>
        <w:pStyle w:val="Bibliographie"/>
        <w:rPr>
          <w:rFonts w:cs="Times New Roman"/>
        </w:rPr>
      </w:pPr>
      <w:r w:rsidRPr="00B77C17">
        <w:rPr>
          <w:rFonts w:cs="Times New Roman"/>
        </w:rPr>
        <w:t>70.</w:t>
      </w:r>
      <w:r w:rsidRPr="00B77C17">
        <w:rPr>
          <w:rFonts w:cs="Times New Roman"/>
        </w:rPr>
        <w:tab/>
        <w:t>Sur, F. Introduction à l’apprentissage automatique.</w:t>
      </w:r>
    </w:p>
    <w:p w:rsidR="00B77C17" w:rsidRPr="00B77C17" w:rsidRDefault="00B77C17" w:rsidP="00B77C17">
      <w:pPr>
        <w:pStyle w:val="Bibliographie"/>
        <w:rPr>
          <w:rFonts w:cs="Times New Roman"/>
          <w:lang w:val="en-US"/>
        </w:rPr>
      </w:pPr>
      <w:r w:rsidRPr="00B77C17">
        <w:rPr>
          <w:rFonts w:cs="Times New Roman"/>
          <w:lang w:val="en-US"/>
        </w:rPr>
        <w:t>71.</w:t>
      </w:r>
      <w:r w:rsidRPr="00B77C17">
        <w:rPr>
          <w:rFonts w:cs="Times New Roman"/>
          <w:lang w:val="en-US"/>
        </w:rPr>
        <w:tab/>
        <w:t xml:space="preserve">Csiszár, I. \I\-Divergence Geometry of Probability Distributions and Minimization Problems. </w:t>
      </w:r>
      <w:r w:rsidRPr="00B77C17">
        <w:rPr>
          <w:rFonts w:cs="Times New Roman"/>
          <w:i/>
          <w:iCs/>
          <w:lang w:val="en-US"/>
        </w:rPr>
        <w:t>Annals of Probability</w:t>
      </w:r>
      <w:r w:rsidRPr="00B77C17">
        <w:rPr>
          <w:rFonts w:cs="Times New Roman"/>
          <w:lang w:val="en-US"/>
        </w:rPr>
        <w:t xml:space="preserve"> </w:t>
      </w:r>
      <w:r w:rsidRPr="00B77C17">
        <w:rPr>
          <w:rFonts w:cs="Times New Roman"/>
          <w:b/>
          <w:bCs/>
          <w:lang w:val="en-US"/>
        </w:rPr>
        <w:t>3</w:t>
      </w:r>
      <w:r w:rsidRPr="00B77C17">
        <w:rPr>
          <w:rFonts w:cs="Times New Roman"/>
          <w:lang w:val="en-US"/>
        </w:rPr>
        <w:t>, 146–158 (1975).</w:t>
      </w:r>
    </w:p>
    <w:p w:rsidR="00B77C17" w:rsidRPr="00B77C17" w:rsidRDefault="00B77C17" w:rsidP="00B77C17">
      <w:pPr>
        <w:pStyle w:val="Bibliographie"/>
        <w:rPr>
          <w:rFonts w:cs="Times New Roman"/>
          <w:lang w:val="en-US"/>
        </w:rPr>
      </w:pPr>
      <w:r w:rsidRPr="00B77C17">
        <w:rPr>
          <w:rFonts w:cs="Times New Roman"/>
          <w:lang w:val="en-US"/>
        </w:rPr>
        <w:t>72.</w:t>
      </w:r>
      <w:r w:rsidRPr="00B77C17">
        <w:rPr>
          <w:rFonts w:cs="Times New Roman"/>
          <w:lang w:val="en-US"/>
        </w:rPr>
        <w:tab/>
        <w:t xml:space="preserve">S. Kullback &amp; R. A. Leibler. On Information and Sufficiency. </w:t>
      </w:r>
      <w:r w:rsidRPr="00B77C17">
        <w:rPr>
          <w:rFonts w:cs="Times New Roman"/>
          <w:i/>
          <w:iCs/>
          <w:lang w:val="en-US"/>
        </w:rPr>
        <w:t>The Annals of Mathematical Statistics</w:t>
      </w:r>
      <w:r w:rsidRPr="00B77C17">
        <w:rPr>
          <w:rFonts w:cs="Times New Roman"/>
          <w:lang w:val="en-US"/>
        </w:rPr>
        <w:t xml:space="preserve"> </w:t>
      </w:r>
      <w:r w:rsidRPr="00B77C17">
        <w:rPr>
          <w:rFonts w:cs="Times New Roman"/>
          <w:b/>
          <w:bCs/>
          <w:lang w:val="en-US"/>
        </w:rPr>
        <w:t>22</w:t>
      </w:r>
      <w:r w:rsidRPr="00B77C17">
        <w:rPr>
          <w:rFonts w:cs="Times New Roman"/>
          <w:lang w:val="en-US"/>
        </w:rPr>
        <w:t>, 79–86 (1951).</w:t>
      </w:r>
    </w:p>
    <w:p w:rsidR="00B77C17" w:rsidRPr="00B77C17" w:rsidRDefault="00B77C17" w:rsidP="00B77C17">
      <w:pPr>
        <w:pStyle w:val="Bibliographie"/>
        <w:rPr>
          <w:rFonts w:cs="Times New Roman"/>
          <w:lang w:val="en-US"/>
        </w:rPr>
      </w:pPr>
      <w:r w:rsidRPr="00B77C17">
        <w:rPr>
          <w:rFonts w:cs="Times New Roman"/>
          <w:lang w:val="en-US"/>
        </w:rPr>
        <w:t>73.</w:t>
      </w:r>
      <w:r w:rsidRPr="00B77C17">
        <w:rPr>
          <w:rFonts w:cs="Times New Roman"/>
          <w:lang w:val="en-US"/>
        </w:rPr>
        <w:tab/>
        <w:t>Information theory and statistics - Solomon Kullback.pdf.</w:t>
      </w:r>
    </w:p>
    <w:p w:rsidR="00B77C17" w:rsidRPr="00B77C17" w:rsidRDefault="00B77C17" w:rsidP="00B77C17">
      <w:pPr>
        <w:pStyle w:val="Bibliographie"/>
        <w:rPr>
          <w:rFonts w:cs="Times New Roman"/>
          <w:lang w:val="en-US"/>
        </w:rPr>
      </w:pPr>
      <w:r w:rsidRPr="00B77C17">
        <w:rPr>
          <w:rFonts w:cs="Times New Roman"/>
          <w:lang w:val="en-US"/>
        </w:rPr>
        <w:t>74.</w:t>
      </w:r>
      <w:r w:rsidRPr="00B77C17">
        <w:rPr>
          <w:rFonts w:cs="Times New Roman"/>
          <w:lang w:val="en-US"/>
        </w:rPr>
        <w:tab/>
        <w:t xml:space="preserve">Neyman, J. &amp; Pearson, E. S. IX. On the problem of the most efficient tests of statistical hypotheses. </w:t>
      </w:r>
      <w:r w:rsidRPr="00B77C17">
        <w:rPr>
          <w:rFonts w:cs="Times New Roman"/>
          <w:i/>
          <w:iCs/>
          <w:lang w:val="en-US"/>
        </w:rPr>
        <w:t>Philosophical Transactions of the Royal Society of London. Series A, Containing Papers of a Mathematical or Physical Character</w:t>
      </w:r>
      <w:r w:rsidRPr="00B77C17">
        <w:rPr>
          <w:rFonts w:cs="Times New Roman"/>
          <w:lang w:val="en-US"/>
        </w:rPr>
        <w:t xml:space="preserve"> </w:t>
      </w:r>
      <w:r w:rsidRPr="00B77C17">
        <w:rPr>
          <w:rFonts w:cs="Times New Roman"/>
          <w:b/>
          <w:bCs/>
          <w:lang w:val="en-US"/>
        </w:rPr>
        <w:t>231</w:t>
      </w:r>
      <w:r w:rsidRPr="00B77C17">
        <w:rPr>
          <w:rFonts w:cs="Times New Roman"/>
          <w:lang w:val="en-US"/>
        </w:rPr>
        <w:t>, 289–337 (1997).</w:t>
      </w:r>
    </w:p>
    <w:p w:rsidR="00B77C17" w:rsidRPr="00B77C17" w:rsidRDefault="00B77C17" w:rsidP="00B77C17">
      <w:pPr>
        <w:pStyle w:val="Bibliographie"/>
        <w:rPr>
          <w:rFonts w:cs="Times New Roman"/>
          <w:lang w:val="en-US"/>
        </w:rPr>
      </w:pPr>
      <w:r w:rsidRPr="00B77C17">
        <w:rPr>
          <w:rFonts w:cs="Times New Roman"/>
          <w:lang w:val="en-US"/>
        </w:rPr>
        <w:t>75.</w:t>
      </w:r>
      <w:r w:rsidRPr="00B77C17">
        <w:rPr>
          <w:rFonts w:cs="Times New Roman"/>
          <w:lang w:val="en-US"/>
        </w:rPr>
        <w:tab/>
        <w:t xml:space="preserve">Kullback–Leibler divergence. </w:t>
      </w:r>
      <w:r w:rsidRPr="00B77C17">
        <w:rPr>
          <w:rFonts w:cs="Times New Roman"/>
          <w:i/>
          <w:iCs/>
          <w:lang w:val="en-US"/>
        </w:rPr>
        <w:t>Wikipedia</w:t>
      </w:r>
      <w:r w:rsidRPr="00B77C17">
        <w:rPr>
          <w:rFonts w:cs="Times New Roman"/>
          <w:lang w:val="en-US"/>
        </w:rPr>
        <w:t xml:space="preserve"> (2025).</w:t>
      </w:r>
    </w:p>
    <w:p w:rsidR="00B77C17" w:rsidRPr="00B77C17" w:rsidRDefault="00B77C17" w:rsidP="00B77C17">
      <w:pPr>
        <w:pStyle w:val="Bibliographie"/>
        <w:rPr>
          <w:rFonts w:cs="Times New Roman"/>
          <w:lang w:val="en-US"/>
        </w:rPr>
      </w:pPr>
      <w:r w:rsidRPr="00B77C17">
        <w:rPr>
          <w:rFonts w:cs="Times New Roman"/>
          <w:lang w:val="en-US"/>
        </w:rPr>
        <w:t>76.</w:t>
      </w:r>
      <w:r w:rsidRPr="00B77C17">
        <w:rPr>
          <w:rFonts w:cs="Times New Roman"/>
          <w:lang w:val="en-US"/>
        </w:rPr>
        <w:tab/>
        <w:t xml:space="preserve">Kingma, D. P. &amp; Welling, M. An Introduction to Variational Autoencoders. </w:t>
      </w:r>
      <w:r w:rsidRPr="00B77C17">
        <w:rPr>
          <w:rFonts w:cs="Times New Roman"/>
          <w:i/>
          <w:iCs/>
          <w:lang w:val="en-US"/>
        </w:rPr>
        <w:t>FNT in Machine Learning</w:t>
      </w:r>
      <w:r w:rsidRPr="00B77C17">
        <w:rPr>
          <w:rFonts w:cs="Times New Roman"/>
          <w:lang w:val="en-US"/>
        </w:rPr>
        <w:t xml:space="preserve"> </w:t>
      </w:r>
      <w:r w:rsidRPr="00B77C17">
        <w:rPr>
          <w:rFonts w:cs="Times New Roman"/>
          <w:b/>
          <w:bCs/>
          <w:lang w:val="en-US"/>
        </w:rPr>
        <w:t>12</w:t>
      </w:r>
      <w:r w:rsidRPr="00B77C17">
        <w:rPr>
          <w:rFonts w:cs="Times New Roman"/>
          <w:lang w:val="en-US"/>
        </w:rPr>
        <w:t>, 307–392 (2019).</w:t>
      </w:r>
    </w:p>
    <w:p w:rsidR="00B77C17" w:rsidRPr="00B77C17" w:rsidRDefault="00B77C17" w:rsidP="00B77C17">
      <w:pPr>
        <w:pStyle w:val="Bibliographie"/>
        <w:rPr>
          <w:rFonts w:cs="Times New Roman"/>
          <w:lang w:val="en-US"/>
        </w:rPr>
      </w:pPr>
      <w:r w:rsidRPr="00B77C17">
        <w:rPr>
          <w:rFonts w:cs="Times New Roman"/>
          <w:lang w:val="en-US"/>
        </w:rPr>
        <w:t>77.</w:t>
      </w:r>
      <w:r w:rsidRPr="00B77C17">
        <w:rPr>
          <w:rFonts w:cs="Times New Roman"/>
          <w:lang w:val="en-US"/>
        </w:rPr>
        <w:tab/>
        <w:t xml:space="preserve">Kingma, D. &amp; Welling, M. Auto-Encoding Variational Bayes. </w:t>
      </w:r>
      <w:r w:rsidRPr="00B77C17">
        <w:rPr>
          <w:rFonts w:cs="Times New Roman"/>
          <w:i/>
          <w:iCs/>
          <w:lang w:val="en-US"/>
        </w:rPr>
        <w:t>ICLR</w:t>
      </w:r>
      <w:r w:rsidRPr="00B77C17">
        <w:rPr>
          <w:rFonts w:cs="Times New Roman"/>
          <w:lang w:val="en-US"/>
        </w:rPr>
        <w:t xml:space="preserve"> (2013).</w:t>
      </w:r>
    </w:p>
    <w:p w:rsidR="00B77C17" w:rsidRPr="00B77C17" w:rsidRDefault="00B77C17" w:rsidP="00B77C17">
      <w:pPr>
        <w:pStyle w:val="Bibliographie"/>
        <w:rPr>
          <w:rFonts w:cs="Times New Roman"/>
          <w:lang w:val="en-US"/>
        </w:rPr>
      </w:pPr>
      <w:r w:rsidRPr="00B77C17">
        <w:rPr>
          <w:rFonts w:cs="Times New Roman"/>
          <w:lang w:val="en-US"/>
        </w:rPr>
        <w:t>78.</w:t>
      </w:r>
      <w:r w:rsidRPr="00B77C17">
        <w:rPr>
          <w:rFonts w:cs="Times New Roman"/>
          <w:lang w:val="en-US"/>
        </w:rPr>
        <w:tab/>
        <w:t xml:space="preserve">Zeng, C., Khan, Z. &amp; Post, N. Data-efficient and interpretable inverse materials design using a disentangled variational autoencoder. </w:t>
      </w:r>
      <w:r w:rsidRPr="00B77C17">
        <w:rPr>
          <w:rFonts w:cs="Times New Roman"/>
          <w:i/>
          <w:iCs/>
          <w:lang w:val="en-US"/>
        </w:rPr>
        <w:t>AI &amp; Materials</w:t>
      </w:r>
      <w:r w:rsidRPr="00B77C17">
        <w:rPr>
          <w:rFonts w:cs="Times New Roman"/>
          <w:lang w:val="en-US"/>
        </w:rPr>
        <w:t xml:space="preserve"> https://doi.org/10.55092/aimat20250002 (2024) doi:10.55092/aimat20250002.</w:t>
      </w:r>
    </w:p>
    <w:p w:rsidR="00B77C17" w:rsidRPr="00B77C17" w:rsidRDefault="00B77C17" w:rsidP="00B77C17">
      <w:pPr>
        <w:pStyle w:val="Bibliographie"/>
        <w:rPr>
          <w:rFonts w:cs="Times New Roman"/>
          <w:lang w:val="en-US"/>
        </w:rPr>
      </w:pPr>
      <w:r w:rsidRPr="00B77C17">
        <w:rPr>
          <w:rFonts w:cs="Times New Roman"/>
          <w:lang w:val="en-US"/>
        </w:rPr>
        <w:lastRenderedPageBreak/>
        <w:t>79.</w:t>
      </w:r>
      <w:r w:rsidRPr="00B77C17">
        <w:rPr>
          <w:rFonts w:cs="Times New Roman"/>
          <w:lang w:val="en-US"/>
        </w:rPr>
        <w:tab/>
        <w:t xml:space="preserve">Lee, C.-Y., Jui, C.-Y., Yeh, A.-C., Chang, Y.-J. &amp; Lee, W.-J. Inverse design of high entropy alloys using a deep interpretable scheme for materials attribution analysis. </w:t>
      </w:r>
      <w:r w:rsidRPr="00B77C17">
        <w:rPr>
          <w:rFonts w:cs="Times New Roman"/>
          <w:i/>
          <w:iCs/>
          <w:lang w:val="en-US"/>
        </w:rPr>
        <w:t>Journal of Alloys and Compounds</w:t>
      </w:r>
      <w:r w:rsidRPr="00B77C17">
        <w:rPr>
          <w:rFonts w:cs="Times New Roman"/>
          <w:lang w:val="en-US"/>
        </w:rPr>
        <w:t xml:space="preserve"> </w:t>
      </w:r>
      <w:r w:rsidRPr="00B77C17">
        <w:rPr>
          <w:rFonts w:cs="Times New Roman"/>
          <w:b/>
          <w:bCs/>
          <w:lang w:val="en-US"/>
        </w:rPr>
        <w:t>976</w:t>
      </w:r>
      <w:r w:rsidRPr="00B77C17">
        <w:rPr>
          <w:rFonts w:cs="Times New Roman"/>
          <w:lang w:val="en-US"/>
        </w:rPr>
        <w:t>, 173144 (2024).</w:t>
      </w:r>
    </w:p>
    <w:p w:rsidR="00B77C17" w:rsidRPr="00B77C17" w:rsidRDefault="00B77C17" w:rsidP="00B77C17">
      <w:pPr>
        <w:pStyle w:val="Bibliographie"/>
        <w:rPr>
          <w:rFonts w:cs="Times New Roman"/>
          <w:lang w:val="en-US"/>
        </w:rPr>
      </w:pPr>
      <w:r w:rsidRPr="00B77C17">
        <w:rPr>
          <w:rFonts w:cs="Times New Roman"/>
          <w:lang w:val="en-US"/>
        </w:rPr>
        <w:t>80.</w:t>
      </w:r>
      <w:r w:rsidRPr="00B77C17">
        <w:rPr>
          <w:rFonts w:cs="Times New Roman"/>
          <w:lang w:val="en-US"/>
        </w:rPr>
        <w:tab/>
        <w:t>Tung, Y. C., Debnath, A. &amp; Reinhart, W. F. Evaluating generative models for inverse design of high-entropy refractory alloys. https://scholarsphere.psu.edu/resources/c2ae7ae3-9cbd-4d10-a6e5-6a8c29bf37c4 (2022).</w:t>
      </w:r>
    </w:p>
    <w:p w:rsidR="00B77C17" w:rsidRPr="00B77C17" w:rsidRDefault="00B77C17" w:rsidP="00B77C17">
      <w:pPr>
        <w:pStyle w:val="Bibliographie"/>
        <w:rPr>
          <w:rFonts w:cs="Times New Roman"/>
          <w:lang w:val="en-US"/>
        </w:rPr>
      </w:pPr>
      <w:r w:rsidRPr="00B77C17">
        <w:rPr>
          <w:rFonts w:cs="Times New Roman"/>
          <w:lang w:val="en-US"/>
        </w:rPr>
        <w:t>81.</w:t>
      </w:r>
      <w:r w:rsidRPr="00B77C17">
        <w:rPr>
          <w:rFonts w:cs="Times New Roman"/>
          <w:lang w:val="en-US"/>
        </w:rPr>
        <w:tab/>
        <w:t xml:space="preserve">Xu, Y. </w:t>
      </w:r>
      <w:r w:rsidRPr="00B77C17">
        <w:rPr>
          <w:rFonts w:cs="Times New Roman"/>
          <w:i/>
          <w:iCs/>
          <w:lang w:val="en-US"/>
        </w:rPr>
        <w:t>et al.</w:t>
      </w:r>
      <w:r w:rsidRPr="00B77C17">
        <w:rPr>
          <w:rFonts w:cs="Times New Roman"/>
          <w:lang w:val="en-US"/>
        </w:rPr>
        <w:t xml:space="preserve"> Exploring Optimized Organic Fluorophore Search through Experimental Data-Driven Adaptive </w:t>
      </w:r>
      <w:r w:rsidRPr="00B77C17">
        <w:rPr>
          <w:rFonts w:cs="Times New Roman"/>
        </w:rPr>
        <w:t>β</w:t>
      </w:r>
      <w:r w:rsidRPr="00B77C17">
        <w:rPr>
          <w:rFonts w:cs="Times New Roman"/>
          <w:lang w:val="en-US"/>
        </w:rPr>
        <w:t xml:space="preserve">-VAE. </w:t>
      </w:r>
      <w:r w:rsidRPr="00B77C17">
        <w:rPr>
          <w:rFonts w:cs="Times New Roman"/>
          <w:i/>
          <w:iCs/>
          <w:lang w:val="en-US"/>
        </w:rPr>
        <w:t>JACS Au</w:t>
      </w:r>
      <w:r w:rsidRPr="00B77C17">
        <w:rPr>
          <w:rFonts w:cs="Times New Roman"/>
          <w:lang w:val="en-US"/>
        </w:rPr>
        <w:t xml:space="preserve"> </w:t>
      </w:r>
      <w:r w:rsidRPr="00B77C17">
        <w:rPr>
          <w:rFonts w:cs="Times New Roman"/>
          <w:b/>
          <w:bCs/>
          <w:lang w:val="en-US"/>
        </w:rPr>
        <w:t>5</w:t>
      </w:r>
      <w:r w:rsidRPr="00B77C17">
        <w:rPr>
          <w:rFonts w:cs="Times New Roman"/>
          <w:lang w:val="en-US"/>
        </w:rPr>
        <w:t>, 3082–3091 (2025).</w:t>
      </w:r>
    </w:p>
    <w:p w:rsidR="00B77C17" w:rsidRPr="00B77C17" w:rsidRDefault="00B77C17" w:rsidP="00B77C17">
      <w:pPr>
        <w:pStyle w:val="Bibliographie"/>
        <w:rPr>
          <w:rFonts w:cs="Times New Roman"/>
          <w:lang w:val="en-US"/>
        </w:rPr>
      </w:pPr>
      <w:r w:rsidRPr="00B77C17">
        <w:rPr>
          <w:rFonts w:cs="Times New Roman"/>
          <w:lang w:val="en-US"/>
        </w:rPr>
        <w:t>82.</w:t>
      </w:r>
      <w:r w:rsidRPr="00B77C17">
        <w:rPr>
          <w:rFonts w:cs="Times New Roman"/>
          <w:lang w:val="en-US"/>
        </w:rPr>
        <w:tab/>
        <w:t xml:space="preserve">Sønderby, C., Raiko, T., Maaløe, L., Sønderby, S. &amp; Winther, O. Ladder Variational Autoencoders. </w:t>
      </w:r>
      <w:r w:rsidRPr="00B77C17">
        <w:rPr>
          <w:rFonts w:cs="Times New Roman"/>
          <w:i/>
          <w:iCs/>
          <w:lang w:val="en-US"/>
        </w:rPr>
        <w:t>Arxiv</w:t>
      </w:r>
      <w:r w:rsidRPr="00B77C17">
        <w:rPr>
          <w:rFonts w:cs="Times New Roman"/>
          <w:lang w:val="en-US"/>
        </w:rPr>
        <w:t xml:space="preserve"> (2016).</w:t>
      </w:r>
    </w:p>
    <w:p w:rsidR="00B77C17" w:rsidRPr="00B77C17" w:rsidRDefault="00B77C17" w:rsidP="00B77C17">
      <w:pPr>
        <w:pStyle w:val="Bibliographie"/>
        <w:rPr>
          <w:rFonts w:cs="Times New Roman"/>
          <w:lang w:val="en-US"/>
        </w:rPr>
      </w:pPr>
      <w:r w:rsidRPr="00B77C17">
        <w:rPr>
          <w:rFonts w:cs="Times New Roman"/>
          <w:lang w:val="en-US"/>
        </w:rPr>
        <w:t>83.</w:t>
      </w:r>
      <w:r w:rsidRPr="00B77C17">
        <w:rPr>
          <w:rFonts w:cs="Times New Roman"/>
          <w:lang w:val="en-US"/>
        </w:rPr>
        <w:tab/>
        <w:t xml:space="preserve">Pincus, R. Aitchison, J.: The Statistical Analysis of Compositional Data. Chapman and Hall, London - New York 1986, XII, 416 pp., £ 25,00. </w:t>
      </w:r>
      <w:r w:rsidRPr="00B77C17">
        <w:rPr>
          <w:rFonts w:cs="Times New Roman"/>
          <w:i/>
          <w:iCs/>
          <w:lang w:val="en-US"/>
        </w:rPr>
        <w:t>Biometrical Journal</w:t>
      </w:r>
      <w:r w:rsidRPr="00B77C17">
        <w:rPr>
          <w:rFonts w:cs="Times New Roman"/>
          <w:lang w:val="en-US"/>
        </w:rPr>
        <w:t xml:space="preserve"> </w:t>
      </w:r>
      <w:r w:rsidRPr="00B77C17">
        <w:rPr>
          <w:rFonts w:cs="Times New Roman"/>
          <w:b/>
          <w:bCs/>
          <w:lang w:val="en-US"/>
        </w:rPr>
        <w:t>30</w:t>
      </w:r>
      <w:r w:rsidRPr="00B77C17">
        <w:rPr>
          <w:rFonts w:cs="Times New Roman"/>
          <w:lang w:val="en-US"/>
        </w:rPr>
        <w:t>, 794–794 (1988).</w:t>
      </w:r>
    </w:p>
    <w:p w:rsidR="00B77C17" w:rsidRPr="007419CB" w:rsidRDefault="00B77C17" w:rsidP="0021751D">
      <w:pPr>
        <w:spacing w:after="160" w:line="480" w:lineRule="auto"/>
        <w:rPr>
          <w:lang w:val="en-US"/>
        </w:rPr>
      </w:pPr>
      <w:r>
        <w:rPr>
          <w:lang w:val="en-US"/>
        </w:rPr>
        <w:fldChar w:fldCharType="end"/>
      </w:r>
    </w:p>
    <w:sectPr w:rsidR="00B77C17" w:rsidRPr="007419CB">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EC4" w:rsidRDefault="00716EC4" w:rsidP="00FC0993">
      <w:r>
        <w:separator/>
      </w:r>
    </w:p>
  </w:endnote>
  <w:endnote w:type="continuationSeparator" w:id="0">
    <w:p w:rsidR="00716EC4" w:rsidRDefault="00716EC4" w:rsidP="00FC0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189495"/>
      <w:docPartObj>
        <w:docPartGallery w:val="Page Numbers (Bottom of Page)"/>
        <w:docPartUnique/>
      </w:docPartObj>
    </w:sdtPr>
    <w:sdtContent>
      <w:p w:rsidR="00380C88" w:rsidRDefault="00380C88">
        <w:pPr>
          <w:pStyle w:val="Pieddepage"/>
          <w:jc w:val="right"/>
        </w:pPr>
        <w:r>
          <w:fldChar w:fldCharType="begin"/>
        </w:r>
        <w:r>
          <w:instrText>PAGE   \* MERGEFORMAT</w:instrText>
        </w:r>
        <w:r>
          <w:fldChar w:fldCharType="separate"/>
        </w:r>
        <w:r>
          <w:t>2</w:t>
        </w:r>
        <w:r>
          <w:fldChar w:fldCharType="end"/>
        </w:r>
      </w:p>
    </w:sdtContent>
  </w:sdt>
  <w:p w:rsidR="00380C88" w:rsidRDefault="00380C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EC4" w:rsidRDefault="00716EC4" w:rsidP="00FC0993">
      <w:r>
        <w:separator/>
      </w:r>
    </w:p>
  </w:footnote>
  <w:footnote w:type="continuationSeparator" w:id="0">
    <w:p w:rsidR="00716EC4" w:rsidRDefault="00716EC4" w:rsidP="00FC0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EE2"/>
    <w:multiLevelType w:val="multilevel"/>
    <w:tmpl w:val="A05677EA"/>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78810C2"/>
    <w:multiLevelType w:val="multilevel"/>
    <w:tmpl w:val="1A127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5E140F"/>
    <w:multiLevelType w:val="hybridMultilevel"/>
    <w:tmpl w:val="5BCAC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7E5E64"/>
    <w:multiLevelType w:val="hybridMultilevel"/>
    <w:tmpl w:val="D5A23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907094"/>
    <w:multiLevelType w:val="multilevel"/>
    <w:tmpl w:val="EF9E3E56"/>
    <w:styleLink w:val="styleannexe"/>
    <w:lvl w:ilvl="0">
      <w:start w:val="1"/>
      <w:numFmt w:val="decimal"/>
      <w:lvlText w:val="%1."/>
      <w:lvlJc w:val="left"/>
      <w:pPr>
        <w:ind w:left="1080" w:hanging="360"/>
      </w:pPr>
      <w:rPr>
        <w:rFonts w:hint="default"/>
      </w:rPr>
    </w:lvl>
    <w:lvl w:ilvl="1">
      <w:start w:val="1"/>
      <w:numFmt w:val="upperRoman"/>
      <w:lvlText w:val="%1.%2."/>
      <w:lvlJc w:val="left"/>
      <w:pPr>
        <w:ind w:left="1512" w:hanging="432"/>
      </w:pPr>
      <w:rPr>
        <w:rFonts w:ascii="Times New Roman" w:hAnsi="Times New Roman" w:hint="default"/>
        <w:sz w:val="24"/>
      </w:rPr>
    </w:lvl>
    <w:lvl w:ilvl="2">
      <w:start w:val="1"/>
      <w:numFmt w:val="decimal"/>
      <w:lvlText w:val="%2%1..%3."/>
      <w:lvlJc w:val="left"/>
      <w:pPr>
        <w:ind w:left="1944" w:hanging="504"/>
      </w:pPr>
      <w:rPr>
        <w:rFonts w:ascii="Times New Roman" w:hAnsi="Times New Roman" w:cs="Times New Roman" w:hint="default"/>
        <w:color w:val="auto"/>
        <w:sz w:val="24"/>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106C3BF1"/>
    <w:multiLevelType w:val="multilevel"/>
    <w:tmpl w:val="9C34EC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6A2168"/>
    <w:multiLevelType w:val="multilevel"/>
    <w:tmpl w:val="A324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D76E2"/>
    <w:multiLevelType w:val="hybridMultilevel"/>
    <w:tmpl w:val="0A78E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CA18BC"/>
    <w:multiLevelType w:val="multilevel"/>
    <w:tmpl w:val="4B487FBC"/>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5531A18"/>
    <w:multiLevelType w:val="hybridMultilevel"/>
    <w:tmpl w:val="82BA9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600D05"/>
    <w:multiLevelType w:val="multilevel"/>
    <w:tmpl w:val="6C36D6C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26793991"/>
    <w:multiLevelType w:val="multilevel"/>
    <w:tmpl w:val="7488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84B7E"/>
    <w:multiLevelType w:val="multilevel"/>
    <w:tmpl w:val="CB68D462"/>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A83175B"/>
    <w:multiLevelType w:val="hybridMultilevel"/>
    <w:tmpl w:val="4992F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7C7533"/>
    <w:multiLevelType w:val="multilevel"/>
    <w:tmpl w:val="E364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D5C0E"/>
    <w:multiLevelType w:val="multilevel"/>
    <w:tmpl w:val="AE48A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B74D59"/>
    <w:multiLevelType w:val="multilevel"/>
    <w:tmpl w:val="0D6A174E"/>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7" w15:restartNumberingAfterBreak="0">
    <w:nsid w:val="34624CC9"/>
    <w:multiLevelType w:val="multilevel"/>
    <w:tmpl w:val="008C31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6CF4FAF"/>
    <w:multiLevelType w:val="multilevel"/>
    <w:tmpl w:val="61100B30"/>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AC728A1"/>
    <w:multiLevelType w:val="multilevel"/>
    <w:tmpl w:val="14205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4A438F"/>
    <w:multiLevelType w:val="multilevel"/>
    <w:tmpl w:val="F65AA352"/>
    <w:lvl w:ilvl="0">
      <w:start w:val="1"/>
      <w:numFmt w:val="decimal"/>
      <w:lvlText w:val="%1."/>
      <w:lvlJc w:val="left"/>
      <w:pPr>
        <w:tabs>
          <w:tab w:val="num" w:pos="720"/>
        </w:tabs>
        <w:ind w:left="720" w:hanging="360"/>
      </w:pPr>
      <w:rPr>
        <w:rFonts w:hint="default"/>
        <w:sz w:val="20"/>
      </w:rPr>
    </w:lvl>
    <w:lvl w:ilvl="1">
      <w:start w:val="62"/>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47252"/>
    <w:multiLevelType w:val="multilevel"/>
    <w:tmpl w:val="01F8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21A42"/>
    <w:multiLevelType w:val="hybridMultilevel"/>
    <w:tmpl w:val="1BCCD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7B4364"/>
    <w:multiLevelType w:val="multilevel"/>
    <w:tmpl w:val="4A868B78"/>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46F913E6"/>
    <w:multiLevelType w:val="multilevel"/>
    <w:tmpl w:val="06F09422"/>
    <w:lvl w:ilvl="0">
      <w:start w:val="1"/>
      <w:numFmt w:val="bullet"/>
      <w:lvlText w:val=""/>
      <w:lvlJc w:val="left"/>
      <w:pPr>
        <w:ind w:left="720" w:hanging="360"/>
      </w:pPr>
      <w:rPr>
        <w:rFonts w:ascii="Symbol" w:hAnsi="Symbol" w:hint="default"/>
      </w:rPr>
    </w:lvl>
    <w:lvl w:ilvl="1">
      <w:start w:val="1"/>
      <w:numFmt w:val="bullet"/>
      <w:lvlText w:val="o"/>
      <w:lvlJc w:val="left"/>
      <w:pPr>
        <w:ind w:left="732" w:hanging="360"/>
      </w:pPr>
      <w:rPr>
        <w:rFonts w:ascii="Courier New" w:hAnsi="Courier New" w:cs="Courier New" w:hint="default"/>
      </w:rPr>
    </w:lvl>
    <w:lvl w:ilvl="2">
      <w:start w:val="1"/>
      <w:numFmt w:val="bullet"/>
      <w:lvlText w:val=""/>
      <w:lvlJc w:val="left"/>
      <w:pPr>
        <w:ind w:left="1452" w:hanging="360"/>
      </w:pPr>
      <w:rPr>
        <w:rFonts w:ascii="Wingdings" w:hAnsi="Wingdings" w:hint="default"/>
      </w:rPr>
    </w:lvl>
    <w:lvl w:ilvl="3">
      <w:start w:val="1"/>
      <w:numFmt w:val="bullet"/>
      <w:lvlText w:val=""/>
      <w:lvlJc w:val="left"/>
      <w:pPr>
        <w:ind w:left="2172" w:hanging="360"/>
      </w:pPr>
      <w:rPr>
        <w:rFonts w:ascii="Symbol" w:hAnsi="Symbol" w:hint="default"/>
      </w:rPr>
    </w:lvl>
    <w:lvl w:ilvl="4">
      <w:start w:val="1"/>
      <w:numFmt w:val="bullet"/>
      <w:lvlText w:val="o"/>
      <w:lvlJc w:val="left"/>
      <w:pPr>
        <w:ind w:left="2892" w:hanging="360"/>
      </w:pPr>
      <w:rPr>
        <w:rFonts w:ascii="Courier New" w:hAnsi="Courier New" w:cs="Courier New" w:hint="default"/>
      </w:rPr>
    </w:lvl>
    <w:lvl w:ilvl="5">
      <w:start w:val="1"/>
      <w:numFmt w:val="bullet"/>
      <w:lvlText w:val=""/>
      <w:lvlJc w:val="left"/>
      <w:pPr>
        <w:ind w:left="3612" w:hanging="360"/>
      </w:pPr>
      <w:rPr>
        <w:rFonts w:ascii="Wingdings" w:hAnsi="Wingdings" w:hint="default"/>
      </w:rPr>
    </w:lvl>
    <w:lvl w:ilvl="6">
      <w:start w:val="1"/>
      <w:numFmt w:val="bullet"/>
      <w:lvlText w:val=""/>
      <w:lvlJc w:val="left"/>
      <w:pPr>
        <w:ind w:left="4332" w:hanging="360"/>
      </w:pPr>
      <w:rPr>
        <w:rFonts w:ascii="Symbol" w:hAnsi="Symbol" w:hint="default"/>
      </w:rPr>
    </w:lvl>
    <w:lvl w:ilvl="7">
      <w:start w:val="1"/>
      <w:numFmt w:val="bullet"/>
      <w:lvlText w:val="o"/>
      <w:lvlJc w:val="left"/>
      <w:pPr>
        <w:ind w:left="5052" w:hanging="360"/>
      </w:pPr>
      <w:rPr>
        <w:rFonts w:ascii="Courier New" w:hAnsi="Courier New" w:cs="Courier New" w:hint="default"/>
      </w:rPr>
    </w:lvl>
    <w:lvl w:ilvl="8">
      <w:start w:val="1"/>
      <w:numFmt w:val="bullet"/>
      <w:lvlText w:val=""/>
      <w:lvlJc w:val="left"/>
      <w:pPr>
        <w:ind w:left="5772" w:hanging="360"/>
      </w:pPr>
      <w:rPr>
        <w:rFonts w:ascii="Wingdings" w:hAnsi="Wingdings" w:hint="default"/>
      </w:rPr>
    </w:lvl>
  </w:abstractNum>
  <w:abstractNum w:abstractNumId="25" w15:restartNumberingAfterBreak="0">
    <w:nsid w:val="4D3D5293"/>
    <w:multiLevelType w:val="multilevel"/>
    <w:tmpl w:val="1FF43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FD1104"/>
    <w:multiLevelType w:val="hybridMultilevel"/>
    <w:tmpl w:val="0F6E2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363FDD"/>
    <w:multiLevelType w:val="hybridMultilevel"/>
    <w:tmpl w:val="A8E004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36641E0"/>
    <w:multiLevelType w:val="multilevel"/>
    <w:tmpl w:val="D004E08C"/>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55473CCC"/>
    <w:multiLevelType w:val="multilevel"/>
    <w:tmpl w:val="1B084132"/>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558F098C"/>
    <w:multiLevelType w:val="hybridMultilevel"/>
    <w:tmpl w:val="74A8F0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8412BE"/>
    <w:multiLevelType w:val="hybridMultilevel"/>
    <w:tmpl w:val="67E8B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53F7F67"/>
    <w:multiLevelType w:val="multilevel"/>
    <w:tmpl w:val="C82CFA0C"/>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3" w15:restartNumberingAfterBreak="0">
    <w:nsid w:val="684C0637"/>
    <w:multiLevelType w:val="multilevel"/>
    <w:tmpl w:val="382434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86C4E46"/>
    <w:multiLevelType w:val="multilevel"/>
    <w:tmpl w:val="2328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47C6F"/>
    <w:multiLevelType w:val="multilevel"/>
    <w:tmpl w:val="208C0E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522414"/>
    <w:multiLevelType w:val="multilevel"/>
    <w:tmpl w:val="97B0BC4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B112AA3"/>
    <w:multiLevelType w:val="hybridMultilevel"/>
    <w:tmpl w:val="DF9847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96768D"/>
    <w:multiLevelType w:val="multilevel"/>
    <w:tmpl w:val="C620572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4D72F95"/>
    <w:multiLevelType w:val="multilevel"/>
    <w:tmpl w:val="436E2AF8"/>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4D85054"/>
    <w:multiLevelType w:val="multilevel"/>
    <w:tmpl w:val="F6C6B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CA4724"/>
    <w:multiLevelType w:val="multilevel"/>
    <w:tmpl w:val="FE64CD80"/>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7C552BEE"/>
    <w:multiLevelType w:val="multilevel"/>
    <w:tmpl w:val="2F2E427A"/>
    <w:lvl w:ilvl="0">
      <w:start w:val="1"/>
      <w:numFmt w:val="bullet"/>
      <w:lvlText w:val=""/>
      <w:lvlJc w:val="left"/>
      <w:pPr>
        <w:ind w:left="720" w:hanging="360"/>
      </w:pPr>
      <w:rPr>
        <w:rFonts w:ascii="Symbol" w:hAnsi="Symbol" w:hint="default"/>
      </w:rPr>
    </w:lvl>
    <w:lvl w:ilvl="1">
      <w:start w:val="1"/>
      <w:numFmt w:val="bullet"/>
      <w:lvlText w:val="o"/>
      <w:lvlJc w:val="left"/>
      <w:pPr>
        <w:ind w:left="732" w:hanging="360"/>
      </w:pPr>
      <w:rPr>
        <w:rFonts w:ascii="Courier New" w:hAnsi="Courier New" w:cs="Courier New" w:hint="default"/>
      </w:rPr>
    </w:lvl>
    <w:lvl w:ilvl="2">
      <w:start w:val="1"/>
      <w:numFmt w:val="bullet"/>
      <w:lvlText w:val="o"/>
      <w:lvlJc w:val="left"/>
      <w:pPr>
        <w:ind w:left="1452" w:hanging="360"/>
      </w:pPr>
      <w:rPr>
        <w:rFonts w:ascii="Courier New" w:hAnsi="Courier New" w:cs="Courier New" w:hint="default"/>
      </w:rPr>
    </w:lvl>
    <w:lvl w:ilvl="3">
      <w:start w:val="1"/>
      <w:numFmt w:val="bullet"/>
      <w:lvlText w:val=""/>
      <w:lvlJc w:val="left"/>
      <w:pPr>
        <w:ind w:left="2172" w:hanging="360"/>
      </w:pPr>
      <w:rPr>
        <w:rFonts w:ascii="Symbol" w:hAnsi="Symbol" w:hint="default"/>
      </w:rPr>
    </w:lvl>
    <w:lvl w:ilvl="4">
      <w:start w:val="1"/>
      <w:numFmt w:val="bullet"/>
      <w:lvlText w:val="o"/>
      <w:lvlJc w:val="left"/>
      <w:pPr>
        <w:ind w:left="2892" w:hanging="360"/>
      </w:pPr>
      <w:rPr>
        <w:rFonts w:ascii="Courier New" w:hAnsi="Courier New" w:cs="Courier New" w:hint="default"/>
      </w:rPr>
    </w:lvl>
    <w:lvl w:ilvl="5">
      <w:start w:val="1"/>
      <w:numFmt w:val="bullet"/>
      <w:lvlText w:val=""/>
      <w:lvlJc w:val="left"/>
      <w:pPr>
        <w:ind w:left="3612" w:hanging="360"/>
      </w:pPr>
      <w:rPr>
        <w:rFonts w:ascii="Wingdings" w:hAnsi="Wingdings" w:hint="default"/>
      </w:rPr>
    </w:lvl>
    <w:lvl w:ilvl="6">
      <w:start w:val="1"/>
      <w:numFmt w:val="bullet"/>
      <w:lvlText w:val=""/>
      <w:lvlJc w:val="left"/>
      <w:pPr>
        <w:ind w:left="4332" w:hanging="360"/>
      </w:pPr>
      <w:rPr>
        <w:rFonts w:ascii="Symbol" w:hAnsi="Symbol" w:hint="default"/>
      </w:rPr>
    </w:lvl>
    <w:lvl w:ilvl="7">
      <w:start w:val="1"/>
      <w:numFmt w:val="bullet"/>
      <w:lvlText w:val="o"/>
      <w:lvlJc w:val="left"/>
      <w:pPr>
        <w:ind w:left="5052" w:hanging="360"/>
      </w:pPr>
      <w:rPr>
        <w:rFonts w:ascii="Courier New" w:hAnsi="Courier New" w:cs="Courier New" w:hint="default"/>
      </w:rPr>
    </w:lvl>
    <w:lvl w:ilvl="8">
      <w:start w:val="1"/>
      <w:numFmt w:val="bullet"/>
      <w:lvlText w:val=""/>
      <w:lvlJc w:val="left"/>
      <w:pPr>
        <w:ind w:left="5772" w:hanging="360"/>
      </w:pPr>
      <w:rPr>
        <w:rFonts w:ascii="Wingdings" w:hAnsi="Wingdings" w:hint="default"/>
      </w:rPr>
    </w:lvl>
  </w:abstractNum>
  <w:abstractNum w:abstractNumId="43" w15:restartNumberingAfterBreak="0">
    <w:nsid w:val="7C5C3B26"/>
    <w:multiLevelType w:val="multilevel"/>
    <w:tmpl w:val="CC683C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4"/>
  </w:num>
  <w:num w:numId="4">
    <w:abstractNumId w:val="42"/>
  </w:num>
  <w:num w:numId="5">
    <w:abstractNumId w:val="33"/>
  </w:num>
  <w:num w:numId="6">
    <w:abstractNumId w:val="43"/>
  </w:num>
  <w:num w:numId="7">
    <w:abstractNumId w:val="15"/>
  </w:num>
  <w:num w:numId="8">
    <w:abstractNumId w:val="32"/>
  </w:num>
  <w:num w:numId="9">
    <w:abstractNumId w:val="16"/>
  </w:num>
  <w:num w:numId="10">
    <w:abstractNumId w:val="28"/>
  </w:num>
  <w:num w:numId="11">
    <w:abstractNumId w:val="35"/>
  </w:num>
  <w:num w:numId="12">
    <w:abstractNumId w:val="17"/>
  </w:num>
  <w:num w:numId="13">
    <w:abstractNumId w:val="38"/>
  </w:num>
  <w:num w:numId="14">
    <w:abstractNumId w:val="23"/>
  </w:num>
  <w:num w:numId="15">
    <w:abstractNumId w:val="36"/>
  </w:num>
  <w:num w:numId="16">
    <w:abstractNumId w:val="39"/>
  </w:num>
  <w:num w:numId="17">
    <w:abstractNumId w:val="10"/>
  </w:num>
  <w:num w:numId="18">
    <w:abstractNumId w:val="18"/>
  </w:num>
  <w:num w:numId="19">
    <w:abstractNumId w:val="29"/>
  </w:num>
  <w:num w:numId="20">
    <w:abstractNumId w:val="0"/>
  </w:num>
  <w:num w:numId="21">
    <w:abstractNumId w:val="41"/>
  </w:num>
  <w:num w:numId="22">
    <w:abstractNumId w:val="8"/>
  </w:num>
  <w:num w:numId="23">
    <w:abstractNumId w:val="12"/>
  </w:num>
  <w:num w:numId="24">
    <w:abstractNumId w:val="1"/>
  </w:num>
  <w:num w:numId="25">
    <w:abstractNumId w:val="40"/>
  </w:num>
  <w:num w:numId="26">
    <w:abstractNumId w:val="3"/>
  </w:num>
  <w:num w:numId="27">
    <w:abstractNumId w:val="9"/>
  </w:num>
  <w:num w:numId="28">
    <w:abstractNumId w:val="7"/>
  </w:num>
  <w:num w:numId="29">
    <w:abstractNumId w:val="37"/>
  </w:num>
  <w:num w:numId="30">
    <w:abstractNumId w:val="22"/>
  </w:num>
  <w:num w:numId="31">
    <w:abstractNumId w:val="34"/>
  </w:num>
  <w:num w:numId="32">
    <w:abstractNumId w:val="11"/>
  </w:num>
  <w:num w:numId="33">
    <w:abstractNumId w:val="21"/>
  </w:num>
  <w:num w:numId="34">
    <w:abstractNumId w:val="14"/>
  </w:num>
  <w:num w:numId="35">
    <w:abstractNumId w:val="6"/>
  </w:num>
  <w:num w:numId="36">
    <w:abstractNumId w:val="27"/>
  </w:num>
  <w:num w:numId="37">
    <w:abstractNumId w:val="25"/>
  </w:num>
  <w:num w:numId="38">
    <w:abstractNumId w:val="30"/>
  </w:num>
  <w:num w:numId="39">
    <w:abstractNumId w:val="4"/>
  </w:num>
  <w:num w:numId="40">
    <w:abstractNumId w:val="19"/>
  </w:num>
  <w:num w:numId="41">
    <w:abstractNumId w:val="2"/>
  </w:num>
  <w:num w:numId="42">
    <w:abstractNumId w:val="13"/>
  </w:num>
  <w:num w:numId="43">
    <w:abstractNumId w:val="31"/>
  </w:num>
  <w:num w:numId="44">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9CB"/>
    <w:rsid w:val="00010BF9"/>
    <w:rsid w:val="00040A85"/>
    <w:rsid w:val="00112177"/>
    <w:rsid w:val="0021751D"/>
    <w:rsid w:val="0022131C"/>
    <w:rsid w:val="00265C5F"/>
    <w:rsid w:val="002C0AFD"/>
    <w:rsid w:val="00380C88"/>
    <w:rsid w:val="003A1418"/>
    <w:rsid w:val="00414779"/>
    <w:rsid w:val="00512331"/>
    <w:rsid w:val="006634A4"/>
    <w:rsid w:val="006A29FC"/>
    <w:rsid w:val="006B6E3E"/>
    <w:rsid w:val="00716EC4"/>
    <w:rsid w:val="007419CB"/>
    <w:rsid w:val="007909BC"/>
    <w:rsid w:val="00A33BE8"/>
    <w:rsid w:val="00A372E3"/>
    <w:rsid w:val="00A555F4"/>
    <w:rsid w:val="00B10AA6"/>
    <w:rsid w:val="00B77C17"/>
    <w:rsid w:val="00CC139D"/>
    <w:rsid w:val="00D33CFE"/>
    <w:rsid w:val="00DD2D5A"/>
    <w:rsid w:val="00F26B3D"/>
    <w:rsid w:val="00F949EF"/>
    <w:rsid w:val="00FA1DC5"/>
    <w:rsid w:val="00FC09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78500"/>
  <w15:chartTrackingRefBased/>
  <w15:docId w15:val="{CB04628F-9B48-4F9E-84D7-811F9C7DF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43"/>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9CB"/>
    <w:pPr>
      <w:spacing w:after="0" w:line="240" w:lineRule="auto"/>
    </w:pPr>
    <w:rPr>
      <w:rFonts w:ascii="Times New Roman" w:hAnsi="Times New Roman" w:cs="Cambria Math"/>
      <w:sz w:val="24"/>
      <w:szCs w:val="18"/>
    </w:rPr>
  </w:style>
  <w:style w:type="paragraph" w:styleId="Titre1">
    <w:name w:val="heading 1"/>
    <w:basedOn w:val="Normal"/>
    <w:next w:val="Normal"/>
    <w:link w:val="Titre1Car"/>
    <w:uiPriority w:val="9"/>
    <w:qFormat/>
    <w:rsid w:val="007419C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7419C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7419CB"/>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7419C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7419CB"/>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unhideWhenUsed/>
    <w:qFormat/>
    <w:rsid w:val="007419CB"/>
    <w:pPr>
      <w:keepNext/>
      <w:keepLines/>
      <w:spacing w:before="4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rsid w:val="007419CB"/>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rsid w:val="007419CB"/>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rsid w:val="007419CB"/>
    <w:pPr>
      <w:keepNext/>
      <w:keepLines/>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19CB"/>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7419CB"/>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7419CB"/>
    <w:rPr>
      <w:rFonts w:asciiTheme="majorHAnsi" w:eastAsiaTheme="majorEastAsia" w:hAnsiTheme="majorHAnsi" w:cstheme="majorBidi"/>
      <w:color w:val="1F3763" w:themeColor="accent1" w:themeShade="7F"/>
      <w:sz w:val="24"/>
      <w:szCs w:val="18"/>
    </w:rPr>
  </w:style>
  <w:style w:type="character" w:customStyle="1" w:styleId="Titre4Car">
    <w:name w:val="Titre 4 Car"/>
    <w:basedOn w:val="Policepardfaut"/>
    <w:link w:val="Titre4"/>
    <w:uiPriority w:val="9"/>
    <w:semiHidden/>
    <w:rsid w:val="007419CB"/>
    <w:rPr>
      <w:rFonts w:asciiTheme="majorHAnsi" w:eastAsiaTheme="majorEastAsia" w:hAnsiTheme="majorHAnsi" w:cstheme="majorBidi"/>
      <w:i/>
      <w:iCs/>
      <w:color w:val="2F5496" w:themeColor="accent1" w:themeShade="BF"/>
      <w:sz w:val="24"/>
      <w:szCs w:val="18"/>
    </w:rPr>
  </w:style>
  <w:style w:type="character" w:customStyle="1" w:styleId="Titre5Car">
    <w:name w:val="Titre 5 Car"/>
    <w:basedOn w:val="Policepardfaut"/>
    <w:link w:val="Titre5"/>
    <w:uiPriority w:val="9"/>
    <w:rsid w:val="007419CB"/>
    <w:rPr>
      <w:rFonts w:ascii="Arial" w:eastAsia="Arial" w:hAnsi="Arial" w:cs="Arial"/>
      <w:color w:val="2F5496" w:themeColor="accent1" w:themeShade="BF"/>
      <w:sz w:val="24"/>
      <w:szCs w:val="18"/>
    </w:rPr>
  </w:style>
  <w:style w:type="character" w:customStyle="1" w:styleId="Titre6Car">
    <w:name w:val="Titre 6 Car"/>
    <w:basedOn w:val="Policepardfaut"/>
    <w:link w:val="Titre6"/>
    <w:uiPriority w:val="9"/>
    <w:rsid w:val="007419CB"/>
    <w:rPr>
      <w:rFonts w:ascii="Arial" w:eastAsia="Arial" w:hAnsi="Arial" w:cs="Arial"/>
      <w:i/>
      <w:iCs/>
      <w:color w:val="595959" w:themeColor="text1" w:themeTint="A6"/>
      <w:sz w:val="24"/>
      <w:szCs w:val="18"/>
    </w:rPr>
  </w:style>
  <w:style w:type="character" w:customStyle="1" w:styleId="Titre7Car">
    <w:name w:val="Titre 7 Car"/>
    <w:basedOn w:val="Policepardfaut"/>
    <w:link w:val="Titre7"/>
    <w:uiPriority w:val="9"/>
    <w:rsid w:val="007419CB"/>
    <w:rPr>
      <w:rFonts w:ascii="Arial" w:eastAsia="Arial" w:hAnsi="Arial" w:cs="Arial"/>
      <w:color w:val="595959" w:themeColor="text1" w:themeTint="A6"/>
      <w:sz w:val="24"/>
      <w:szCs w:val="18"/>
    </w:rPr>
  </w:style>
  <w:style w:type="character" w:customStyle="1" w:styleId="Titre8Car">
    <w:name w:val="Titre 8 Car"/>
    <w:basedOn w:val="Policepardfaut"/>
    <w:link w:val="Titre8"/>
    <w:uiPriority w:val="9"/>
    <w:rsid w:val="007419CB"/>
    <w:rPr>
      <w:rFonts w:ascii="Arial" w:eastAsia="Arial" w:hAnsi="Arial" w:cs="Arial"/>
      <w:i/>
      <w:iCs/>
      <w:color w:val="272727" w:themeColor="text1" w:themeTint="D8"/>
      <w:sz w:val="24"/>
      <w:szCs w:val="18"/>
    </w:rPr>
  </w:style>
  <w:style w:type="character" w:customStyle="1" w:styleId="Titre9Car">
    <w:name w:val="Titre 9 Car"/>
    <w:basedOn w:val="Policepardfaut"/>
    <w:link w:val="Titre9"/>
    <w:uiPriority w:val="9"/>
    <w:rsid w:val="007419CB"/>
    <w:rPr>
      <w:rFonts w:ascii="Arial" w:eastAsia="Arial" w:hAnsi="Arial" w:cs="Arial"/>
      <w:i/>
      <w:iCs/>
      <w:color w:val="272727" w:themeColor="text1" w:themeTint="D8"/>
      <w:sz w:val="24"/>
      <w:szCs w:val="18"/>
    </w:rPr>
  </w:style>
  <w:style w:type="character" w:customStyle="1" w:styleId="Heading5Char">
    <w:name w:val="Heading 5 Char"/>
    <w:basedOn w:val="Policepardfaut"/>
    <w:uiPriority w:val="9"/>
    <w:rsid w:val="007419CB"/>
    <w:rPr>
      <w:rFonts w:ascii="Arial" w:eastAsia="Arial" w:hAnsi="Arial" w:cs="Arial"/>
      <w:color w:val="2F5496" w:themeColor="accent1" w:themeShade="BF"/>
    </w:rPr>
  </w:style>
  <w:style w:type="character" w:customStyle="1" w:styleId="Heading6Char">
    <w:name w:val="Heading 6 Char"/>
    <w:basedOn w:val="Policepardfaut"/>
    <w:uiPriority w:val="9"/>
    <w:rsid w:val="007419CB"/>
    <w:rPr>
      <w:rFonts w:ascii="Arial" w:eastAsia="Arial" w:hAnsi="Arial" w:cs="Arial"/>
      <w:i/>
      <w:iCs/>
      <w:color w:val="595959" w:themeColor="text1" w:themeTint="A6"/>
    </w:rPr>
  </w:style>
  <w:style w:type="character" w:customStyle="1" w:styleId="Heading7Char">
    <w:name w:val="Heading 7 Char"/>
    <w:basedOn w:val="Policepardfaut"/>
    <w:uiPriority w:val="9"/>
    <w:rsid w:val="007419CB"/>
    <w:rPr>
      <w:rFonts w:ascii="Arial" w:eastAsia="Arial" w:hAnsi="Arial" w:cs="Arial"/>
      <w:color w:val="595959" w:themeColor="text1" w:themeTint="A6"/>
    </w:rPr>
  </w:style>
  <w:style w:type="character" w:customStyle="1" w:styleId="Heading8Char">
    <w:name w:val="Heading 8 Char"/>
    <w:basedOn w:val="Policepardfaut"/>
    <w:uiPriority w:val="9"/>
    <w:rsid w:val="007419CB"/>
    <w:rPr>
      <w:rFonts w:ascii="Arial" w:eastAsia="Arial" w:hAnsi="Arial" w:cs="Arial"/>
      <w:i/>
      <w:iCs/>
      <w:color w:val="272727" w:themeColor="text1" w:themeTint="D8"/>
    </w:rPr>
  </w:style>
  <w:style w:type="character" w:customStyle="1" w:styleId="Heading9Char">
    <w:name w:val="Heading 9 Char"/>
    <w:basedOn w:val="Policepardfaut"/>
    <w:uiPriority w:val="9"/>
    <w:rsid w:val="007419CB"/>
    <w:rPr>
      <w:rFonts w:ascii="Arial" w:eastAsia="Arial" w:hAnsi="Arial" w:cs="Arial"/>
      <w:i/>
      <w:iCs/>
      <w:color w:val="272727" w:themeColor="text1" w:themeTint="D8"/>
    </w:rPr>
  </w:style>
  <w:style w:type="character" w:customStyle="1" w:styleId="TitleChar">
    <w:name w:val="Title Char"/>
    <w:basedOn w:val="Policepardfaut"/>
    <w:uiPriority w:val="10"/>
    <w:rsid w:val="007419CB"/>
    <w:rPr>
      <w:rFonts w:ascii="Arial" w:eastAsia="Arial" w:hAnsi="Arial" w:cs="Arial"/>
      <w:spacing w:val="-10"/>
      <w:sz w:val="56"/>
      <w:szCs w:val="56"/>
    </w:rPr>
  </w:style>
  <w:style w:type="character" w:customStyle="1" w:styleId="SubtitleChar">
    <w:name w:val="Subtitle Char"/>
    <w:basedOn w:val="Policepardfaut"/>
    <w:uiPriority w:val="11"/>
    <w:rsid w:val="007419CB"/>
    <w:rPr>
      <w:color w:val="595959" w:themeColor="text1" w:themeTint="A6"/>
      <w:spacing w:val="15"/>
      <w:sz w:val="28"/>
      <w:szCs w:val="28"/>
    </w:rPr>
  </w:style>
  <w:style w:type="character" w:customStyle="1" w:styleId="QuoteChar">
    <w:name w:val="Quote Char"/>
    <w:basedOn w:val="Policepardfaut"/>
    <w:uiPriority w:val="29"/>
    <w:rsid w:val="007419CB"/>
    <w:rPr>
      <w:i/>
      <w:iCs/>
      <w:color w:val="404040" w:themeColor="text1" w:themeTint="BF"/>
    </w:rPr>
  </w:style>
  <w:style w:type="character" w:customStyle="1" w:styleId="IntenseQuoteChar">
    <w:name w:val="Intense Quote Char"/>
    <w:basedOn w:val="Policepardfaut"/>
    <w:uiPriority w:val="30"/>
    <w:rsid w:val="007419CB"/>
    <w:rPr>
      <w:i/>
      <w:iCs/>
      <w:color w:val="2F5496" w:themeColor="accent1" w:themeShade="BF"/>
    </w:rPr>
  </w:style>
  <w:style w:type="character" w:customStyle="1" w:styleId="FootnoteTextChar">
    <w:name w:val="Footnote Text Char"/>
    <w:basedOn w:val="Policepardfaut"/>
    <w:uiPriority w:val="99"/>
    <w:semiHidden/>
    <w:rsid w:val="007419CB"/>
    <w:rPr>
      <w:sz w:val="20"/>
      <w:szCs w:val="20"/>
    </w:rPr>
  </w:style>
  <w:style w:type="character" w:customStyle="1" w:styleId="EndnoteTextChar">
    <w:name w:val="Endnote Text Char"/>
    <w:basedOn w:val="Policepardfaut"/>
    <w:uiPriority w:val="99"/>
    <w:semiHidden/>
    <w:rsid w:val="007419CB"/>
    <w:rPr>
      <w:sz w:val="20"/>
      <w:szCs w:val="20"/>
    </w:rPr>
  </w:style>
  <w:style w:type="table" w:customStyle="1" w:styleId="TableGridLight">
    <w:name w:val="Table Grid Light"/>
    <w:basedOn w:val="TableauNormal"/>
    <w:uiPriority w:val="59"/>
    <w:rsid w:val="007419CB"/>
    <w:pPr>
      <w:spacing w:after="0" w:line="240" w:lineRule="auto"/>
    </w:pPr>
    <w:rPr>
      <w:rFonts w:ascii="Times New Roman" w:hAnsi="Times New Roman" w:cs="Cambria Math"/>
      <w:sz w:val="24"/>
      <w:szCs w:val="18"/>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7419CB"/>
    <w:pPr>
      <w:spacing w:after="0" w:line="240" w:lineRule="auto"/>
    </w:pPr>
    <w:rPr>
      <w:rFonts w:ascii="Times New Roman" w:hAnsi="Times New Roman" w:cs="Cambria Math"/>
      <w:sz w:val="24"/>
      <w:szCs w:val="18"/>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7419CB"/>
    <w:pPr>
      <w:spacing w:after="0" w:line="240" w:lineRule="auto"/>
    </w:pPr>
    <w:rPr>
      <w:rFonts w:ascii="Times New Roman" w:hAnsi="Times New Roman" w:cs="Cambria Math"/>
      <w:sz w:val="24"/>
      <w:szCs w:val="18"/>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43"/>
    <w:rsid w:val="007419CB"/>
    <w:pPr>
      <w:spacing w:after="0" w:line="240" w:lineRule="auto"/>
    </w:pPr>
    <w:rPr>
      <w:rFonts w:ascii="Times New Roman" w:hAnsi="Times New Roman" w:cs="Cambria Math"/>
      <w:sz w:val="24"/>
      <w:szCs w:val="18"/>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sid w:val="007419CB"/>
    <w:pPr>
      <w:spacing w:after="0" w:line="240" w:lineRule="auto"/>
    </w:pPr>
    <w:rPr>
      <w:rFonts w:ascii="Times New Roman" w:hAnsi="Times New Roman" w:cs="Cambria Math"/>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sid w:val="007419CB"/>
    <w:rPr>
      <w:rFonts w:ascii="Arial" w:eastAsia="Arial" w:hAnsi="Arial" w:cs="Arial"/>
      <w:color w:val="2F5496" w:themeColor="accent1" w:themeShade="BF"/>
      <w:sz w:val="40"/>
      <w:szCs w:val="40"/>
    </w:rPr>
  </w:style>
  <w:style w:type="character" w:customStyle="1" w:styleId="Heading2Char">
    <w:name w:val="Heading 2 Char"/>
    <w:basedOn w:val="Policepardfaut"/>
    <w:uiPriority w:val="9"/>
    <w:rsid w:val="007419CB"/>
    <w:rPr>
      <w:rFonts w:ascii="Arial" w:eastAsia="Arial" w:hAnsi="Arial" w:cs="Arial"/>
      <w:color w:val="2F5496" w:themeColor="accent1" w:themeShade="BF"/>
      <w:sz w:val="32"/>
      <w:szCs w:val="32"/>
    </w:rPr>
  </w:style>
  <w:style w:type="character" w:customStyle="1" w:styleId="Heading3Char">
    <w:name w:val="Heading 3 Char"/>
    <w:basedOn w:val="Policepardfaut"/>
    <w:uiPriority w:val="9"/>
    <w:rsid w:val="007419CB"/>
    <w:rPr>
      <w:rFonts w:ascii="Arial" w:eastAsia="Arial" w:hAnsi="Arial" w:cs="Arial"/>
      <w:color w:val="2F5496" w:themeColor="accent1" w:themeShade="BF"/>
      <w:sz w:val="28"/>
      <w:szCs w:val="28"/>
    </w:rPr>
  </w:style>
  <w:style w:type="character" w:customStyle="1" w:styleId="Heading4Char">
    <w:name w:val="Heading 4 Char"/>
    <w:basedOn w:val="Policepardfaut"/>
    <w:uiPriority w:val="9"/>
    <w:rsid w:val="007419CB"/>
    <w:rPr>
      <w:rFonts w:ascii="Arial" w:eastAsia="Arial" w:hAnsi="Arial" w:cs="Arial"/>
      <w:i/>
      <w:iCs/>
      <w:color w:val="2F5496" w:themeColor="accent1" w:themeShade="BF"/>
    </w:rPr>
  </w:style>
  <w:style w:type="paragraph" w:styleId="Titre">
    <w:name w:val="Title"/>
    <w:basedOn w:val="Normal"/>
    <w:next w:val="Normal"/>
    <w:link w:val="TitreCar"/>
    <w:uiPriority w:val="10"/>
    <w:qFormat/>
    <w:rsid w:val="007419CB"/>
    <w:pPr>
      <w:spacing w:after="80"/>
      <w:contextualSpacing/>
    </w:pPr>
    <w:rPr>
      <w:rFonts w:ascii="Arial" w:eastAsia="Arial" w:hAnsi="Arial" w:cs="Arial"/>
      <w:spacing w:val="-10"/>
      <w:sz w:val="56"/>
      <w:szCs w:val="56"/>
    </w:rPr>
  </w:style>
  <w:style w:type="character" w:customStyle="1" w:styleId="TitreCar">
    <w:name w:val="Titre Car"/>
    <w:basedOn w:val="Policepardfaut"/>
    <w:link w:val="Titre"/>
    <w:uiPriority w:val="10"/>
    <w:rsid w:val="007419CB"/>
    <w:rPr>
      <w:rFonts w:ascii="Arial" w:eastAsia="Arial" w:hAnsi="Arial" w:cs="Arial"/>
      <w:spacing w:val="-10"/>
      <w:sz w:val="56"/>
      <w:szCs w:val="56"/>
    </w:rPr>
  </w:style>
  <w:style w:type="paragraph" w:styleId="Sous-titre">
    <w:name w:val="Subtitle"/>
    <w:basedOn w:val="Normal"/>
    <w:next w:val="Normal"/>
    <w:link w:val="Sous-titreCar"/>
    <w:uiPriority w:val="11"/>
    <w:qFormat/>
    <w:rsid w:val="007419CB"/>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sid w:val="007419CB"/>
    <w:rPr>
      <w:rFonts w:ascii="Times New Roman" w:hAnsi="Times New Roman" w:cs="Cambria Math"/>
      <w:color w:val="595959" w:themeColor="text1" w:themeTint="A6"/>
      <w:spacing w:val="15"/>
      <w:sz w:val="28"/>
      <w:szCs w:val="28"/>
    </w:rPr>
  </w:style>
  <w:style w:type="paragraph" w:styleId="Citation">
    <w:name w:val="Quote"/>
    <w:basedOn w:val="Normal"/>
    <w:next w:val="Normal"/>
    <w:link w:val="CitationCar"/>
    <w:uiPriority w:val="29"/>
    <w:qFormat/>
    <w:rsid w:val="007419CB"/>
    <w:pPr>
      <w:spacing w:before="160"/>
      <w:jc w:val="center"/>
    </w:pPr>
    <w:rPr>
      <w:i/>
      <w:iCs/>
      <w:color w:val="404040" w:themeColor="text1" w:themeTint="BF"/>
    </w:rPr>
  </w:style>
  <w:style w:type="character" w:customStyle="1" w:styleId="CitationCar">
    <w:name w:val="Citation Car"/>
    <w:basedOn w:val="Policepardfaut"/>
    <w:link w:val="Citation"/>
    <w:uiPriority w:val="29"/>
    <w:rsid w:val="007419CB"/>
    <w:rPr>
      <w:rFonts w:ascii="Times New Roman" w:hAnsi="Times New Roman" w:cs="Cambria Math"/>
      <w:i/>
      <w:iCs/>
      <w:color w:val="404040" w:themeColor="text1" w:themeTint="BF"/>
      <w:sz w:val="24"/>
      <w:szCs w:val="18"/>
    </w:rPr>
  </w:style>
  <w:style w:type="character" w:styleId="Accentuationintense">
    <w:name w:val="Intense Emphasis"/>
    <w:basedOn w:val="Policepardfaut"/>
    <w:uiPriority w:val="21"/>
    <w:qFormat/>
    <w:rsid w:val="007419CB"/>
    <w:rPr>
      <w:i/>
      <w:iCs/>
      <w:color w:val="2F5496" w:themeColor="accent1" w:themeShade="BF"/>
    </w:rPr>
  </w:style>
  <w:style w:type="paragraph" w:styleId="Citationintense">
    <w:name w:val="Intense Quote"/>
    <w:basedOn w:val="Normal"/>
    <w:next w:val="Normal"/>
    <w:link w:val="CitationintenseCar"/>
    <w:uiPriority w:val="30"/>
    <w:qFormat/>
    <w:rsid w:val="007419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419CB"/>
    <w:rPr>
      <w:rFonts w:ascii="Times New Roman" w:hAnsi="Times New Roman" w:cs="Cambria Math"/>
      <w:i/>
      <w:iCs/>
      <w:color w:val="2F5496" w:themeColor="accent1" w:themeShade="BF"/>
      <w:sz w:val="24"/>
      <w:szCs w:val="18"/>
    </w:rPr>
  </w:style>
  <w:style w:type="character" w:styleId="Rfrenceintense">
    <w:name w:val="Intense Reference"/>
    <w:basedOn w:val="Policepardfaut"/>
    <w:uiPriority w:val="32"/>
    <w:qFormat/>
    <w:rsid w:val="007419CB"/>
    <w:rPr>
      <w:b/>
      <w:bCs/>
      <w:smallCaps/>
      <w:color w:val="2F5496" w:themeColor="accent1" w:themeShade="BF"/>
      <w:spacing w:val="5"/>
    </w:rPr>
  </w:style>
  <w:style w:type="paragraph" w:styleId="Sansinterligne">
    <w:name w:val="No Spacing"/>
    <w:basedOn w:val="Normal"/>
    <w:uiPriority w:val="1"/>
    <w:qFormat/>
    <w:rsid w:val="007419CB"/>
  </w:style>
  <w:style w:type="character" w:styleId="Accentuationlgre">
    <w:name w:val="Subtle Emphasis"/>
    <w:basedOn w:val="Policepardfaut"/>
    <w:uiPriority w:val="19"/>
    <w:qFormat/>
    <w:rsid w:val="007419CB"/>
    <w:rPr>
      <w:i/>
      <w:iCs/>
      <w:color w:val="404040" w:themeColor="text1" w:themeTint="BF"/>
    </w:rPr>
  </w:style>
  <w:style w:type="character" w:styleId="Rfrencelgre">
    <w:name w:val="Subtle Reference"/>
    <w:basedOn w:val="Policepardfaut"/>
    <w:uiPriority w:val="31"/>
    <w:qFormat/>
    <w:rsid w:val="007419CB"/>
    <w:rPr>
      <w:smallCaps/>
      <w:color w:val="5A5A5A" w:themeColor="text1" w:themeTint="A5"/>
    </w:rPr>
  </w:style>
  <w:style w:type="character" w:styleId="Titredulivre">
    <w:name w:val="Book Title"/>
    <w:basedOn w:val="Policepardfaut"/>
    <w:uiPriority w:val="33"/>
    <w:qFormat/>
    <w:rsid w:val="007419CB"/>
    <w:rPr>
      <w:b/>
      <w:bCs/>
      <w:i/>
      <w:iCs/>
      <w:spacing w:val="5"/>
    </w:rPr>
  </w:style>
  <w:style w:type="character" w:customStyle="1" w:styleId="HeaderChar">
    <w:name w:val="Header Char"/>
    <w:basedOn w:val="Policepardfaut"/>
    <w:uiPriority w:val="99"/>
    <w:rsid w:val="007419CB"/>
  </w:style>
  <w:style w:type="character" w:customStyle="1" w:styleId="FooterChar">
    <w:name w:val="Footer Char"/>
    <w:basedOn w:val="Policepardfaut"/>
    <w:uiPriority w:val="99"/>
    <w:rsid w:val="007419CB"/>
  </w:style>
  <w:style w:type="paragraph" w:styleId="Notedebasdepage">
    <w:name w:val="footnote text"/>
    <w:basedOn w:val="Normal"/>
    <w:link w:val="NotedebasdepageCar"/>
    <w:uiPriority w:val="99"/>
    <w:semiHidden/>
    <w:unhideWhenUsed/>
    <w:rsid w:val="007419CB"/>
    <w:rPr>
      <w:sz w:val="20"/>
      <w:szCs w:val="20"/>
    </w:rPr>
  </w:style>
  <w:style w:type="character" w:customStyle="1" w:styleId="NotedebasdepageCar">
    <w:name w:val="Note de bas de page Car"/>
    <w:basedOn w:val="Policepardfaut"/>
    <w:link w:val="Notedebasdepage"/>
    <w:uiPriority w:val="99"/>
    <w:semiHidden/>
    <w:rsid w:val="007419CB"/>
    <w:rPr>
      <w:rFonts w:ascii="Times New Roman" w:hAnsi="Times New Roman" w:cs="Cambria Math"/>
      <w:sz w:val="20"/>
      <w:szCs w:val="20"/>
    </w:rPr>
  </w:style>
  <w:style w:type="character" w:styleId="Appelnotedebasdep">
    <w:name w:val="footnote reference"/>
    <w:basedOn w:val="Policepardfaut"/>
    <w:uiPriority w:val="99"/>
    <w:semiHidden/>
    <w:unhideWhenUsed/>
    <w:rsid w:val="007419CB"/>
    <w:rPr>
      <w:vertAlign w:val="superscript"/>
    </w:rPr>
  </w:style>
  <w:style w:type="paragraph" w:styleId="Notedefin">
    <w:name w:val="endnote text"/>
    <w:basedOn w:val="Normal"/>
    <w:link w:val="NotedefinCar"/>
    <w:uiPriority w:val="99"/>
    <w:semiHidden/>
    <w:unhideWhenUsed/>
    <w:rsid w:val="007419CB"/>
    <w:rPr>
      <w:sz w:val="20"/>
      <w:szCs w:val="20"/>
    </w:rPr>
  </w:style>
  <w:style w:type="character" w:customStyle="1" w:styleId="NotedefinCar">
    <w:name w:val="Note de fin Car"/>
    <w:basedOn w:val="Policepardfaut"/>
    <w:link w:val="Notedefin"/>
    <w:uiPriority w:val="99"/>
    <w:semiHidden/>
    <w:rsid w:val="007419CB"/>
    <w:rPr>
      <w:rFonts w:ascii="Times New Roman" w:hAnsi="Times New Roman" w:cs="Cambria Math"/>
      <w:sz w:val="20"/>
      <w:szCs w:val="20"/>
    </w:rPr>
  </w:style>
  <w:style w:type="character" w:styleId="Appeldenotedefin">
    <w:name w:val="endnote reference"/>
    <w:basedOn w:val="Policepardfaut"/>
    <w:uiPriority w:val="99"/>
    <w:semiHidden/>
    <w:unhideWhenUsed/>
    <w:rsid w:val="007419CB"/>
    <w:rPr>
      <w:vertAlign w:val="superscript"/>
    </w:rPr>
  </w:style>
  <w:style w:type="character" w:styleId="Lienhypertextesuivivisit">
    <w:name w:val="FollowedHyperlink"/>
    <w:basedOn w:val="Policepardfaut"/>
    <w:uiPriority w:val="99"/>
    <w:semiHidden/>
    <w:unhideWhenUsed/>
    <w:rsid w:val="007419CB"/>
    <w:rPr>
      <w:color w:val="954F72" w:themeColor="followedHyperlink"/>
      <w:u w:val="single"/>
    </w:rPr>
  </w:style>
  <w:style w:type="paragraph" w:styleId="TM4">
    <w:name w:val="toc 4"/>
    <w:basedOn w:val="Normal"/>
    <w:next w:val="Normal"/>
    <w:uiPriority w:val="39"/>
    <w:unhideWhenUsed/>
    <w:rsid w:val="007419CB"/>
    <w:pPr>
      <w:spacing w:after="100"/>
      <w:ind w:left="660"/>
    </w:pPr>
  </w:style>
  <w:style w:type="paragraph" w:styleId="TM5">
    <w:name w:val="toc 5"/>
    <w:basedOn w:val="Normal"/>
    <w:next w:val="Normal"/>
    <w:uiPriority w:val="39"/>
    <w:unhideWhenUsed/>
    <w:rsid w:val="007419CB"/>
    <w:pPr>
      <w:spacing w:after="100"/>
      <w:ind w:left="880"/>
    </w:pPr>
  </w:style>
  <w:style w:type="paragraph" w:styleId="TM6">
    <w:name w:val="toc 6"/>
    <w:basedOn w:val="Normal"/>
    <w:next w:val="Normal"/>
    <w:uiPriority w:val="39"/>
    <w:unhideWhenUsed/>
    <w:rsid w:val="007419CB"/>
    <w:pPr>
      <w:spacing w:after="100"/>
      <w:ind w:left="1100"/>
    </w:pPr>
  </w:style>
  <w:style w:type="paragraph" w:styleId="TM7">
    <w:name w:val="toc 7"/>
    <w:basedOn w:val="Normal"/>
    <w:next w:val="Normal"/>
    <w:uiPriority w:val="39"/>
    <w:unhideWhenUsed/>
    <w:rsid w:val="007419CB"/>
    <w:pPr>
      <w:spacing w:after="100"/>
      <w:ind w:left="1320"/>
    </w:pPr>
  </w:style>
  <w:style w:type="paragraph" w:styleId="TM8">
    <w:name w:val="toc 8"/>
    <w:basedOn w:val="Normal"/>
    <w:next w:val="Normal"/>
    <w:uiPriority w:val="39"/>
    <w:unhideWhenUsed/>
    <w:rsid w:val="007419CB"/>
    <w:pPr>
      <w:spacing w:after="100"/>
      <w:ind w:left="1540"/>
    </w:pPr>
  </w:style>
  <w:style w:type="paragraph" w:styleId="TM9">
    <w:name w:val="toc 9"/>
    <w:basedOn w:val="Normal"/>
    <w:next w:val="Normal"/>
    <w:uiPriority w:val="39"/>
    <w:unhideWhenUsed/>
    <w:rsid w:val="007419CB"/>
    <w:pPr>
      <w:spacing w:after="100"/>
      <w:ind w:left="1760"/>
    </w:pPr>
  </w:style>
  <w:style w:type="paragraph" w:styleId="Tabledesillustrations">
    <w:name w:val="table of figures"/>
    <w:basedOn w:val="Normal"/>
    <w:next w:val="Normal"/>
    <w:uiPriority w:val="99"/>
    <w:unhideWhenUsed/>
    <w:rsid w:val="007419CB"/>
  </w:style>
  <w:style w:type="paragraph" w:styleId="Paragraphedeliste">
    <w:name w:val="List Paragraph"/>
    <w:basedOn w:val="Normal"/>
    <w:uiPriority w:val="34"/>
    <w:qFormat/>
    <w:rsid w:val="007419CB"/>
    <w:pPr>
      <w:ind w:left="720"/>
      <w:contextualSpacing/>
    </w:pPr>
  </w:style>
  <w:style w:type="paragraph" w:styleId="Bibliographie">
    <w:name w:val="Bibliography"/>
    <w:basedOn w:val="Normal"/>
    <w:next w:val="Normal"/>
    <w:uiPriority w:val="37"/>
    <w:unhideWhenUsed/>
    <w:rsid w:val="007419CB"/>
    <w:pPr>
      <w:tabs>
        <w:tab w:val="left" w:pos="384"/>
      </w:tabs>
      <w:spacing w:line="480" w:lineRule="auto"/>
      <w:ind w:left="384" w:hanging="384"/>
    </w:pPr>
  </w:style>
  <w:style w:type="paragraph" w:styleId="En-tte">
    <w:name w:val="header"/>
    <w:basedOn w:val="Normal"/>
    <w:link w:val="En-tteCar"/>
    <w:uiPriority w:val="99"/>
    <w:unhideWhenUsed/>
    <w:rsid w:val="007419CB"/>
    <w:pPr>
      <w:tabs>
        <w:tab w:val="center" w:pos="4536"/>
        <w:tab w:val="right" w:pos="9072"/>
      </w:tabs>
    </w:pPr>
  </w:style>
  <w:style w:type="character" w:customStyle="1" w:styleId="En-tteCar">
    <w:name w:val="En-tête Car"/>
    <w:basedOn w:val="Policepardfaut"/>
    <w:link w:val="En-tte"/>
    <w:uiPriority w:val="99"/>
    <w:rsid w:val="007419CB"/>
    <w:rPr>
      <w:rFonts w:ascii="Times New Roman" w:hAnsi="Times New Roman" w:cs="Cambria Math"/>
      <w:sz w:val="24"/>
      <w:szCs w:val="18"/>
    </w:rPr>
  </w:style>
  <w:style w:type="paragraph" w:styleId="Pieddepage">
    <w:name w:val="footer"/>
    <w:basedOn w:val="Normal"/>
    <w:link w:val="PieddepageCar"/>
    <w:uiPriority w:val="99"/>
    <w:unhideWhenUsed/>
    <w:rsid w:val="007419CB"/>
    <w:pPr>
      <w:tabs>
        <w:tab w:val="center" w:pos="4536"/>
        <w:tab w:val="right" w:pos="9072"/>
      </w:tabs>
    </w:pPr>
  </w:style>
  <w:style w:type="character" w:customStyle="1" w:styleId="PieddepageCar">
    <w:name w:val="Pied de page Car"/>
    <w:basedOn w:val="Policepardfaut"/>
    <w:link w:val="Pieddepage"/>
    <w:uiPriority w:val="99"/>
    <w:rsid w:val="007419CB"/>
    <w:rPr>
      <w:rFonts w:ascii="Times New Roman" w:hAnsi="Times New Roman" w:cs="Cambria Math"/>
      <w:sz w:val="24"/>
      <w:szCs w:val="18"/>
    </w:rPr>
  </w:style>
  <w:style w:type="character" w:customStyle="1" w:styleId="ms-1">
    <w:name w:val="ms-1"/>
    <w:basedOn w:val="Policepardfaut"/>
    <w:rsid w:val="007419CB"/>
  </w:style>
  <w:style w:type="character" w:customStyle="1" w:styleId="max-w-full">
    <w:name w:val="max-w-full"/>
    <w:basedOn w:val="Policepardfaut"/>
    <w:rsid w:val="007419CB"/>
  </w:style>
  <w:style w:type="character" w:styleId="Accentuation">
    <w:name w:val="Emphasis"/>
    <w:basedOn w:val="Policepardfaut"/>
    <w:uiPriority w:val="20"/>
    <w:qFormat/>
    <w:rsid w:val="007419CB"/>
    <w:rPr>
      <w:i/>
      <w:iCs/>
    </w:rPr>
  </w:style>
  <w:style w:type="character" w:styleId="lev">
    <w:name w:val="Strong"/>
    <w:basedOn w:val="Policepardfaut"/>
    <w:uiPriority w:val="22"/>
    <w:qFormat/>
    <w:rsid w:val="007419CB"/>
    <w:rPr>
      <w:b/>
      <w:bCs/>
    </w:rPr>
  </w:style>
  <w:style w:type="paragraph" w:styleId="En-ttedetabledesmatires">
    <w:name w:val="TOC Heading"/>
    <w:basedOn w:val="Titre1"/>
    <w:next w:val="Normal"/>
    <w:uiPriority w:val="39"/>
    <w:unhideWhenUsed/>
    <w:qFormat/>
    <w:rsid w:val="007419CB"/>
    <w:pPr>
      <w:outlineLvl w:val="9"/>
    </w:pPr>
  </w:style>
  <w:style w:type="paragraph" w:styleId="TM2">
    <w:name w:val="toc 2"/>
    <w:basedOn w:val="Normal"/>
    <w:next w:val="Normal"/>
    <w:uiPriority w:val="39"/>
    <w:unhideWhenUsed/>
    <w:qFormat/>
    <w:rsid w:val="007419CB"/>
    <w:pPr>
      <w:spacing w:after="100"/>
      <w:ind w:left="220"/>
    </w:pPr>
    <w:rPr>
      <w:rFonts w:eastAsiaTheme="minorEastAsia"/>
    </w:rPr>
  </w:style>
  <w:style w:type="paragraph" w:styleId="TM1">
    <w:name w:val="toc 1"/>
    <w:basedOn w:val="Normal"/>
    <w:next w:val="Normal"/>
    <w:uiPriority w:val="39"/>
    <w:unhideWhenUsed/>
    <w:qFormat/>
    <w:rsid w:val="007419CB"/>
    <w:pPr>
      <w:tabs>
        <w:tab w:val="right" w:leader="dot" w:pos="9062"/>
      </w:tabs>
      <w:spacing w:after="100"/>
      <w:jc w:val="center"/>
    </w:pPr>
    <w:rPr>
      <w:rFonts w:eastAsiaTheme="minorEastAsia"/>
      <w:b/>
    </w:rPr>
  </w:style>
  <w:style w:type="paragraph" w:styleId="TM3">
    <w:name w:val="toc 3"/>
    <w:basedOn w:val="Normal"/>
    <w:next w:val="Normal"/>
    <w:uiPriority w:val="39"/>
    <w:unhideWhenUsed/>
    <w:qFormat/>
    <w:rsid w:val="007419CB"/>
    <w:pPr>
      <w:spacing w:after="100"/>
      <w:ind w:left="440"/>
    </w:pPr>
    <w:rPr>
      <w:rFonts w:eastAsiaTheme="minorEastAsia"/>
    </w:rPr>
  </w:style>
  <w:style w:type="paragraph" w:styleId="Textedebulles">
    <w:name w:val="Balloon Text"/>
    <w:basedOn w:val="Normal"/>
    <w:link w:val="TextedebullesCar"/>
    <w:uiPriority w:val="99"/>
    <w:semiHidden/>
    <w:unhideWhenUsed/>
    <w:rsid w:val="007419CB"/>
    <w:rPr>
      <w:rFonts w:ascii="Tahoma" w:hAnsi="Tahoma" w:cs="Tahoma"/>
      <w:sz w:val="16"/>
      <w:szCs w:val="16"/>
    </w:rPr>
  </w:style>
  <w:style w:type="character" w:customStyle="1" w:styleId="TextedebullesCar">
    <w:name w:val="Texte de bulles Car"/>
    <w:basedOn w:val="Policepardfaut"/>
    <w:link w:val="Textedebulles"/>
    <w:uiPriority w:val="99"/>
    <w:semiHidden/>
    <w:rsid w:val="007419CB"/>
    <w:rPr>
      <w:rFonts w:ascii="Tahoma" w:hAnsi="Tahoma" w:cs="Tahoma"/>
      <w:sz w:val="16"/>
      <w:szCs w:val="16"/>
    </w:rPr>
  </w:style>
  <w:style w:type="character" w:styleId="Lienhypertexte">
    <w:name w:val="Hyperlink"/>
    <w:basedOn w:val="Policepardfaut"/>
    <w:uiPriority w:val="99"/>
    <w:unhideWhenUsed/>
    <w:rsid w:val="007419CB"/>
    <w:rPr>
      <w:color w:val="0563C1" w:themeColor="hyperlink"/>
      <w:u w:val="single"/>
    </w:rPr>
  </w:style>
  <w:style w:type="character" w:customStyle="1" w:styleId="katex-mathml">
    <w:name w:val="katex-mathml"/>
    <w:basedOn w:val="Policepardfaut"/>
    <w:rsid w:val="007419CB"/>
  </w:style>
  <w:style w:type="character" w:customStyle="1" w:styleId="mord">
    <w:name w:val="mord"/>
    <w:basedOn w:val="Policepardfaut"/>
    <w:rsid w:val="007419CB"/>
  </w:style>
  <w:style w:type="character" w:customStyle="1" w:styleId="vlist-s">
    <w:name w:val="vlist-s"/>
    <w:basedOn w:val="Policepardfaut"/>
    <w:rsid w:val="007419CB"/>
  </w:style>
  <w:style w:type="character" w:styleId="Textedelespacerserv">
    <w:name w:val="Placeholder Text"/>
    <w:basedOn w:val="Policepardfaut"/>
    <w:uiPriority w:val="99"/>
    <w:semiHidden/>
    <w:rsid w:val="007419CB"/>
    <w:rPr>
      <w:color w:val="808080"/>
    </w:rPr>
  </w:style>
  <w:style w:type="character" w:customStyle="1" w:styleId="delimsizing">
    <w:name w:val="delimsizing"/>
    <w:basedOn w:val="Policepardfaut"/>
    <w:rsid w:val="007419CB"/>
  </w:style>
  <w:style w:type="paragraph" w:customStyle="1" w:styleId="mb-2">
    <w:name w:val="mb-2"/>
    <w:basedOn w:val="Normal"/>
    <w:rsid w:val="007419CB"/>
    <w:pPr>
      <w:spacing w:before="100" w:beforeAutospacing="1" w:after="100" w:afterAutospacing="1"/>
    </w:pPr>
  </w:style>
  <w:style w:type="character" w:customStyle="1" w:styleId="mopen">
    <w:name w:val="mopen"/>
    <w:basedOn w:val="Policepardfaut"/>
    <w:rsid w:val="007419CB"/>
  </w:style>
  <w:style w:type="character" w:customStyle="1" w:styleId="mpunct">
    <w:name w:val="mpunct"/>
    <w:basedOn w:val="Policepardfaut"/>
    <w:rsid w:val="007419CB"/>
  </w:style>
  <w:style w:type="character" w:customStyle="1" w:styleId="mclose">
    <w:name w:val="mclose"/>
    <w:basedOn w:val="Policepardfaut"/>
    <w:rsid w:val="007419CB"/>
  </w:style>
  <w:style w:type="character" w:customStyle="1" w:styleId="mrel">
    <w:name w:val="mrel"/>
    <w:basedOn w:val="Policepardfaut"/>
    <w:rsid w:val="007419CB"/>
  </w:style>
  <w:style w:type="character" w:customStyle="1" w:styleId="mbin">
    <w:name w:val="mbin"/>
    <w:basedOn w:val="Policepardfaut"/>
    <w:rsid w:val="007419CB"/>
  </w:style>
  <w:style w:type="character" w:styleId="CodeHTML">
    <w:name w:val="HTML Code"/>
    <w:basedOn w:val="Policepardfaut"/>
    <w:uiPriority w:val="99"/>
    <w:semiHidden/>
    <w:unhideWhenUsed/>
    <w:rsid w:val="007419CB"/>
    <w:rPr>
      <w:rFonts w:ascii="Courier New" w:eastAsia="Times New Roman" w:hAnsi="Courier New" w:cs="Courier New"/>
      <w:sz w:val="20"/>
      <w:szCs w:val="20"/>
    </w:rPr>
  </w:style>
  <w:style w:type="paragraph" w:styleId="Lgende">
    <w:name w:val="caption"/>
    <w:basedOn w:val="Normal"/>
    <w:next w:val="Normal"/>
    <w:uiPriority w:val="35"/>
    <w:unhideWhenUsed/>
    <w:qFormat/>
    <w:rsid w:val="007419CB"/>
    <w:rPr>
      <w:i/>
      <w:iCs/>
      <w:color w:val="44546A" w:themeColor="text2"/>
      <w:sz w:val="18"/>
    </w:rPr>
  </w:style>
  <w:style w:type="table" w:styleId="TableauGrille4-Accentuation5">
    <w:name w:val="Grid Table 4 Accent 5"/>
    <w:basedOn w:val="TableauNormal"/>
    <w:uiPriority w:val="49"/>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bCs/>
      </w:rPr>
      <w:tblPr/>
      <w:tcPr>
        <w:tcBorders>
          <w:top w:val="sing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lledutableau">
    <w:name w:val="Table Grid"/>
    <w:basedOn w:val="TableauNormal"/>
    <w:uiPriority w:val="39"/>
    <w:rsid w:val="007419CB"/>
    <w:pPr>
      <w:spacing w:after="0" w:line="240" w:lineRule="auto"/>
    </w:pPr>
    <w:rPr>
      <w:rFonts w:ascii="Times New Roman" w:hAnsi="Times New Roman" w:cs="Cambria Math"/>
      <w:sz w:val="24"/>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op">
    <w:name w:val="mop"/>
    <w:basedOn w:val="Policepardfaut"/>
    <w:rsid w:val="007419CB"/>
  </w:style>
  <w:style w:type="paragraph" w:styleId="NormalWeb">
    <w:name w:val="Normal (Web)"/>
    <w:basedOn w:val="Normal"/>
    <w:uiPriority w:val="99"/>
    <w:unhideWhenUsed/>
    <w:rsid w:val="007419CB"/>
    <w:pPr>
      <w:spacing w:before="100" w:beforeAutospacing="1" w:after="100" w:afterAutospacing="1"/>
    </w:pPr>
  </w:style>
  <w:style w:type="character" w:customStyle="1" w:styleId="minner">
    <w:name w:val="minner"/>
    <w:basedOn w:val="Policepardfaut"/>
    <w:rsid w:val="007419CB"/>
  </w:style>
  <w:style w:type="character" w:customStyle="1" w:styleId="mtight">
    <w:name w:val="mtight"/>
    <w:basedOn w:val="Policepardfaut"/>
    <w:rsid w:val="007419CB"/>
  </w:style>
  <w:style w:type="character" w:customStyle="1" w:styleId="relative">
    <w:name w:val="relative"/>
    <w:basedOn w:val="Policepardfaut"/>
    <w:rsid w:val="007419CB"/>
  </w:style>
  <w:style w:type="character" w:customStyle="1" w:styleId="katex">
    <w:name w:val="katex"/>
    <w:basedOn w:val="Policepardfaut"/>
    <w:rsid w:val="007419CB"/>
  </w:style>
  <w:style w:type="paragraph" w:customStyle="1" w:styleId="msonormal0">
    <w:name w:val="msonormal"/>
    <w:basedOn w:val="Normal"/>
    <w:rsid w:val="007419CB"/>
    <w:pPr>
      <w:spacing w:before="100" w:beforeAutospacing="1" w:after="100" w:afterAutospacing="1"/>
    </w:pPr>
    <w:rPr>
      <w:rFonts w:eastAsia="Times New Roman" w:cs="Times New Roman"/>
      <w:szCs w:val="24"/>
      <w:lang w:eastAsia="fr-FR"/>
    </w:rPr>
  </w:style>
  <w:style w:type="paragraph" w:customStyle="1" w:styleId="xl65">
    <w:name w:val="xl65"/>
    <w:basedOn w:val="Normal"/>
    <w:rsid w:val="007419CB"/>
    <w:pPr>
      <w:spacing w:before="100" w:beforeAutospacing="1" w:after="100" w:afterAutospacing="1"/>
    </w:pPr>
    <w:rPr>
      <w:rFonts w:ascii="Arial" w:eastAsia="Times New Roman" w:hAnsi="Arial" w:cs="Arial"/>
      <w:sz w:val="12"/>
      <w:szCs w:val="12"/>
      <w:lang w:eastAsia="fr-FR"/>
    </w:rPr>
  </w:style>
  <w:style w:type="paragraph" w:customStyle="1" w:styleId="xl66">
    <w:name w:val="xl66"/>
    <w:basedOn w:val="Normal"/>
    <w:rsid w:val="007419CB"/>
    <w:pPr>
      <w:spacing w:before="100" w:beforeAutospacing="1" w:after="100" w:afterAutospacing="1"/>
    </w:pPr>
    <w:rPr>
      <w:rFonts w:ascii="Arial" w:eastAsia="Times New Roman" w:hAnsi="Arial" w:cs="Arial"/>
      <w:b/>
      <w:bCs/>
      <w:sz w:val="12"/>
      <w:szCs w:val="12"/>
      <w:lang w:eastAsia="fr-FR"/>
    </w:rPr>
  </w:style>
  <w:style w:type="paragraph" w:customStyle="1" w:styleId="xl67">
    <w:name w:val="xl67"/>
    <w:basedOn w:val="Normal"/>
    <w:rsid w:val="007419CB"/>
    <w:pPr>
      <w:pBdr>
        <w:top w:val="dotted" w:sz="4" w:space="0" w:color="E7E6E6"/>
        <w:left w:val="dotted" w:sz="4" w:space="0" w:color="E7E6E6"/>
        <w:bottom w:val="dotted" w:sz="4" w:space="0" w:color="E7E6E6"/>
        <w:right w:val="dotted" w:sz="4" w:space="0" w:color="E7E6E6"/>
      </w:pBdr>
      <w:spacing w:before="100" w:beforeAutospacing="1" w:after="100" w:afterAutospacing="1"/>
    </w:pPr>
    <w:rPr>
      <w:rFonts w:ascii="Arial" w:eastAsia="Times New Roman" w:hAnsi="Arial" w:cs="Arial"/>
      <w:b/>
      <w:bCs/>
      <w:sz w:val="10"/>
      <w:szCs w:val="10"/>
      <w:lang w:eastAsia="fr-FR"/>
    </w:rPr>
  </w:style>
  <w:style w:type="paragraph" w:customStyle="1" w:styleId="xl68">
    <w:name w:val="xl68"/>
    <w:basedOn w:val="Normal"/>
    <w:rsid w:val="007419CB"/>
    <w:pPr>
      <w:pBdr>
        <w:top w:val="dotted" w:sz="4" w:space="0" w:color="E7E6E6"/>
        <w:left w:val="dotted" w:sz="4" w:space="0" w:color="E7E6E6"/>
        <w:bottom w:val="dotted" w:sz="4" w:space="0" w:color="E7E6E6"/>
        <w:right w:val="dotted" w:sz="4" w:space="0" w:color="E7E6E6"/>
      </w:pBdr>
      <w:spacing w:before="100" w:beforeAutospacing="1" w:after="100" w:afterAutospacing="1"/>
    </w:pPr>
    <w:rPr>
      <w:rFonts w:ascii="Arial" w:eastAsia="Times New Roman" w:hAnsi="Arial" w:cs="Arial"/>
      <w:sz w:val="10"/>
      <w:szCs w:val="10"/>
      <w:lang w:eastAsia="fr-FR"/>
    </w:rPr>
  </w:style>
  <w:style w:type="paragraph" w:customStyle="1" w:styleId="xl69">
    <w:name w:val="xl69"/>
    <w:basedOn w:val="Normal"/>
    <w:rsid w:val="007419CB"/>
    <w:pPr>
      <w:pBdr>
        <w:top w:val="dotted" w:sz="4" w:space="0" w:color="E7E6E6"/>
        <w:left w:val="dotted" w:sz="4" w:space="0" w:color="E7E6E6"/>
        <w:bottom w:val="dotted" w:sz="4" w:space="0" w:color="E7E6E6"/>
        <w:right w:val="dotted" w:sz="4" w:space="0" w:color="E7E6E6"/>
      </w:pBdr>
      <w:spacing w:before="100" w:beforeAutospacing="1" w:after="100" w:afterAutospacing="1"/>
    </w:pPr>
    <w:rPr>
      <w:rFonts w:ascii="Arial" w:eastAsia="Times New Roman" w:hAnsi="Arial" w:cs="Arial"/>
      <w:sz w:val="10"/>
      <w:szCs w:val="10"/>
      <w:lang w:eastAsia="fr-FR"/>
    </w:rPr>
  </w:style>
  <w:style w:type="table" w:customStyle="1" w:styleId="Grilledutableau1">
    <w:name w:val="Grille du tableau1"/>
    <w:basedOn w:val="TableauNormal"/>
    <w:next w:val="Grilledutableau"/>
    <w:uiPriority w:val="39"/>
    <w:rsid w:val="00741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annexe">
    <w:name w:val="style annexe"/>
    <w:uiPriority w:val="99"/>
    <w:rsid w:val="007419CB"/>
    <w:pPr>
      <w:numPr>
        <w:numId w:val="39"/>
      </w:numPr>
    </w:pPr>
  </w:style>
  <w:style w:type="character" w:styleId="Mentionnonrsolue">
    <w:name w:val="Unresolved Mention"/>
    <w:basedOn w:val="Policepardfaut"/>
    <w:uiPriority w:val="99"/>
    <w:semiHidden/>
    <w:unhideWhenUsed/>
    <w:rsid w:val="007419CB"/>
    <w:rPr>
      <w:color w:val="605E5C"/>
      <w:shd w:val="clear" w:color="auto" w:fill="E1DFDD"/>
    </w:rPr>
  </w:style>
  <w:style w:type="paragraph" w:styleId="Corpsdetexte">
    <w:name w:val="Body Text"/>
    <w:basedOn w:val="Normal"/>
    <w:link w:val="CorpsdetexteCar"/>
    <w:uiPriority w:val="1"/>
    <w:qFormat/>
    <w:rsid w:val="007419CB"/>
    <w:pPr>
      <w:widowControl w:val="0"/>
      <w:ind w:left="959"/>
    </w:pPr>
    <w:rPr>
      <w:rFonts w:eastAsia="Times New Roman" w:cstheme="minorBidi"/>
      <w:b/>
      <w:bCs/>
      <w:sz w:val="20"/>
      <w:szCs w:val="20"/>
      <w:lang w:val="en-US"/>
    </w:rPr>
  </w:style>
  <w:style w:type="character" w:customStyle="1" w:styleId="CorpsdetexteCar">
    <w:name w:val="Corps de texte Car"/>
    <w:basedOn w:val="Policepardfaut"/>
    <w:link w:val="Corpsdetexte"/>
    <w:uiPriority w:val="1"/>
    <w:rsid w:val="007419CB"/>
    <w:rPr>
      <w:rFonts w:ascii="Times New Roman" w:eastAsia="Times New Roman" w:hAnsi="Times New Roman"/>
      <w:b/>
      <w:bCs/>
      <w:sz w:val="20"/>
      <w:szCs w:val="20"/>
      <w:lang w:val="en-US"/>
    </w:rPr>
  </w:style>
  <w:style w:type="table" w:styleId="TableauListe7Couleur-Accentuation1">
    <w:name w:val="List Table 7 Colorful Accent 1"/>
    <w:basedOn w:val="TableauNormal"/>
    <w:uiPriority w:val="52"/>
    <w:rsid w:val="007419CB"/>
    <w:pPr>
      <w:spacing w:after="0" w:line="240" w:lineRule="auto"/>
    </w:pPr>
    <w:rPr>
      <w:rFonts w:ascii="Times New Roman" w:hAnsi="Times New Roman" w:cs="Cambria Math"/>
      <w:color w:val="2F5496" w:themeColor="accent1" w:themeShade="BF"/>
      <w:sz w:val="24"/>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2-Accentuation6">
    <w:name w:val="Grid Table 2 Accent 6"/>
    <w:basedOn w:val="TableauNormal"/>
    <w:uiPriority w:val="47"/>
    <w:rsid w:val="007419CB"/>
    <w:pPr>
      <w:spacing w:after="0" w:line="240" w:lineRule="auto"/>
    </w:pPr>
    <w:rPr>
      <w:rFonts w:ascii="Times New Roman" w:hAnsi="Times New Roman" w:cs="Cambria Math"/>
      <w:sz w:val="24"/>
      <w:szCs w:val="18"/>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Accentuation5">
    <w:name w:val="Grid Table 3 Accent 5"/>
    <w:basedOn w:val="TableauNormal"/>
    <w:uiPriority w:val="48"/>
    <w:rsid w:val="007419CB"/>
    <w:pPr>
      <w:spacing w:after="0" w:line="240" w:lineRule="auto"/>
    </w:pPr>
    <w:rPr>
      <w:rFonts w:ascii="Times New Roman" w:hAnsi="Times New Roman" w:cs="Cambria Math"/>
      <w:sz w:val="24"/>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cf01">
    <w:name w:val="cf01"/>
    <w:basedOn w:val="Policepardfaut"/>
    <w:rsid w:val="007419CB"/>
    <w:rPr>
      <w:rFonts w:ascii="Consolas" w:hAnsi="Consolas" w:hint="default"/>
      <w:sz w:val="22"/>
      <w:szCs w:val="22"/>
    </w:rPr>
  </w:style>
  <w:style w:type="character" w:customStyle="1" w:styleId="cf11">
    <w:name w:val="cf11"/>
    <w:basedOn w:val="Policepardfaut"/>
    <w:rsid w:val="007419CB"/>
    <w:rPr>
      <w:rFonts w:ascii="Consolas" w:hAnsi="Consolas"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231BB-C499-48E6-AD4B-E5CDE840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130</Pages>
  <Words>42644</Words>
  <Characters>234546</Characters>
  <Application>Microsoft Office Word</Application>
  <DocSecurity>0</DocSecurity>
  <Lines>1954</Lines>
  <Paragraphs>553</Paragraphs>
  <ScaleCrop>false</ScaleCrop>
  <HeadingPairs>
    <vt:vector size="2" baseType="variant">
      <vt:variant>
        <vt:lpstr>Titre</vt:lpstr>
      </vt:variant>
      <vt:variant>
        <vt:i4>1</vt:i4>
      </vt:variant>
    </vt:vector>
  </HeadingPairs>
  <TitlesOfParts>
    <vt:vector size="1" baseType="lpstr">
      <vt:lpstr/>
    </vt:vector>
  </TitlesOfParts>
  <Company>Université de Lorraine</Company>
  <LinksUpToDate>false</LinksUpToDate>
  <CharactersWithSpaces>276637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Rousseau</dc:creator>
  <cp:keywords/>
  <dc:description/>
  <cp:lastModifiedBy>Francois Rousseau</cp:lastModifiedBy>
  <cp:revision>4</cp:revision>
  <dcterms:created xsi:type="dcterms:W3CDTF">2025-12-04T14:52:00Z</dcterms:created>
  <dcterms:modified xsi:type="dcterms:W3CDTF">2025-12-09T16:28:00Z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id="WO14yun4"/&gt;&lt;style id="http://www.zotero.org/styles/nature" hasBibliography="1" bibliographyStyleHasBeenSet="1"/&gt;&lt;prefs&gt;&lt;pref name="fieldType" value="Field"/&gt;&lt;/prefs&gt;&lt;/data&gt;</vt:lpwstr>
  </property>
</Properties>
</file>