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5E240">
      <w:pPr>
        <w:spacing w:line="24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2A Effect of PHPS1 on the mRNA expression of iNOS and COX-2 in mature adipocytes (TNF-α-stimulated or unstimulated) and adipocyte-macrophage co-cultures (LPS-stimulated or unstimulated)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(</w:t>
      </w:r>
      <w:r>
        <w:rPr>
          <w:rFonts w:hint="default" w:ascii="Times New Roman" w:hAnsi="Times New Roman" w:cs="Times New Roman"/>
          <w:b/>
          <w:bCs/>
          <w:lang w:val="en-US" w:eastAsia="zh-CN"/>
        </w:rPr>
        <w:sym w:font="Symbol" w:char="0060"/>
      </w:r>
      <w:r>
        <w:rPr>
          <w:rFonts w:hint="default" w:ascii="Times New Roman" w:hAnsi="Times New Roman" w:cs="Times New Roman"/>
          <w:b/>
          <w:bCs/>
          <w:lang w:val="en-US" w:eastAsia="zh-CN"/>
        </w:rPr>
        <w:t>x±s, n=3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, n = number of samples per group)</w:t>
      </w:r>
    </w:p>
    <w:p w14:paraId="4E2AA6DF"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Table 2A summarizes the mRNA expression levels of inducible nitric oxide synthase (iNOS) and cyclooxygenase-2 (COX-2)—two key mediators of inflammatory responses—in two experimental models following PHPS1 treatment: unstimulated and TNF-α-stimulated mature adipocytes, and unstimulated and LPS-stimulated adipocyte-macrophage co-cultures.</w:t>
      </w:r>
    </w:p>
    <w:p w14:paraId="086F7BF1"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For the mature adipocyte model, cells were pre-treated with PHPS1 (10 μM) for a specified duration prior to stimulation with TNF-α (10 ng/mL) for 24 h; for the adipocyte-macrophage co-culture model, co-cultures were pre-treated with PHPS1 (10 μM) before exposure to LPS (1 μg/mL) for 24 h. Unstimulated groups (without TNF-α or LPS) in both models served as baseline controls to assess the independent effect of PHPS1 on iNOS and COX-2 mRNA expression.</w:t>
      </w:r>
    </w:p>
    <w:p w14:paraId="4D163A16"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mRNA expression levels of iNOS and COX-2 were quantified using real-time polymerase chain reaction (real-time PCR). All data are presented as mean ± standard error of the mean (SEM) from three independent experiments. Statistical significance was determined using one-way analysis of variance (ANOVA) followed by Tukey’s multiple comparisons test.</w:t>
      </w:r>
    </w:p>
    <w:tbl>
      <w:tblPr>
        <w:tblStyle w:val="3"/>
        <w:tblW w:w="63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2"/>
        <w:gridCol w:w="2001"/>
        <w:gridCol w:w="2000"/>
      </w:tblGrid>
      <w:tr w14:paraId="31850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tcBorders>
              <w:top w:val="single" w:color="auto" w:sz="4" w:space="0"/>
              <w:bottom w:val="single" w:color="auto" w:sz="4" w:space="0"/>
            </w:tcBorders>
          </w:tcPr>
          <w:p w14:paraId="71951087"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Group</w:t>
            </w:r>
          </w:p>
        </w:tc>
        <w:tc>
          <w:tcPr>
            <w:tcW w:w="2001" w:type="dxa"/>
            <w:tcBorders>
              <w:top w:val="single" w:color="auto" w:sz="4" w:space="0"/>
              <w:bottom w:val="single" w:color="auto" w:sz="4" w:space="0"/>
            </w:tcBorders>
          </w:tcPr>
          <w:p w14:paraId="0D04802E"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iNOS</w:t>
            </w:r>
          </w:p>
        </w:tc>
        <w:tc>
          <w:tcPr>
            <w:tcW w:w="2000" w:type="dxa"/>
            <w:tcBorders>
              <w:top w:val="single" w:color="auto" w:sz="4" w:space="0"/>
              <w:bottom w:val="single" w:color="auto" w:sz="4" w:space="0"/>
            </w:tcBorders>
          </w:tcPr>
          <w:p w14:paraId="38461CA1"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COX-2</w:t>
            </w:r>
          </w:p>
        </w:tc>
      </w:tr>
      <w:tr w14:paraId="6741C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tcBorders>
              <w:top w:val="single" w:color="auto" w:sz="4" w:space="0"/>
            </w:tcBorders>
          </w:tcPr>
          <w:p w14:paraId="09946CA3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)+PHPS1(－)</w:t>
            </w:r>
          </w:p>
        </w:tc>
        <w:tc>
          <w:tcPr>
            <w:tcW w:w="2001" w:type="dxa"/>
            <w:tcBorders>
              <w:top w:val="single" w:color="auto" w:sz="4" w:space="0"/>
            </w:tcBorders>
          </w:tcPr>
          <w:p w14:paraId="59F260D4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4.73±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0.47</w:t>
            </w:r>
          </w:p>
        </w:tc>
        <w:tc>
          <w:tcPr>
            <w:tcW w:w="2000" w:type="dxa"/>
            <w:tcBorders>
              <w:top w:val="single" w:color="auto" w:sz="4" w:space="0"/>
            </w:tcBorders>
          </w:tcPr>
          <w:p w14:paraId="67D78340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4.5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0.59</w:t>
            </w:r>
          </w:p>
        </w:tc>
      </w:tr>
      <w:tr w14:paraId="48EFE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61F21FF4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)+PHPS1(＋)</w:t>
            </w:r>
          </w:p>
        </w:tc>
        <w:tc>
          <w:tcPr>
            <w:tcW w:w="2001" w:type="dxa"/>
          </w:tcPr>
          <w:p w14:paraId="1B921958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4.70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0.32</w:t>
            </w:r>
          </w:p>
        </w:tc>
        <w:tc>
          <w:tcPr>
            <w:tcW w:w="2000" w:type="dxa"/>
          </w:tcPr>
          <w:p w14:paraId="4B7F0933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4.59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0.59</w:t>
            </w:r>
          </w:p>
        </w:tc>
      </w:tr>
      <w:tr w14:paraId="10FBD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41442452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TNF-α(＋)+PHPS1(－) </w:t>
            </w:r>
          </w:p>
        </w:tc>
        <w:tc>
          <w:tcPr>
            <w:tcW w:w="2001" w:type="dxa"/>
          </w:tcPr>
          <w:p w14:paraId="76668497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32.35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1.59</w:t>
            </w:r>
          </w:p>
        </w:tc>
        <w:tc>
          <w:tcPr>
            <w:tcW w:w="2000" w:type="dxa"/>
          </w:tcPr>
          <w:p w14:paraId="322CAF74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15.69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0.60</w:t>
            </w:r>
          </w:p>
        </w:tc>
      </w:tr>
      <w:tr w14:paraId="7BC73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4933C11A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TNF-α(＋)+PHPS1(＋)</w:t>
            </w:r>
          </w:p>
        </w:tc>
        <w:tc>
          <w:tcPr>
            <w:tcW w:w="2001" w:type="dxa"/>
          </w:tcPr>
          <w:p w14:paraId="0FF43D86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11.64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0.51</w:t>
            </w:r>
          </w:p>
        </w:tc>
        <w:tc>
          <w:tcPr>
            <w:tcW w:w="2000" w:type="dxa"/>
          </w:tcPr>
          <w:p w14:paraId="6316936F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7.20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0.36</w:t>
            </w:r>
          </w:p>
        </w:tc>
      </w:tr>
      <w:tr w14:paraId="7B23E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shd w:val="clear" w:color="auto" w:fill="auto"/>
            <w:vAlign w:val="top"/>
          </w:tcPr>
          <w:p w14:paraId="133CFDF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F </w:t>
            </w:r>
          </w:p>
        </w:tc>
        <w:tc>
          <w:tcPr>
            <w:tcW w:w="2001" w:type="dxa"/>
          </w:tcPr>
          <w:p w14:paraId="679C9D8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218.6</w:t>
            </w:r>
          </w:p>
        </w:tc>
        <w:tc>
          <w:tcPr>
            <w:tcW w:w="2000" w:type="dxa"/>
            <w:shd w:val="clear" w:color="auto" w:fill="auto"/>
            <w:vAlign w:val="top"/>
          </w:tcPr>
          <w:p w14:paraId="17D07C0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92.03</w:t>
            </w:r>
          </w:p>
        </w:tc>
      </w:tr>
      <w:tr w14:paraId="43E6B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shd w:val="clear" w:color="auto" w:fill="auto"/>
            <w:vAlign w:val="top"/>
          </w:tcPr>
          <w:p w14:paraId="65680C7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2001" w:type="dxa"/>
          </w:tcPr>
          <w:p w14:paraId="5578941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&lt;0.0001</w:t>
            </w:r>
          </w:p>
        </w:tc>
        <w:tc>
          <w:tcPr>
            <w:tcW w:w="2000" w:type="dxa"/>
            <w:shd w:val="clear" w:color="auto" w:fill="auto"/>
            <w:vAlign w:val="top"/>
          </w:tcPr>
          <w:p w14:paraId="5658ED6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&lt;0.0001</w:t>
            </w:r>
          </w:p>
        </w:tc>
      </w:tr>
      <w:tr w14:paraId="674C7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788AA36F"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LPS(－)+PHPS1(－)</w:t>
            </w:r>
          </w:p>
        </w:tc>
        <w:tc>
          <w:tcPr>
            <w:tcW w:w="2001" w:type="dxa"/>
          </w:tcPr>
          <w:p w14:paraId="4E78F849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2.93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0.28</w:t>
            </w:r>
          </w:p>
        </w:tc>
        <w:tc>
          <w:tcPr>
            <w:tcW w:w="2000" w:type="dxa"/>
          </w:tcPr>
          <w:p w14:paraId="3BABACAC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4.06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</w:tr>
      <w:tr w14:paraId="44F85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2574D309"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LPS(－)+PHPS1(＋)</w:t>
            </w:r>
          </w:p>
        </w:tc>
        <w:tc>
          <w:tcPr>
            <w:tcW w:w="2001" w:type="dxa"/>
          </w:tcPr>
          <w:p w14:paraId="47D73CDB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3.18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000" w:type="dxa"/>
          </w:tcPr>
          <w:p w14:paraId="162B5DE3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3.87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</w:tr>
      <w:tr w14:paraId="1F952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7A921CF7"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LPS(＋)+PHPS1(－)</w:t>
            </w:r>
          </w:p>
        </w:tc>
        <w:tc>
          <w:tcPr>
            <w:tcW w:w="2001" w:type="dxa"/>
          </w:tcPr>
          <w:p w14:paraId="737AE5BA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37.69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0.42</w:t>
            </w:r>
          </w:p>
        </w:tc>
        <w:tc>
          <w:tcPr>
            <w:tcW w:w="2000" w:type="dxa"/>
          </w:tcPr>
          <w:p w14:paraId="14750ADA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16.61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0.47</w:t>
            </w:r>
          </w:p>
        </w:tc>
      </w:tr>
      <w:tr w14:paraId="51B2A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</w:tcPr>
          <w:p w14:paraId="74C60A27"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LPS(＋)+PHPS1(＋)</w:t>
            </w:r>
          </w:p>
        </w:tc>
        <w:tc>
          <w:tcPr>
            <w:tcW w:w="2001" w:type="dxa"/>
          </w:tcPr>
          <w:p w14:paraId="11244324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17.28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000" w:type="dxa"/>
          </w:tcPr>
          <w:p w14:paraId="6FF9B9A0"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9.28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</w:tr>
      <w:tr w14:paraId="4CC2F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shd w:val="clear" w:color="auto" w:fill="auto"/>
            <w:vAlign w:val="top"/>
          </w:tcPr>
          <w:p w14:paraId="30C79025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F </w:t>
            </w:r>
          </w:p>
        </w:tc>
        <w:tc>
          <w:tcPr>
            <w:tcW w:w="2001" w:type="dxa"/>
            <w:shd w:val="clear" w:color="auto" w:fill="auto"/>
            <w:vAlign w:val="top"/>
          </w:tcPr>
          <w:p w14:paraId="202B246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2691</w:t>
            </w:r>
          </w:p>
        </w:tc>
        <w:tc>
          <w:tcPr>
            <w:tcW w:w="2000" w:type="dxa"/>
            <w:shd w:val="clear" w:color="auto" w:fill="auto"/>
            <w:vAlign w:val="top"/>
          </w:tcPr>
          <w:p w14:paraId="1A785D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216.5</w:t>
            </w:r>
          </w:p>
        </w:tc>
      </w:tr>
      <w:tr w14:paraId="54A66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F246A0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200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98537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&lt;0.0001</w:t>
            </w:r>
          </w:p>
        </w:tc>
        <w:tc>
          <w:tcPr>
            <w:tcW w:w="200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81CBB9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&lt;0.0001</w:t>
            </w:r>
          </w:p>
        </w:tc>
      </w:tr>
    </w:tbl>
    <w:p w14:paraId="59DCDD2D">
      <w:pPr>
        <w:jc w:val="both"/>
        <w:rPr>
          <w:rFonts w:hint="eastAsia" w:ascii="Times New Roman" w:hAnsi="Times New Roman" w:cs="Times New Roman"/>
          <w:b/>
          <w:bCs/>
          <w:lang w:val="en-US" w:eastAsia="zh-CN"/>
        </w:rPr>
      </w:pPr>
    </w:p>
    <w:p w14:paraId="68C946A7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2B Group-wise comparison of mRNA expression levels of iNOS and COX-2 in mature adipocytes (unstimulated or TNF-α-stimulated) and adipocyte-macrophage co-cultures (unstimulated or LPS-stimulated) following PHPS1 treatment (x±s, n=3, n = number of samples per group)</w:t>
      </w:r>
    </w:p>
    <w:tbl>
      <w:tblPr>
        <w:tblStyle w:val="3"/>
        <w:tblpPr w:leftFromText="180" w:rightFromText="180" w:vertAnchor="text" w:horzAnchor="page" w:tblpXSpec="center" w:tblpY="188"/>
        <w:tblOverlap w:val="never"/>
        <w:tblW w:w="90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5"/>
        <w:gridCol w:w="2191"/>
        <w:gridCol w:w="2327"/>
      </w:tblGrid>
      <w:tr w14:paraId="3E06C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  <w:tcBorders>
              <w:top w:val="single" w:color="auto" w:sz="4" w:space="0"/>
              <w:bottom w:val="single" w:color="auto" w:sz="4" w:space="0"/>
            </w:tcBorders>
          </w:tcPr>
          <w:p w14:paraId="6B8EBAC2">
            <w:pP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Group-wise comparison</w:t>
            </w:r>
          </w:p>
        </w:tc>
        <w:tc>
          <w:tcPr>
            <w:tcW w:w="21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1360F86F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iNOS</w:t>
            </w:r>
          </w:p>
        </w:tc>
        <w:tc>
          <w:tcPr>
            <w:tcW w:w="232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321BAF0B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COX-2</w:t>
            </w:r>
          </w:p>
        </w:tc>
      </w:tr>
      <w:tr w14:paraId="55C09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  <w:tcBorders>
              <w:top w:val="single" w:color="auto" w:sz="4" w:space="0"/>
            </w:tcBorders>
          </w:tcPr>
          <w:p w14:paraId="542584DE">
            <w:pPr>
              <w:ind w:left="840" w:hanging="840" w:hangingChars="400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)+PHPS1(＋)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TNF-α(－)+PHPS1(－)</w:t>
            </w:r>
          </w:p>
        </w:tc>
        <w:tc>
          <w:tcPr>
            <w:tcW w:w="2191" w:type="dxa"/>
            <w:tcBorders>
              <w:top w:val="single" w:color="auto" w:sz="4" w:space="0"/>
            </w:tcBorders>
          </w:tcPr>
          <w:p w14:paraId="33C9E395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=0.9999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=0.02</w:t>
            </w:r>
          </w:p>
        </w:tc>
        <w:tc>
          <w:tcPr>
            <w:tcW w:w="2327" w:type="dxa"/>
            <w:tcBorders>
              <w:top w:val="single" w:color="auto" w:sz="4" w:space="0"/>
            </w:tcBorders>
          </w:tcPr>
          <w:p w14:paraId="7342D56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=0.9887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=0.12</w:t>
            </w:r>
          </w:p>
        </w:tc>
      </w:tr>
      <w:tr w14:paraId="24AA8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1397AC97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TNF-α(＋)+PHPS1(－)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TNF-α(－)+PHPS1(－)</w:t>
            </w:r>
          </w:p>
        </w:tc>
        <w:tc>
          <w:tcPr>
            <w:tcW w:w="2191" w:type="dxa"/>
          </w:tcPr>
          <w:p w14:paraId="3B77F1C2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=31.23</w:t>
            </w:r>
          </w:p>
        </w:tc>
        <w:tc>
          <w:tcPr>
            <w:tcW w:w="2327" w:type="dxa"/>
          </w:tcPr>
          <w:p w14:paraId="16BAB5D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=20.31</w:t>
            </w:r>
          </w:p>
        </w:tc>
      </w:tr>
      <w:tr w14:paraId="0F390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3371849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TNF-α(－)+PHPS1(－)</w:t>
            </w:r>
          </w:p>
        </w:tc>
        <w:tc>
          <w:tcPr>
            <w:tcW w:w="2191" w:type="dxa"/>
          </w:tcPr>
          <w:p w14:paraId="7C1495A7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0.0025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=7.813</w:t>
            </w:r>
          </w:p>
        </w:tc>
        <w:tc>
          <w:tcPr>
            <w:tcW w:w="2327" w:type="dxa"/>
          </w:tcPr>
          <w:p w14:paraId="05EA969B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0.0359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=4.864</w:t>
            </w:r>
          </w:p>
        </w:tc>
      </w:tr>
      <w:tr w14:paraId="4701C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1B0D6F7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TNF-α(＋)+PHPS1(－)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2191" w:type="dxa"/>
          </w:tcPr>
          <w:p w14:paraId="17BF2630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=31.26</w:t>
            </w:r>
          </w:p>
        </w:tc>
        <w:tc>
          <w:tcPr>
            <w:tcW w:w="2327" w:type="dxa"/>
          </w:tcPr>
          <w:p w14:paraId="49549297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=20.18</w:t>
            </w:r>
          </w:p>
        </w:tc>
      </w:tr>
      <w:tr w14:paraId="598CC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554794D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2191" w:type="dxa"/>
          </w:tcPr>
          <w:p w14:paraId="1C29A9FD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0.0024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=7.84</w:t>
            </w:r>
          </w:p>
        </w:tc>
        <w:tc>
          <w:tcPr>
            <w:tcW w:w="2327" w:type="dxa"/>
          </w:tcPr>
          <w:p w14:paraId="3E7D901A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0.0404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=4.74</w:t>
            </w:r>
          </w:p>
        </w:tc>
      </w:tr>
      <w:tr w14:paraId="24BAE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4EA098CB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TNF-α(＋)+PHPS1(－)</w:t>
            </w:r>
          </w:p>
        </w:tc>
        <w:tc>
          <w:tcPr>
            <w:tcW w:w="2191" w:type="dxa"/>
          </w:tcPr>
          <w:p w14:paraId="4BEA36B4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=23.42</w:t>
            </w:r>
          </w:p>
        </w:tc>
        <w:tc>
          <w:tcPr>
            <w:tcW w:w="2327" w:type="dxa"/>
          </w:tcPr>
          <w:p w14:paraId="04D4B6A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=15.44</w:t>
            </w:r>
          </w:p>
        </w:tc>
      </w:tr>
      <w:tr w14:paraId="24DF4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236B1A0F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2191" w:type="dxa"/>
            <w:shd w:val="clear" w:color="auto" w:fill="auto"/>
            <w:vAlign w:val="top"/>
          </w:tcPr>
          <w:p w14:paraId="49EFF73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=0.9369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=0.81</w:t>
            </w:r>
          </w:p>
        </w:tc>
        <w:tc>
          <w:tcPr>
            <w:tcW w:w="2327" w:type="dxa"/>
            <w:shd w:val="clear" w:color="auto" w:fill="auto"/>
            <w:vAlign w:val="top"/>
          </w:tcPr>
          <w:p w14:paraId="2D2F142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=0.9867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=0.4668</w:t>
            </w:r>
          </w:p>
        </w:tc>
      </w:tr>
      <w:tr w14:paraId="2574D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63AC162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2191" w:type="dxa"/>
            <w:shd w:val="clear" w:color="auto" w:fill="auto"/>
            <w:vAlign w:val="top"/>
          </w:tcPr>
          <w:p w14:paraId="06BAB17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=110.1</w:t>
            </w:r>
          </w:p>
        </w:tc>
        <w:tc>
          <w:tcPr>
            <w:tcW w:w="2327" w:type="dxa"/>
            <w:shd w:val="clear" w:color="auto" w:fill="auto"/>
            <w:vAlign w:val="top"/>
          </w:tcPr>
          <w:p w14:paraId="3B15368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=30.84</w:t>
            </w:r>
          </w:p>
        </w:tc>
      </w:tr>
      <w:tr w14:paraId="0F65B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59956159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2191" w:type="dxa"/>
            <w:shd w:val="clear" w:color="auto" w:fill="auto"/>
            <w:vAlign w:val="top"/>
          </w:tcPr>
          <w:p w14:paraId="6037465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=45.46</w:t>
            </w:r>
          </w:p>
        </w:tc>
        <w:tc>
          <w:tcPr>
            <w:tcW w:w="2327" w:type="dxa"/>
            <w:shd w:val="clear" w:color="auto" w:fill="auto"/>
            <w:vAlign w:val="top"/>
          </w:tcPr>
          <w:p w14:paraId="575F469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=12.83</w:t>
            </w:r>
          </w:p>
        </w:tc>
      </w:tr>
      <w:tr w14:paraId="36FC3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72B25273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</w:p>
        </w:tc>
        <w:tc>
          <w:tcPr>
            <w:tcW w:w="2191" w:type="dxa"/>
            <w:shd w:val="clear" w:color="auto" w:fill="auto"/>
            <w:vAlign w:val="top"/>
          </w:tcPr>
          <w:p w14:paraId="0F731A4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=109.3</w:t>
            </w:r>
          </w:p>
        </w:tc>
        <w:tc>
          <w:tcPr>
            <w:tcW w:w="2327" w:type="dxa"/>
            <w:shd w:val="clear" w:color="auto" w:fill="auto"/>
            <w:vAlign w:val="top"/>
          </w:tcPr>
          <w:p w14:paraId="5D91B0A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=31.31</w:t>
            </w:r>
          </w:p>
        </w:tc>
      </w:tr>
      <w:tr w14:paraId="3223F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7284EB2C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</w:p>
        </w:tc>
        <w:tc>
          <w:tcPr>
            <w:tcW w:w="2191" w:type="dxa"/>
            <w:shd w:val="clear" w:color="auto" w:fill="auto"/>
            <w:vAlign w:val="top"/>
          </w:tcPr>
          <w:p w14:paraId="493DCA8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=44.64</w:t>
            </w:r>
          </w:p>
        </w:tc>
        <w:tc>
          <w:tcPr>
            <w:tcW w:w="2327" w:type="dxa"/>
            <w:shd w:val="clear" w:color="auto" w:fill="auto"/>
            <w:vAlign w:val="top"/>
          </w:tcPr>
          <w:p w14:paraId="6640331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=13.29</w:t>
            </w:r>
          </w:p>
        </w:tc>
      </w:tr>
      <w:tr w14:paraId="4882E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  <w:tcBorders>
              <w:bottom w:val="single" w:color="auto" w:sz="4" w:space="0"/>
            </w:tcBorders>
          </w:tcPr>
          <w:p w14:paraId="5B934D4D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</w:p>
        </w:tc>
        <w:tc>
          <w:tcPr>
            <w:tcW w:w="219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C77F155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=64.62</w:t>
            </w:r>
          </w:p>
        </w:tc>
        <w:tc>
          <w:tcPr>
            <w:tcW w:w="2327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5FA5B08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=18.02</w:t>
            </w:r>
          </w:p>
        </w:tc>
      </w:tr>
    </w:tbl>
    <w:p w14:paraId="07EBDAD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C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2025-11-06T07:11:24Z</dcterms:created>
  <dc:creator>Laptop</dc:creator>
  <cp:lastModifiedBy>岳欣欣</cp:lastModifiedBy>
  <dcterms:modified xsi:type="dcterms:W3CDTF">2025-11-06T07:11:52Z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eyJoZGlkIjoiZTVhYjdlNWE4MWViMTg4NjNhMzM4NGQzYzc1N2MxMzEiLCJ1c2VySWQiOiI3MzI5OTc1MDEifQ==</vt:lpwstr>
  </property>
  <property fmtid="{D5CDD505-2E9C-101B-9397-08002B2CF9AE}" pid="4" name="ICV">
    <vt:lpwstr>44E8FA1DBBB74BA6AF8E3C64ACA28D5E_12</vt:lpwstr>
  </property>
</Properties>
</file>