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0" w:rsidRDefault="00E66190">
      <w:pPr>
        <w:widowControl/>
        <w:jc w:val="center"/>
        <w:rPr>
          <w:rFonts w:ascii="Times New Roman" w:eastAsia="等线" w:hAnsi="Times New Roman" w:cs="Times New Roman"/>
          <w:b/>
          <w:bCs/>
        </w:rPr>
      </w:pPr>
      <w:r>
        <w:rPr>
          <w:rFonts w:ascii="Times New Roman" w:eastAsia="等线" w:hAnsi="Times New Roman" w:cs="Times New Roman"/>
          <w:b/>
          <w:bCs/>
        </w:rPr>
        <w:t>Table 1 Characteristics of general parameters of study populations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42"/>
        <w:gridCol w:w="3802"/>
      </w:tblGrid>
      <w:tr w:rsidR="008B7EF2">
        <w:trPr>
          <w:trHeight w:val="25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7EF2" w:rsidRDefault="008B7E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Characteristics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8B7EF2" w:rsidRDefault="008B7E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Mulberry Twig Alkaloids </w:t>
            </w:r>
            <w:r>
              <w:rPr>
                <w:rFonts w:ascii="Times New Roman" w:eastAsia="等线" w:hAnsi="Times New Roman" w:cs="Times New Roman"/>
                <w:b/>
                <w:bCs/>
              </w:rPr>
              <w:t>(n=27)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:rsidR="008B7EF2" w:rsidRDefault="008B7E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Canagliflozin </w:t>
            </w:r>
            <w:r>
              <w:rPr>
                <w:rFonts w:ascii="Times New Roman" w:eastAsia="等线" w:hAnsi="Times New Roman" w:cs="Times New Roman"/>
                <w:b/>
                <w:bCs/>
              </w:rPr>
              <w:t>(n=28)</w:t>
            </w:r>
          </w:p>
        </w:tc>
      </w:tr>
      <w:tr w:rsidR="008B7EF2">
        <w:trPr>
          <w:trHeight w:val="294"/>
        </w:trPr>
        <w:tc>
          <w:tcPr>
            <w:tcW w:w="2977" w:type="dxa"/>
            <w:tcBorders>
              <w:top w:val="single" w:sz="4" w:space="0" w:color="auto"/>
            </w:tcBorders>
          </w:tcPr>
          <w:p w:rsidR="008B7EF2" w:rsidRDefault="008B7EF2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Sex (male/female)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8B7EF2" w:rsidRDefault="008B7E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14/13</w:t>
            </w:r>
          </w:p>
        </w:tc>
        <w:tc>
          <w:tcPr>
            <w:tcW w:w="3802" w:type="dxa"/>
            <w:tcBorders>
              <w:top w:val="single" w:sz="4" w:space="0" w:color="auto"/>
            </w:tcBorders>
          </w:tcPr>
          <w:p w:rsidR="008B7EF2" w:rsidRDefault="008B7E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16/12</w:t>
            </w:r>
          </w:p>
        </w:tc>
      </w:tr>
      <w:tr w:rsidR="008B7EF2">
        <w:trPr>
          <w:trHeight w:val="294"/>
        </w:trPr>
        <w:tc>
          <w:tcPr>
            <w:tcW w:w="2977" w:type="dxa"/>
          </w:tcPr>
          <w:p w:rsidR="008B7EF2" w:rsidRDefault="008B7EF2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61.52±7.11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59.11±9.46</w:t>
            </w:r>
          </w:p>
        </w:tc>
      </w:tr>
      <w:tr w:rsidR="008B7EF2">
        <w:trPr>
          <w:trHeight w:val="294"/>
        </w:trPr>
        <w:tc>
          <w:tcPr>
            <w:tcW w:w="2977" w:type="dxa"/>
          </w:tcPr>
          <w:p w:rsidR="008B7EF2" w:rsidRDefault="008B7EF2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Diabetic duration (years)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 (4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8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(5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 xml:space="preserve"> 10)</w:t>
            </w:r>
          </w:p>
        </w:tc>
      </w:tr>
      <w:tr w:rsidR="008B7EF2">
        <w:trPr>
          <w:trHeight w:val="294"/>
        </w:trPr>
        <w:tc>
          <w:tcPr>
            <w:tcW w:w="2977" w:type="dxa"/>
            <w:vAlign w:val="center"/>
          </w:tcPr>
          <w:p w:rsidR="008B7EF2" w:rsidRDefault="008B7EF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Use of metformin (n (%))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 (81.48%)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1 (75%)</w:t>
            </w:r>
          </w:p>
        </w:tc>
      </w:tr>
      <w:tr w:rsidR="008B7EF2">
        <w:trPr>
          <w:trHeight w:val="294"/>
        </w:trPr>
        <w:tc>
          <w:tcPr>
            <w:tcW w:w="2977" w:type="dxa"/>
            <w:vAlign w:val="center"/>
          </w:tcPr>
          <w:p w:rsidR="008B7EF2" w:rsidRDefault="008B7EF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Use of sulphonylurea (n (%))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 (55.56%)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6 (57.14%)</w:t>
            </w:r>
          </w:p>
        </w:tc>
      </w:tr>
      <w:tr w:rsidR="008B7EF2">
        <w:trPr>
          <w:trHeight w:val="294"/>
        </w:trPr>
        <w:tc>
          <w:tcPr>
            <w:tcW w:w="2977" w:type="dxa"/>
            <w:vAlign w:val="center"/>
          </w:tcPr>
          <w:p w:rsidR="008B7EF2" w:rsidRDefault="008B7EF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Use of DPP-IV inhibitors (n (%))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(25.93%)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 xml:space="preserve"> (28.57%)</w:t>
            </w:r>
          </w:p>
        </w:tc>
      </w:tr>
      <w:tr w:rsidR="008B7EF2">
        <w:trPr>
          <w:trHeight w:val="294"/>
        </w:trPr>
        <w:tc>
          <w:tcPr>
            <w:tcW w:w="2977" w:type="dxa"/>
            <w:vAlign w:val="center"/>
          </w:tcPr>
          <w:p w:rsidR="008B7EF2" w:rsidRDefault="008B7EF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SCr (</w:t>
            </w:r>
            <w:r>
              <w:rPr>
                <w:rFonts w:ascii="Symbol" w:eastAsia="等线" w:hAnsi="Symbol" w:cs="Times New Roman"/>
                <w:color w:val="000000"/>
                <w:sz w:val="20"/>
                <w:szCs w:val="20"/>
              </w:rPr>
              <w:t>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mol/L)</w:t>
            </w:r>
          </w:p>
        </w:tc>
        <w:tc>
          <w:tcPr>
            <w:tcW w:w="364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63.91±13.91</w:t>
            </w:r>
          </w:p>
        </w:tc>
        <w:tc>
          <w:tcPr>
            <w:tcW w:w="3802" w:type="dxa"/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62.36±14.74</w:t>
            </w:r>
          </w:p>
        </w:tc>
      </w:tr>
      <w:tr w:rsidR="008B7EF2">
        <w:trPr>
          <w:trHeight w:val="29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B7EF2" w:rsidRDefault="008B7EF2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Hemoglobin (g/L)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144.74±11.40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7EF2" w:rsidRDefault="008B7EF2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</w:rPr>
              <w:t>143.93±12.61</w:t>
            </w:r>
          </w:p>
        </w:tc>
      </w:tr>
    </w:tbl>
    <w:p w:rsidR="001D2F50" w:rsidRDefault="00E66190" w:rsidP="008B7EF2">
      <w:pPr>
        <w:widowControl/>
        <w:ind w:leftChars="877" w:left="1842" w:rightChars="571" w:right="1199"/>
        <w:jc w:val="left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Values are presented as means ± SD, or median (25th – 75th range)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</w:rPr>
        <w:t>or numbers (%)</w:t>
      </w:r>
      <w:r>
        <w:rPr>
          <w:rFonts w:ascii="Times New Roman" w:eastAsia="等线" w:hAnsi="Times New Roman" w:cs="Times New Roman"/>
        </w:rPr>
        <w:t>.</w:t>
      </w:r>
    </w:p>
    <w:p w:rsidR="001D2F50" w:rsidRDefault="00E66190" w:rsidP="008B7EF2">
      <w:pPr>
        <w:widowControl/>
        <w:ind w:leftChars="877" w:left="1842" w:rightChars="571" w:right="1199"/>
        <w:jc w:val="left"/>
        <w:rPr>
          <w:rFonts w:ascii="Times New Roman" w:eastAsia="等线" w:hAnsi="Times New Roman" w:cs="Times New Roman"/>
          <w:color w:val="000000"/>
          <w:szCs w:val="24"/>
        </w:rPr>
      </w:pPr>
      <w:r>
        <w:rPr>
          <w:rFonts w:ascii="Times New Roman" w:eastAsia="等线" w:hAnsi="Times New Roman" w:cs="Times New Roman"/>
        </w:rPr>
        <w:t xml:space="preserve">Abbreviations: </w:t>
      </w:r>
      <w:r>
        <w:rPr>
          <w:rFonts w:ascii="Times New Roman" w:eastAsia="等线" w:hAnsi="Times New Roman" w:cs="Times New Roman"/>
          <w:color w:val="000000"/>
        </w:rPr>
        <w:t xml:space="preserve">DPP-VI, dipeptidyl peptidase-IV; </w:t>
      </w:r>
      <w:r>
        <w:rPr>
          <w:rFonts w:ascii="Times New Roman" w:eastAsia="等线" w:hAnsi="Times New Roman" w:cs="Times New Roman" w:hint="eastAsia"/>
          <w:color w:val="000000"/>
        </w:rPr>
        <w:t>SCr</w:t>
      </w:r>
      <w:r>
        <w:rPr>
          <w:rFonts w:ascii="Times New Roman" w:eastAsia="等线" w:hAnsi="Times New Roman" w:cs="Times New Roman"/>
          <w:color w:val="000000"/>
        </w:rPr>
        <w:t xml:space="preserve">, </w:t>
      </w:r>
      <w:r>
        <w:rPr>
          <w:rFonts w:ascii="Times New Roman" w:eastAsia="宋体" w:hAnsi="Times New Roman" w:cs="Times New Roman"/>
          <w:color w:val="000000"/>
          <w:sz w:val="22"/>
          <w:lang w:bidi="ar"/>
        </w:rPr>
        <w:t>serum creatinine</w:t>
      </w:r>
      <w:r>
        <w:rPr>
          <w:rFonts w:ascii="Times New Roman" w:eastAsia="宋体" w:hAnsi="Times New Roman" w:cs="Times New Roman" w:hint="eastAsia"/>
          <w:color w:val="000000"/>
          <w:sz w:val="22"/>
          <w:lang w:bidi="ar"/>
        </w:rPr>
        <w:t>.</w:t>
      </w:r>
      <w:r>
        <w:rPr>
          <w:rFonts w:ascii="Times New Roman" w:eastAsia="等线" w:hAnsi="Times New Roman" w:cs="Times New Roman"/>
          <w:color w:val="000000"/>
        </w:rPr>
        <w:t xml:space="preserve"> </w:t>
      </w:r>
    </w:p>
    <w:p w:rsidR="001D2F50" w:rsidRDefault="001D2F50">
      <w:pPr>
        <w:widowControl/>
        <w:ind w:leftChars="675" w:left="1418" w:rightChars="571" w:right="1199"/>
        <w:jc w:val="left"/>
        <w:rPr>
          <w:rFonts w:ascii="Times New Roman" w:eastAsia="等线" w:hAnsi="Times New Roman" w:cs="Times New Roman"/>
          <w:color w:val="000000"/>
          <w:szCs w:val="24"/>
        </w:rPr>
      </w:pPr>
    </w:p>
    <w:p w:rsidR="00013830" w:rsidRDefault="00013830">
      <w:pPr>
        <w:widowControl/>
        <w:jc w:val="left"/>
        <w:rPr>
          <w:rFonts w:ascii="Times New Roman" w:eastAsia="等线" w:hAnsi="Times New Roman" w:cs="Times New Roman"/>
          <w:color w:val="000000"/>
          <w:szCs w:val="24"/>
        </w:rPr>
      </w:pPr>
      <w:r>
        <w:rPr>
          <w:rFonts w:ascii="Times New Roman" w:eastAsia="等线" w:hAnsi="Times New Roman" w:cs="Times New Roman"/>
          <w:color w:val="000000"/>
          <w:szCs w:val="24"/>
        </w:rPr>
        <w:br w:type="page"/>
      </w:r>
    </w:p>
    <w:p w:rsidR="00013830" w:rsidRDefault="00013830" w:rsidP="00013830">
      <w:pPr>
        <w:widowControl/>
        <w:ind w:rightChars="571" w:right="1199"/>
        <w:jc w:val="left"/>
        <w:rPr>
          <w:rFonts w:ascii="Times New Roman" w:eastAsia="等线" w:hAnsi="Times New Roman" w:cs="Times New Roman"/>
          <w:color w:val="000000"/>
          <w:szCs w:val="24"/>
        </w:rPr>
      </w:pPr>
    </w:p>
    <w:p w:rsidR="00013830" w:rsidRDefault="00013830" w:rsidP="00013830">
      <w:pPr>
        <w:widowControl/>
        <w:ind w:leftChars="675" w:left="1418" w:rightChars="571" w:right="1199"/>
        <w:jc w:val="center"/>
        <w:rPr>
          <w:rFonts w:ascii="Times New Roman" w:eastAsia="等线" w:hAnsi="Times New Roman" w:cs="Times New Roman"/>
          <w:b/>
          <w:bCs/>
          <w:color w:val="000000"/>
          <w:szCs w:val="24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szCs w:val="24"/>
        </w:rPr>
        <w:t>Table</w:t>
      </w:r>
      <w:r>
        <w:rPr>
          <w:rFonts w:ascii="Times New Roman" w:eastAsia="等线" w:hAnsi="Times New Roman" w:cs="Times New Roman"/>
          <w:b/>
          <w:bCs/>
          <w:color w:val="000000"/>
          <w:szCs w:val="24"/>
        </w:rPr>
        <w:t xml:space="preserve"> 2 Changes of metabolic parameters </w:t>
      </w:r>
      <w:r>
        <w:rPr>
          <w:rFonts w:ascii="Times New Roman" w:eastAsia="等线" w:hAnsi="Times New Roman" w:cs="Times New Roman"/>
          <w:b/>
          <w:bCs/>
        </w:rPr>
        <w:t>before and after Mulberry Twig Alkaloids</w:t>
      </w:r>
      <w:r>
        <w:rPr>
          <w:rFonts w:ascii="Times New Roman" w:hAnsi="Times New Roman" w:cs="Times New Roman"/>
          <w:b/>
          <w:bCs/>
        </w:rPr>
        <w:t xml:space="preserve"> and Canagliflozin</w:t>
      </w:r>
      <w:r>
        <w:rPr>
          <w:rFonts w:ascii="Times New Roman" w:eastAsia="等线" w:hAnsi="Times New Roman" w:cs="Times New Roman"/>
          <w:b/>
          <w:bCs/>
        </w:rPr>
        <w:t xml:space="preserve"> treatment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1949"/>
        <w:gridCol w:w="1825"/>
        <w:gridCol w:w="1971"/>
        <w:gridCol w:w="1831"/>
        <w:gridCol w:w="985"/>
      </w:tblGrid>
      <w:tr w:rsidR="00013830" w:rsidTr="001379BE">
        <w:trPr>
          <w:trHeight w:val="294"/>
        </w:trPr>
        <w:tc>
          <w:tcPr>
            <w:tcW w:w="2136" w:type="dxa"/>
            <w:tcBorders>
              <w:top w:val="single" w:sz="4" w:space="0" w:color="auto"/>
            </w:tcBorders>
            <w:vAlign w:val="bottom"/>
          </w:tcPr>
          <w:p w:rsidR="00013830" w:rsidRDefault="00013830" w:rsidP="001379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Mulberry Twig Alkaloids </w:t>
            </w:r>
            <w:r>
              <w:rPr>
                <w:rFonts w:ascii="Times New Roman" w:eastAsia="等线" w:hAnsi="Times New Roman" w:cs="Times New Roman"/>
                <w:b/>
                <w:bCs/>
              </w:rPr>
              <w:t>(n=27)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Canagliflozin </w:t>
            </w:r>
            <w:r>
              <w:rPr>
                <w:rFonts w:ascii="Times New Roman" w:eastAsia="等线" w:hAnsi="Times New Roman" w:cs="Times New Roman"/>
                <w:b/>
                <w:bCs/>
              </w:rPr>
              <w:t>(n=28)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013830" w:rsidTr="001379BE">
        <w:trPr>
          <w:trHeight w:val="294"/>
        </w:trPr>
        <w:tc>
          <w:tcPr>
            <w:tcW w:w="2136" w:type="dxa"/>
            <w:tcBorders>
              <w:bottom w:val="single" w:sz="4" w:space="0" w:color="auto"/>
            </w:tcBorders>
            <w:vAlign w:val="bottom"/>
          </w:tcPr>
          <w:p w:rsidR="00013830" w:rsidRDefault="00013830" w:rsidP="001379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12 weeks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12 weeks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  <w:tcBorders>
              <w:top w:val="single" w:sz="4" w:space="0" w:color="auto"/>
            </w:tcBorders>
            <w:vAlign w:val="bottom"/>
          </w:tcPr>
          <w:p w:rsidR="00013830" w:rsidRDefault="00013830" w:rsidP="001379BE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eight (kg)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6.24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±10.14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4.61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±10.23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6.78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±10.95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5.11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±10.74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0.960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  <w:vAlign w:val="bottom"/>
          </w:tcPr>
          <w:p w:rsidR="00013830" w:rsidRDefault="00013830" w:rsidP="001379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B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MI (kg/m2)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4.78±2.93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4.17±3.01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4.75±3.12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24.14±3.25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0.986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C (cm)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9.96±8.89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8.11±8.54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8.16±7.51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6.25±7.62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0.798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Waist-hip ratio (cm/cm)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.94±0.08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.93±0.08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.92±0.06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0.91±0.05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0.870</w:t>
            </w:r>
          </w:p>
        </w:tc>
      </w:tr>
      <w:tr w:rsidR="00013830" w:rsidTr="001379BE">
        <w:trPr>
          <w:trHeight w:val="285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31.26±14.15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26.96±14.07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23.71±11.00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±11.29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0.643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1.41±9.74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±10.63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0.86±10.71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±8.04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0.447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eart rate (bmp)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4.37±8.19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3.63±7.95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79.68±10.74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±8.72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0.801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Uric acid 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Symbol" w:eastAsia="等线" w:hAnsi="Symbol" w:cs="Times New Roman"/>
                <w:color w:val="000000"/>
                <w:sz w:val="20"/>
                <w:szCs w:val="20"/>
              </w:rPr>
              <w:t>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mol/L)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90.33±101.43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93.62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±99.29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87.02±75.28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79.86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±85.93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0.566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  <w:vAlign w:val="center"/>
          </w:tcPr>
          <w:p w:rsidR="00013830" w:rsidRDefault="00013830" w:rsidP="001379B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TC (mmol/L)</w:t>
            </w:r>
          </w:p>
        </w:tc>
        <w:tc>
          <w:tcPr>
            <w:tcW w:w="1949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4.85±0.73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4.51±0.86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5.20±1.63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5.09±1.26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  <w:vAlign w:val="center"/>
          </w:tcPr>
          <w:p w:rsidR="00013830" w:rsidRDefault="00013830" w:rsidP="001379B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 (mmol/L)</w:t>
            </w:r>
          </w:p>
        </w:tc>
        <w:tc>
          <w:tcPr>
            <w:tcW w:w="1949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 (1.10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3.09)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(1.34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1.96)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 (1.17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3.16)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 (0.94, 1.62)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.308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</w:tcPr>
          <w:p w:rsidR="00013830" w:rsidRDefault="00013830" w:rsidP="0013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HDL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(mmol/L)</w:t>
            </w:r>
          </w:p>
        </w:tc>
        <w:tc>
          <w:tcPr>
            <w:tcW w:w="1949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1.32±0.33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1.25±0.28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1.25±0.30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1.31±0.26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13830" w:rsidTr="001379BE">
        <w:trPr>
          <w:trHeight w:val="294"/>
        </w:trPr>
        <w:tc>
          <w:tcPr>
            <w:tcW w:w="2136" w:type="dxa"/>
            <w:tcBorders>
              <w:bottom w:val="single" w:sz="4" w:space="0" w:color="auto"/>
            </w:tcBorders>
          </w:tcPr>
          <w:p w:rsidR="00013830" w:rsidRDefault="00013830" w:rsidP="001379B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LDL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(mmol/L)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 (2.28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3.26)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 (2.17, 3.22)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 (1.95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3.87)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3.17(2.31, 3.80)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.580</w:t>
            </w:r>
          </w:p>
        </w:tc>
      </w:tr>
    </w:tbl>
    <w:p w:rsidR="00013830" w:rsidRDefault="00013830" w:rsidP="00013830">
      <w:pPr>
        <w:widowControl/>
        <w:ind w:leftChars="810" w:left="1701" w:rightChars="571" w:right="1199"/>
        <w:jc w:val="left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Values are presented as means ± SD, or median (25th – 75th range)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</w:rPr>
        <w:t>or numbers (%)</w:t>
      </w:r>
      <w:r>
        <w:rPr>
          <w:rFonts w:ascii="Times New Roman" w:eastAsia="等线" w:hAnsi="Times New Roman" w:cs="Times New Roman"/>
        </w:rPr>
        <w:t>.</w:t>
      </w:r>
    </w:p>
    <w:p w:rsidR="00013830" w:rsidRDefault="00013830" w:rsidP="00013830">
      <w:pPr>
        <w:widowControl/>
        <w:ind w:leftChars="810" w:left="1701" w:rightChars="571" w:right="1199"/>
        <w:jc w:val="left"/>
        <w:rPr>
          <w:rFonts w:ascii="Times New Roman" w:eastAsia="等线" w:hAnsi="Times New Roman" w:cs="Times New Roman"/>
          <w:color w:val="000000"/>
          <w:szCs w:val="24"/>
        </w:rPr>
      </w:pPr>
      <w:r>
        <w:rPr>
          <w:rFonts w:ascii="Times New Roman" w:eastAsia="等线" w:hAnsi="Times New Roman" w:cs="Times New Roman"/>
        </w:rPr>
        <w:t xml:space="preserve">Abbreviations: BMI, body mass index; WC, waist circumference; HC, hip circumference; SBP, systolic blood pressure; DBP, diastolic blood pressure; TC, total cholesterol; TG, triglyceride; HDL, high density lipoprotein; LDL, low density lipoprotein. 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</w:rPr>
        <w:t>*</w:t>
      </w:r>
      <w:r>
        <w:rPr>
          <w:rFonts w:ascii="Times New Roman" w:eastAsia="等线" w:hAnsi="Times New Roman" w:cs="Times New Roman"/>
          <w:i/>
          <w:color w:val="000000"/>
          <w:szCs w:val="24"/>
        </w:rPr>
        <w:t>P</w:t>
      </w:r>
      <w:r>
        <w:rPr>
          <w:rFonts w:ascii="Times New Roman" w:eastAsia="等线" w:hAnsi="Times New Roman" w:cs="Times New Roman"/>
          <w:color w:val="000000"/>
          <w:szCs w:val="24"/>
        </w:rPr>
        <w:t xml:space="preserve">&lt;0.05, 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Fonts w:ascii="Times New Roman" w:eastAsia="等线" w:hAnsi="Times New Roman" w:cs="Times New Roman"/>
          <w:i/>
          <w:color w:val="000000"/>
          <w:szCs w:val="24"/>
        </w:rPr>
        <w:t>P</w:t>
      </w:r>
      <w:r>
        <w:rPr>
          <w:rFonts w:ascii="Times New Roman" w:eastAsia="等线" w:hAnsi="Times New Roman" w:cs="Times New Roman"/>
          <w:color w:val="000000"/>
          <w:szCs w:val="24"/>
        </w:rPr>
        <w:t>&lt;0.01,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</w:rPr>
        <w:t xml:space="preserve"> ***</w:t>
      </w:r>
      <w:r>
        <w:rPr>
          <w:rFonts w:ascii="Times New Roman" w:eastAsia="等线" w:hAnsi="Times New Roman" w:cs="Times New Roman"/>
          <w:i/>
          <w:color w:val="000000"/>
          <w:szCs w:val="24"/>
        </w:rPr>
        <w:t>P</w:t>
      </w:r>
      <w:r>
        <w:rPr>
          <w:rFonts w:ascii="Times New Roman" w:eastAsia="等线" w:hAnsi="Times New Roman" w:cs="Times New Roman"/>
          <w:color w:val="000000"/>
          <w:szCs w:val="24"/>
        </w:rPr>
        <w:t xml:space="preserve">&lt;0.001 vs. Baseline. </w:t>
      </w:r>
    </w:p>
    <w:p w:rsidR="00013830" w:rsidRDefault="00013830">
      <w:pPr>
        <w:widowControl/>
        <w:jc w:val="left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br w:type="page"/>
      </w:r>
    </w:p>
    <w:p w:rsidR="00013830" w:rsidRDefault="00013830" w:rsidP="0001383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Table 3 Characteristics of daily glycemic control before and after Mulberry Twig Alkaloids and Canagliflozin treatment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2270"/>
        <w:gridCol w:w="2129"/>
        <w:gridCol w:w="2127"/>
        <w:gridCol w:w="2271"/>
        <w:gridCol w:w="850"/>
      </w:tblGrid>
      <w:tr w:rsidR="00013830" w:rsidTr="00DB7670">
        <w:trPr>
          <w:trHeight w:val="340"/>
          <w:jc w:val="center"/>
        </w:trPr>
        <w:tc>
          <w:tcPr>
            <w:tcW w:w="2838" w:type="dxa"/>
            <w:tcBorders>
              <w:top w:val="single" w:sz="4" w:space="0" w:color="auto"/>
            </w:tcBorders>
          </w:tcPr>
          <w:p w:rsidR="00013830" w:rsidRDefault="00013830" w:rsidP="001379BE"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Mulberry Twig Alkaloids (n=27)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Canagliflozin (n=28)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013830" w:rsidRDefault="00013830" w:rsidP="001379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 w:themeColor="text1"/>
                <w:sz w:val="20"/>
                <w:szCs w:val="20"/>
              </w:rPr>
              <w:t>P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tcBorders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 12 weeks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 12 weeks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3830" w:rsidRDefault="00013830" w:rsidP="001379BE"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30" w:rsidTr="00DB7670">
        <w:trPr>
          <w:trHeight w:val="334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MAGE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5.59±1.98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5.43±1.75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6.41±2.13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6.42±2.02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0.618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widowControl/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SDBG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2.63±0.56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2.25±0.64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2.76±0.73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2.571±0.68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0.599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CV%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28.78±6.43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26.95±6.96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29.49±6.27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30.72±6.30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TAR &gt;10</w:t>
            </w:r>
            <w:r>
              <w:rPr>
                <w:rFonts w:ascii="Times New Roman" w:eastAsia="等线" w:hAnsi="Times New Roman" w:cs="Times New Roman" w:hint="eastAsia"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mmol/L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34.93±19.64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23.85±20.69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39.91±25.69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26.23±17.45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0.886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TBR &lt;3.9mmol/L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 (0.00-0.52)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0.04 (0.04-0.58)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 (0.00-1.175)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0.16 (0.16-0.92)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0.871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AUC &gt; 10</w:t>
            </w:r>
            <w:r>
              <w:rPr>
                <w:rFonts w:ascii="Times New Roman" w:eastAsia="等线" w:hAnsi="Times New Roman" w:cs="Times New Roman" w:hint="eastAsia"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mmol/L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1119.0 (593.5,1891.5)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483.8 (228.3,832.2)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1428.0 (500.1, 2711.2)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449.4 (297.1, 1445.1)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0.608</w:t>
            </w:r>
          </w:p>
        </w:tc>
      </w:tr>
      <w:tr w:rsidR="00013830" w:rsidTr="00DB7670">
        <w:trPr>
          <w:trHeight w:val="334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AUC 3.9-10</w:t>
            </w:r>
            <w:r>
              <w:rPr>
                <w:rFonts w:ascii="Times New Roman" w:eastAsia="等线" w:hAnsi="Times New Roman" w:cs="Times New Roman" w:hint="eastAsia"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mmol/L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3267.17±862.94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4940.67±1379.00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2773.83±1013.06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4579.16±908.09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0.704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AOC &lt; 3.9 mmol/L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 (0.00, 2.94)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.06 (0.00, 3.27)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 (0.00, 9.44)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0.35 (0.00, 4.07)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.946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Pre-breakfast BG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7.31±1.60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6.85±1.43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7.46±2.04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6.73±1.27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0.562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PPBG peak-breakfast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12.89±2.04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11.29±2.00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13.41±3.08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12.12±2.44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PPGE of breakfast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5.54±1.63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4.44±1.45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5.92±1.88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5.38±1.69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  <w:t>0.032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Pre-lunch BG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8.26±2.59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7.22±2.21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8.44±3.43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6.99±1.85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0.427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PPBG peak-lunch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12.74±2.61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11.21±2.56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12.63±3.30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11.27±2.36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0.863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PPGE of lunch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4.46±1.75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3.97±1.52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4.16±1.81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4.28±1.88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0.220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Pre-dinner BG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8.17±2.06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7.41±1.78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8.47±2.78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7.08±1.84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0.312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PPBG peak-dinner (mmol/l)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12.49±2.69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11.2±2.31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12.5±2.99</w:t>
            </w:r>
          </w:p>
        </w:tc>
        <w:tc>
          <w:tcPr>
            <w:tcW w:w="2271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11.84±2.32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0.240</w:t>
            </w:r>
          </w:p>
        </w:tc>
      </w:tr>
      <w:tr w:rsidR="00013830" w:rsidTr="00DB7670">
        <w:trPr>
          <w:trHeight w:val="340"/>
          <w:jc w:val="center"/>
        </w:trPr>
        <w:tc>
          <w:tcPr>
            <w:tcW w:w="2838" w:type="dxa"/>
            <w:tcBorders>
              <w:bottom w:val="single" w:sz="4" w:space="0" w:color="auto"/>
            </w:tcBorders>
            <w:vAlign w:val="bottom"/>
          </w:tcPr>
          <w:p w:rsidR="00013830" w:rsidRDefault="00013830" w:rsidP="001379BE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Cs/>
                <w:color w:val="000000" w:themeColor="text1"/>
                <w:sz w:val="20"/>
                <w:szCs w:val="20"/>
              </w:rPr>
              <w:t>PPGE of dinner (mmol/l)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ind w:rightChars="150" w:right="315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4.30±1.60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3.78±1.38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4.02±1.83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4.76±1.67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3830" w:rsidRDefault="00013830" w:rsidP="001379BE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color w:val="000000" w:themeColor="text1"/>
                <w:sz w:val="20"/>
                <w:szCs w:val="20"/>
              </w:rPr>
              <w:t>0.007</w:t>
            </w:r>
          </w:p>
        </w:tc>
      </w:tr>
    </w:tbl>
    <w:p w:rsidR="00013830" w:rsidRDefault="00013830" w:rsidP="00013830">
      <w:pPr>
        <w:ind w:leftChars="405" w:left="850" w:rightChars="369" w:right="7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Values are presented as means ± SD, or median (25th – 75th range).</w:t>
      </w:r>
    </w:p>
    <w:p w:rsidR="001D2F50" w:rsidRDefault="00013830" w:rsidP="00DB7670">
      <w:pPr>
        <w:ind w:leftChars="405" w:left="850" w:rightChars="369" w:right="775"/>
        <w:rPr>
          <w:rFonts w:ascii="Times New Roman" w:hAnsi="Times New Roman" w:cs="Times New Roman" w:hint="eastAsia"/>
        </w:rPr>
      </w:pPr>
      <w:r>
        <w:rPr>
          <w:rFonts w:ascii="Times New Roman" w:eastAsia="等线" w:hAnsi="Times New Roman" w:cs="Times New Roman"/>
          <w:color w:val="000000"/>
        </w:rPr>
        <w:t xml:space="preserve">Abbreviations: </w:t>
      </w:r>
      <w:r>
        <w:rPr>
          <w:rFonts w:ascii="Times New Roman" w:hAnsi="Times New Roman" w:cs="Times New Roman"/>
        </w:rPr>
        <w:t>MAGE: mean amplitude of glycemic excursions (mmol/L); SDMG: standard deviation (mmol/L); CV%: the coefficient of variation; MinBG: minimum blood glucose (mmol/L); MaxBG: maximum blood glucose (mmol/L) ; TAR : time above range (%); TBR : time below range (%); AUC &gt; 10.0 mmol/L: the incremental area under the curve (AUC) of glucose &gt;10.0 mmol/L (mmol/L</w:t>
      </w:r>
      <w:r>
        <w:rPr>
          <w:rFonts w:ascii="Cambria Math" w:hAnsi="Cambria Math" w:cs="Cambria Math"/>
        </w:rPr>
        <w:t>∗</w:t>
      </w:r>
      <w:r>
        <w:rPr>
          <w:rFonts w:ascii="Times New Roman" w:hAnsi="Times New Roman" w:cs="Times New Roman"/>
        </w:rPr>
        <w:t>hour); AOC &lt; 3.9 mmol/L: the incremental area over the curve (AOC) of plasma glucose &lt; 3.9 mmol/L (mmol/L</w:t>
      </w:r>
      <w:r>
        <w:rPr>
          <w:rFonts w:ascii="Cambria Math" w:hAnsi="Cambria Math" w:cs="Cambria Math"/>
        </w:rPr>
        <w:t>∗</w:t>
      </w:r>
      <w:r>
        <w:rPr>
          <w:rFonts w:ascii="Times New Roman" w:hAnsi="Times New Roman" w:cs="Times New Roman"/>
        </w:rPr>
        <w:t>hour); AUC 3.9-10.0 mmol/L: the incremental AUC of glucose levels between 3.9 and 10 mmol/L (mmol/L</w:t>
      </w:r>
      <w:r>
        <w:rPr>
          <w:rFonts w:ascii="Cambria Math" w:hAnsi="Cambria Math" w:cs="Cambria Math"/>
        </w:rPr>
        <w:t>∗</w:t>
      </w:r>
      <w:r>
        <w:rPr>
          <w:rFonts w:ascii="Times New Roman" w:hAnsi="Times New Roman" w:cs="Times New Roman"/>
        </w:rPr>
        <w:t>hour); PPBG, postprandial blood glucose; PPGE, postprandial glucose excursion.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  <w:lang w:bidi="ar"/>
        </w:rPr>
        <w:t xml:space="preserve"> 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bidi="ar"/>
        </w:rPr>
        <w:t>*</w:t>
      </w:r>
      <w:r>
        <w:rPr>
          <w:rFonts w:ascii="Times New Roman" w:eastAsia="等线" w:hAnsi="Times New Roman" w:cs="Times New Roman" w:hint="eastAsia"/>
          <w:i/>
          <w:color w:val="000000"/>
          <w:szCs w:val="24"/>
          <w:lang w:bidi="ar"/>
        </w:rPr>
        <w:t>P</w:t>
      </w:r>
      <w:r>
        <w:rPr>
          <w:rFonts w:ascii="Times New Roman" w:eastAsia="等线" w:hAnsi="Times New Roman" w:cs="Times New Roman"/>
          <w:color w:val="000000"/>
          <w:szCs w:val="24"/>
          <w:lang w:bidi="ar"/>
        </w:rPr>
        <w:t xml:space="preserve">&lt;0.05, 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bidi="ar"/>
        </w:rPr>
        <w:t>**</w:t>
      </w:r>
      <w:r>
        <w:rPr>
          <w:rFonts w:ascii="Times New Roman" w:eastAsia="等线" w:hAnsi="Times New Roman" w:cs="Times New Roman" w:hint="eastAsia"/>
          <w:i/>
          <w:color w:val="000000"/>
          <w:szCs w:val="24"/>
          <w:lang w:bidi="ar"/>
        </w:rPr>
        <w:t>P</w:t>
      </w:r>
      <w:r>
        <w:rPr>
          <w:rFonts w:ascii="Times New Roman" w:eastAsia="等线" w:hAnsi="Times New Roman" w:cs="Times New Roman"/>
          <w:color w:val="000000"/>
          <w:szCs w:val="24"/>
          <w:lang w:bidi="ar"/>
        </w:rPr>
        <w:t>&lt;0.01,</w:t>
      </w:r>
      <w:r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bidi="ar"/>
        </w:rPr>
        <w:t xml:space="preserve"> ***</w:t>
      </w:r>
      <w:r>
        <w:rPr>
          <w:rFonts w:ascii="Times New Roman" w:eastAsia="等线" w:hAnsi="Times New Roman" w:cs="Times New Roman" w:hint="eastAsia"/>
          <w:i/>
          <w:color w:val="000000"/>
          <w:szCs w:val="24"/>
          <w:lang w:bidi="ar"/>
        </w:rPr>
        <w:t>P</w:t>
      </w:r>
      <w:r>
        <w:rPr>
          <w:rFonts w:ascii="Times New Roman" w:eastAsia="等线" w:hAnsi="Times New Roman" w:cs="Times New Roman"/>
          <w:color w:val="000000"/>
          <w:szCs w:val="24"/>
          <w:lang w:bidi="ar"/>
        </w:rPr>
        <w:t>&lt;0.001 vs. Baseline.</w:t>
      </w:r>
    </w:p>
    <w:sectPr w:rsidR="001D2F50" w:rsidSect="00DB76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44" w:rsidRDefault="00886044"/>
  </w:endnote>
  <w:endnote w:type="continuationSeparator" w:id="0">
    <w:p w:rsidR="00886044" w:rsidRDefault="00886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44" w:rsidRDefault="00886044"/>
  </w:footnote>
  <w:footnote w:type="continuationSeparator" w:id="0">
    <w:p w:rsidR="00886044" w:rsidRDefault="008860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ZjFlNGYwMDZhMTgyZGQyZTlmZjc0YzcxMTk3N2IifQ=="/>
    <w:docVar w:name="KY_MEDREF_DOCUID" w:val="{F6FF8D9F-5963-4E41-B277-FC4B22ABC0D1}"/>
    <w:docVar w:name="KY_MEDREF_VERSION" w:val="3"/>
  </w:docVars>
  <w:rsids>
    <w:rsidRoot w:val="009C1077"/>
    <w:rsid w:val="00013830"/>
    <w:rsid w:val="000239C9"/>
    <w:rsid w:val="00070333"/>
    <w:rsid w:val="00086BA8"/>
    <w:rsid w:val="000B4CEB"/>
    <w:rsid w:val="00107993"/>
    <w:rsid w:val="00112E04"/>
    <w:rsid w:val="0011546E"/>
    <w:rsid w:val="00166D57"/>
    <w:rsid w:val="00184EAC"/>
    <w:rsid w:val="00194F17"/>
    <w:rsid w:val="001D2F50"/>
    <w:rsid w:val="001D4990"/>
    <w:rsid w:val="00205998"/>
    <w:rsid w:val="00291CF1"/>
    <w:rsid w:val="00294014"/>
    <w:rsid w:val="002A6CF0"/>
    <w:rsid w:val="002B602D"/>
    <w:rsid w:val="002E1BF6"/>
    <w:rsid w:val="00306065"/>
    <w:rsid w:val="00352A97"/>
    <w:rsid w:val="003D0E8D"/>
    <w:rsid w:val="003F2102"/>
    <w:rsid w:val="003F2BED"/>
    <w:rsid w:val="003F458B"/>
    <w:rsid w:val="00413C7A"/>
    <w:rsid w:val="004519AD"/>
    <w:rsid w:val="00473A3A"/>
    <w:rsid w:val="00485475"/>
    <w:rsid w:val="004969A6"/>
    <w:rsid w:val="004C35AE"/>
    <w:rsid w:val="004C5C6F"/>
    <w:rsid w:val="004D46E6"/>
    <w:rsid w:val="0050257F"/>
    <w:rsid w:val="00525E41"/>
    <w:rsid w:val="00543EFD"/>
    <w:rsid w:val="00545D1E"/>
    <w:rsid w:val="0058318D"/>
    <w:rsid w:val="00591C11"/>
    <w:rsid w:val="005938CF"/>
    <w:rsid w:val="005970CD"/>
    <w:rsid w:val="005B118A"/>
    <w:rsid w:val="005C1C9A"/>
    <w:rsid w:val="005C27AC"/>
    <w:rsid w:val="005E19E1"/>
    <w:rsid w:val="0060557B"/>
    <w:rsid w:val="00626626"/>
    <w:rsid w:val="006377DF"/>
    <w:rsid w:val="006579AF"/>
    <w:rsid w:val="00663EBA"/>
    <w:rsid w:val="00673550"/>
    <w:rsid w:val="00697904"/>
    <w:rsid w:val="006A4673"/>
    <w:rsid w:val="006B5187"/>
    <w:rsid w:val="006B524D"/>
    <w:rsid w:val="006B677B"/>
    <w:rsid w:val="006F1160"/>
    <w:rsid w:val="0072605D"/>
    <w:rsid w:val="0075264E"/>
    <w:rsid w:val="0076325D"/>
    <w:rsid w:val="00782FA3"/>
    <w:rsid w:val="007B22E9"/>
    <w:rsid w:val="007E160A"/>
    <w:rsid w:val="007E490C"/>
    <w:rsid w:val="00831726"/>
    <w:rsid w:val="00886044"/>
    <w:rsid w:val="008B7EF2"/>
    <w:rsid w:val="008C06A4"/>
    <w:rsid w:val="009C1077"/>
    <w:rsid w:val="00A07351"/>
    <w:rsid w:val="00A07F5F"/>
    <w:rsid w:val="00A2321A"/>
    <w:rsid w:val="00A44406"/>
    <w:rsid w:val="00A502F1"/>
    <w:rsid w:val="00A57033"/>
    <w:rsid w:val="00A82BFC"/>
    <w:rsid w:val="00A91832"/>
    <w:rsid w:val="00AA339B"/>
    <w:rsid w:val="00AC6682"/>
    <w:rsid w:val="00B71A92"/>
    <w:rsid w:val="00B77CE2"/>
    <w:rsid w:val="00B806F4"/>
    <w:rsid w:val="00BA70F4"/>
    <w:rsid w:val="00BD2D71"/>
    <w:rsid w:val="00C2405C"/>
    <w:rsid w:val="00C70BCE"/>
    <w:rsid w:val="00C82628"/>
    <w:rsid w:val="00CA56FF"/>
    <w:rsid w:val="00CC5368"/>
    <w:rsid w:val="00CE174E"/>
    <w:rsid w:val="00CE7E98"/>
    <w:rsid w:val="00D1611A"/>
    <w:rsid w:val="00D279A3"/>
    <w:rsid w:val="00D40B0D"/>
    <w:rsid w:val="00D5158B"/>
    <w:rsid w:val="00D51A5B"/>
    <w:rsid w:val="00D51F5D"/>
    <w:rsid w:val="00D64BDF"/>
    <w:rsid w:val="00DB7670"/>
    <w:rsid w:val="00DC2A2F"/>
    <w:rsid w:val="00DE458C"/>
    <w:rsid w:val="00E25931"/>
    <w:rsid w:val="00E30442"/>
    <w:rsid w:val="00E30D1E"/>
    <w:rsid w:val="00E66190"/>
    <w:rsid w:val="00E75B5B"/>
    <w:rsid w:val="00E807AE"/>
    <w:rsid w:val="00ED5798"/>
    <w:rsid w:val="00EF6595"/>
    <w:rsid w:val="00F63A70"/>
    <w:rsid w:val="00FD1180"/>
    <w:rsid w:val="00FF7B5E"/>
    <w:rsid w:val="549306CF"/>
    <w:rsid w:val="697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BF638-860E-4A65-A08F-F1BA0FA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B966-B175-4277-98C4-873FCCA4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9656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Ｙ</dc:creator>
  <cp:lastModifiedBy>Microsoft 帐户</cp:lastModifiedBy>
  <cp:revision>40</cp:revision>
  <dcterms:created xsi:type="dcterms:W3CDTF">2023-08-09T09:55:00Z</dcterms:created>
  <dcterms:modified xsi:type="dcterms:W3CDTF">2024-09-06T05:49:00Z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7E6AA508D5A546A4BE7E19E25B39E20C_12</vt:lpwstr>
  </property>
</Properties>
</file>