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A8D9D">
      <w:pPr>
        <w:adjustRightInd w:val="0"/>
        <w:snapToGrid w:val="0"/>
        <w:spacing w:line="360" w:lineRule="auto"/>
        <w:outlineLvl w:val="0"/>
        <w:rPr>
          <w:rFonts w:ascii="Times New Roman" w:hAnsi="Times New Roman" w:cs="Times New Roman"/>
          <w:b/>
          <w:color w:val="auto"/>
          <w:sz w:val="24"/>
        </w:rPr>
      </w:pPr>
      <w:r>
        <w:rPr>
          <w:rFonts w:ascii="Times New Roman" w:hAnsi="Times New Roman" w:cs="Times New Roman"/>
          <w:b/>
          <w:color w:val="auto"/>
          <w:sz w:val="24"/>
        </w:rPr>
        <w:t xml:space="preserve">Supporting information </w:t>
      </w:r>
    </w:p>
    <w:p w14:paraId="5CE2EB48">
      <w:pPr>
        <w:adjustRightInd w:val="0"/>
        <w:snapToGrid w:val="0"/>
        <w:spacing w:line="360" w:lineRule="auto"/>
        <w:ind w:left="482" w:hanging="482" w:hangingChars="200"/>
        <w:outlineLvl w:val="0"/>
        <w:rPr>
          <w:rFonts w:cstheme="minorHAnsi"/>
          <w:b/>
          <w:color w:val="auto"/>
          <w:sz w:val="24"/>
        </w:rPr>
      </w:pPr>
      <w:bookmarkStart w:id="0" w:name="_Hlk92651981"/>
      <w:r>
        <w:rPr>
          <w:rFonts w:ascii="Times New Roman" w:hAnsi="Times New Roman" w:cs="Times New Roman"/>
          <w:b/>
          <w:color w:val="auto"/>
          <w:sz w:val="24"/>
        </w:rPr>
        <w:t>Supporting Tables (</w:t>
      </w:r>
      <w:r>
        <w:rPr>
          <w:rFonts w:hint="eastAsia" w:ascii="Times New Roman" w:hAnsi="Times New Roman" w:cs="Times New Roman"/>
          <w:b/>
          <w:color w:val="auto"/>
          <w:sz w:val="24"/>
          <w:lang w:val="en-US" w:eastAsia="zh-CN"/>
        </w:rPr>
        <w:t>Nine</w:t>
      </w:r>
      <w:r>
        <w:rPr>
          <w:rFonts w:ascii="Times New Roman" w:hAnsi="Times New Roman" w:cs="Times New Roman"/>
          <w:b/>
          <w:color w:val="auto"/>
          <w:sz w:val="24"/>
        </w:rPr>
        <w:t xml:space="preserve"> Tables, Tables S1-S</w:t>
      </w:r>
      <w:r>
        <w:rPr>
          <w:rFonts w:hint="eastAsia" w:ascii="Times New Roman" w:hAnsi="Times New Roman" w:cs="Times New Roman"/>
          <w:b/>
          <w:color w:val="auto"/>
          <w:sz w:val="24"/>
          <w:lang w:val="en-US" w:eastAsia="zh-CN"/>
        </w:rPr>
        <w:t>7</w:t>
      </w:r>
      <w:r>
        <w:rPr>
          <w:rFonts w:ascii="Times New Roman" w:hAnsi="Times New Roman" w:cs="Times New Roman"/>
          <w:b/>
          <w:color w:val="auto"/>
          <w:sz w:val="24"/>
        </w:rPr>
        <w:t xml:space="preserve">) </w:t>
      </w:r>
    </w:p>
    <w:p w14:paraId="6B1E7209">
      <w:pPr>
        <w:adjustRightInd w:val="0"/>
        <w:snapToGrid w:val="0"/>
        <w:spacing w:line="360" w:lineRule="auto"/>
        <w:ind w:left="482" w:hanging="482" w:hangingChars="200"/>
        <w:outlineLvl w:val="0"/>
        <w:rPr>
          <w:rFonts w:ascii="Times New Roman" w:hAnsi="Times New Roman" w:cs="Times New Roman"/>
          <w:b/>
          <w:color w:val="auto"/>
          <w:sz w:val="24"/>
        </w:rPr>
      </w:pPr>
      <w:r>
        <w:rPr>
          <w:rFonts w:ascii="Times New Roman" w:hAnsi="Times New Roman" w:cs="Times New Roman"/>
          <w:b/>
          <w:color w:val="auto"/>
          <w:sz w:val="24"/>
        </w:rPr>
        <w:t>Supporting Figures (</w:t>
      </w:r>
      <w:r>
        <w:rPr>
          <w:rFonts w:hint="eastAsia" w:ascii="Times New Roman" w:hAnsi="Times New Roman" w:cs="Times New Roman"/>
          <w:b/>
          <w:color w:val="auto"/>
          <w:sz w:val="24"/>
          <w:lang w:val="en-US" w:eastAsia="zh-CN"/>
        </w:rPr>
        <w:t>Four</w:t>
      </w:r>
      <w:r>
        <w:rPr>
          <w:rFonts w:ascii="Times New Roman" w:hAnsi="Times New Roman" w:cs="Times New Roman"/>
          <w:b/>
          <w:color w:val="auto"/>
          <w:sz w:val="24"/>
        </w:rPr>
        <w:t xml:space="preserve"> Figures, Fig</w:t>
      </w:r>
      <w:r>
        <w:rPr>
          <w:rFonts w:hint="eastAsia" w:ascii="Times New Roman" w:hAnsi="Times New Roman" w:cs="Times New Roman"/>
          <w:b/>
          <w:color w:val="auto"/>
          <w:sz w:val="24"/>
          <w:lang w:val="en-US" w:eastAsia="zh-CN"/>
        </w:rPr>
        <w:t>ure</w:t>
      </w:r>
      <w:r>
        <w:rPr>
          <w:rFonts w:ascii="Times New Roman" w:hAnsi="Times New Roman" w:cs="Times New Roman"/>
          <w:b/>
          <w:color w:val="auto"/>
          <w:sz w:val="24"/>
        </w:rPr>
        <w:t xml:space="preserve"> S1-S</w:t>
      </w:r>
      <w:r>
        <w:rPr>
          <w:rFonts w:hint="eastAsia" w:ascii="Times New Roman" w:hAnsi="Times New Roman" w:cs="Times New Roman"/>
          <w:b/>
          <w:color w:val="auto"/>
          <w:sz w:val="24"/>
          <w:lang w:val="en-US" w:eastAsia="zh-CN"/>
        </w:rPr>
        <w:t>3</w:t>
      </w:r>
      <w:r>
        <w:rPr>
          <w:rFonts w:ascii="Times New Roman" w:hAnsi="Times New Roman" w:cs="Times New Roman"/>
          <w:b/>
          <w:color w:val="auto"/>
          <w:sz w:val="24"/>
        </w:rPr>
        <w:t xml:space="preserve">) </w:t>
      </w:r>
    </w:p>
    <w:p w14:paraId="762079F6">
      <w:pPr>
        <w:adjustRightInd w:val="0"/>
        <w:snapToGrid w:val="0"/>
        <w:spacing w:line="360" w:lineRule="auto"/>
        <w:ind w:left="482" w:hanging="482" w:hangingChars="200"/>
        <w:outlineLvl w:val="0"/>
        <w:rPr>
          <w:rFonts w:ascii="Times New Roman" w:hAnsi="Times New Roman" w:cs="Times New Roman"/>
          <w:b/>
          <w:color w:val="auto"/>
          <w:sz w:val="24"/>
        </w:rPr>
      </w:pPr>
      <w:r>
        <w:rPr>
          <w:rFonts w:ascii="Times New Roman" w:hAnsi="Times New Roman" w:cs="Times New Roman"/>
          <w:b/>
          <w:color w:val="auto"/>
          <w:sz w:val="24"/>
        </w:rPr>
        <w:t xml:space="preserve">Supporting Tables </w:t>
      </w:r>
    </w:p>
    <w:bookmarkEnd w:id="0"/>
    <w:p w14:paraId="6607F414">
      <w:pPr>
        <w:adjustRightInd w:val="0"/>
        <w:snapToGrid w:val="0"/>
        <w:spacing w:line="360" w:lineRule="auto"/>
        <w:rPr>
          <w:rFonts w:hint="eastAsia" w:ascii="Times New Roman" w:hAnsi="Times New Roman" w:cs="Times New Roman"/>
          <w:color w:val="auto"/>
          <w:sz w:val="24"/>
          <w:lang w:val="en-US" w:eastAsia="zh-CN"/>
        </w:rPr>
      </w:pPr>
      <w:bookmarkStart w:id="1" w:name="_Hlk92651951"/>
      <w:r>
        <w:rPr>
          <w:rFonts w:hint="eastAsia" w:ascii="Times New Roman" w:hAnsi="Times New Roman" w:cs="Times New Roman"/>
          <w:color w:val="auto"/>
          <w:sz w:val="24"/>
          <w:lang w:val="en-US" w:eastAsia="zh-CN"/>
        </w:rPr>
        <w:t>Table S1. Pfam domain architecture of the identified NAC genes in M. sinostellata.</w:t>
      </w:r>
    </w:p>
    <w:p w14:paraId="00F9CD00">
      <w:pPr>
        <w:adjustRightInd w:val="0"/>
        <w:snapToGrid w:val="0"/>
        <w:spacing w:line="360" w:lineRule="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Table S2. Genome assembly information used for the genome-wide identification of NAC genes.</w:t>
      </w:r>
      <w:bookmarkStart w:id="2" w:name="_GoBack"/>
      <w:bookmarkEnd w:id="2"/>
    </w:p>
    <w:p w14:paraId="1CBE26A0">
      <w:pPr>
        <w:adjustRightInd w:val="0"/>
        <w:snapToGrid w:val="0"/>
        <w:spacing w:line="360" w:lineRule="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Table S3. Amino acid sequences of the NAC transcription factor family in M. sinostellata.</w:t>
      </w:r>
    </w:p>
    <w:p w14:paraId="789BA856">
      <w:pPr>
        <w:adjustRightInd w:val="0"/>
        <w:snapToGrid w:val="0"/>
        <w:spacing w:line="360" w:lineRule="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Table S4. Physicochemical properties of the NAC proteins in M. sinostellata.</w:t>
      </w:r>
    </w:p>
    <w:p w14:paraId="5166DF56">
      <w:pPr>
        <w:adjustRightInd w:val="0"/>
        <w:snapToGrid w:val="0"/>
        <w:spacing w:line="360" w:lineRule="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Table S5. Detailed annotation of cis-acting regulatory elements in the promoters of MsNAC genes.</w:t>
      </w:r>
    </w:p>
    <w:p w14:paraId="74F9AE76">
      <w:pPr>
        <w:adjustRightInd w:val="0"/>
        <w:snapToGrid w:val="0"/>
        <w:spacing w:line="360" w:lineRule="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Table S6. Duplicated MsNAC gene pairs and their calculated Ka/Ks ratios.</w:t>
      </w:r>
    </w:p>
    <w:p w14:paraId="34E4A875">
      <w:pPr>
        <w:adjustRightInd w:val="0"/>
        <w:snapToGrid w:val="0"/>
        <w:spacing w:line="360" w:lineRule="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Table S7. Primer sequences used for RT-qPCR validation.</w:t>
      </w:r>
    </w:p>
    <w:p w14:paraId="3CD0F48C">
      <w:pPr>
        <w:adjustRightInd w:val="0"/>
        <w:snapToGrid w:val="0"/>
        <w:spacing w:line="360" w:lineRule="auto"/>
        <w:rPr>
          <w:rFonts w:ascii="Times New Roman" w:hAnsi="Times New Roman" w:cs="Times New Roman"/>
          <w:b/>
          <w:bCs/>
          <w:color w:val="auto"/>
          <w:sz w:val="24"/>
        </w:rPr>
      </w:pPr>
      <w:r>
        <w:rPr>
          <w:rFonts w:ascii="Times New Roman" w:hAnsi="Times New Roman" w:cs="Times New Roman"/>
          <w:b/>
          <w:bCs/>
          <w:color w:val="auto"/>
          <w:sz w:val="24"/>
        </w:rPr>
        <w:t xml:space="preserve">Supporting Figures </w:t>
      </w:r>
    </w:p>
    <w:bookmarkEnd w:id="1"/>
    <w:p w14:paraId="537F9C7F">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 xml:space="preserve">Figure S1. Differential expression analysis of </w:t>
      </w:r>
      <w:r>
        <w:rPr>
          <w:rFonts w:hint="default" w:ascii="Times New Roman" w:hAnsi="Times New Roman" w:cs="Times New Roman"/>
          <w:b/>
          <w:bCs/>
          <w:i/>
          <w:iCs/>
          <w:sz w:val="24"/>
          <w:szCs w:val="24"/>
          <w:lang w:val="en-US" w:eastAsia="zh-CN"/>
        </w:rPr>
        <w:t>M. sinostellata</w:t>
      </w:r>
      <w:r>
        <w:rPr>
          <w:rFonts w:hint="default" w:ascii="Times New Roman" w:hAnsi="Times New Roman" w:cs="Times New Roman"/>
          <w:b/>
          <w:bCs/>
          <w:sz w:val="24"/>
          <w:szCs w:val="24"/>
          <w:lang w:val="en-US" w:eastAsia="zh-CN"/>
        </w:rPr>
        <w:t xml:space="preserve"> transcripts under waterlogging stress. </w:t>
      </w:r>
      <w:r>
        <w:rPr>
          <w:rFonts w:hint="default" w:ascii="Times New Roman" w:hAnsi="Times New Roman" w:cs="Times New Roman"/>
          <w:sz w:val="24"/>
          <w:szCs w:val="24"/>
          <w:lang w:val="en-US" w:eastAsia="zh-CN"/>
        </w:rPr>
        <w:t>Volcano plots display differentially expressed genes (DEGs) from pairwise comparisons of root (R), stem (S), and leaf (L) tissues between control (CK) and waterlogging (WL) conditions at 0, 6, and 72 hours. Significantly upregulated and downregulated genes are highlighted in red and blue, respectively.</w:t>
      </w:r>
    </w:p>
    <w:p w14:paraId="14520B3A">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 xml:space="preserve">Figure S2. K-means clustering of </w:t>
      </w:r>
      <w:r>
        <w:rPr>
          <w:rFonts w:hint="default" w:ascii="Times New Roman" w:hAnsi="Times New Roman" w:cs="Times New Roman"/>
          <w:b/>
          <w:bCs/>
          <w:i/>
          <w:iCs/>
          <w:sz w:val="24"/>
          <w:szCs w:val="24"/>
          <w:lang w:val="en-US" w:eastAsia="zh-CN"/>
        </w:rPr>
        <w:t>MsNAC</w:t>
      </w:r>
      <w:r>
        <w:rPr>
          <w:rFonts w:hint="default" w:ascii="Times New Roman" w:hAnsi="Times New Roman" w:cs="Times New Roman"/>
          <w:b/>
          <w:bCs/>
          <w:sz w:val="24"/>
          <w:szCs w:val="24"/>
          <w:lang w:val="en-US" w:eastAsia="zh-CN"/>
        </w:rPr>
        <w:t xml:space="preserve"> gene expression patterns.</w:t>
      </w:r>
      <w:r>
        <w:rPr>
          <w:rFonts w:hint="default" w:ascii="Times New Roman" w:hAnsi="Times New Roman" w:cs="Times New Roman"/>
          <w:sz w:val="24"/>
          <w:szCs w:val="24"/>
          <w:lang w:val="en-US" w:eastAsia="zh-CN"/>
        </w:rPr>
        <w:t xml:space="preserve"> Expression profiles of </w:t>
      </w:r>
      <w:r>
        <w:rPr>
          <w:rFonts w:hint="default" w:ascii="Times New Roman" w:hAnsi="Times New Roman" w:cs="Times New Roman"/>
          <w:i/>
          <w:iCs/>
          <w:sz w:val="24"/>
          <w:szCs w:val="24"/>
          <w:lang w:val="en-US" w:eastAsia="zh-CN"/>
        </w:rPr>
        <w:t>MsNAC</w:t>
      </w:r>
      <w:r>
        <w:rPr>
          <w:rFonts w:hint="default" w:ascii="Times New Roman" w:hAnsi="Times New Roman" w:cs="Times New Roman"/>
          <w:sz w:val="24"/>
          <w:szCs w:val="24"/>
          <w:lang w:val="en-US" w:eastAsia="zh-CN"/>
        </w:rPr>
        <w:t xml:space="preserve"> genes across root, stem, and leaf tissues at different time points (0 h, 6 h, 72 h) under waterlogging stress are grouped into distinct clusters based on similar expression trends.</w:t>
      </w:r>
    </w:p>
    <w:p w14:paraId="1A574812">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 xml:space="preserve">Figure S3. </w:t>
      </w:r>
      <w:r>
        <w:rPr>
          <w:rFonts w:hint="default" w:ascii="Times New Roman" w:hAnsi="Times New Roman" w:cs="Times New Roman"/>
          <w:b/>
          <w:bCs/>
          <w:i w:val="0"/>
          <w:iCs w:val="0"/>
          <w:sz w:val="24"/>
          <w:szCs w:val="24"/>
          <w:lang w:val="en-US" w:eastAsia="zh-CN"/>
        </w:rPr>
        <w:t>Co-expression network of</w:t>
      </w:r>
      <w:r>
        <w:rPr>
          <w:rFonts w:hint="default" w:ascii="Times New Roman" w:hAnsi="Times New Roman" w:cs="Times New Roman"/>
          <w:b/>
          <w:bCs/>
          <w:i/>
          <w:iCs/>
          <w:sz w:val="24"/>
          <w:szCs w:val="24"/>
          <w:lang w:val="en-US" w:eastAsia="zh-CN"/>
        </w:rPr>
        <w:t xml:space="preserve"> MsNAC </w:t>
      </w:r>
      <w:r>
        <w:rPr>
          <w:rFonts w:hint="default" w:ascii="Times New Roman" w:hAnsi="Times New Roman" w:cs="Times New Roman"/>
          <w:b/>
          <w:bCs/>
          <w:i w:val="0"/>
          <w:iCs w:val="0"/>
          <w:sz w:val="24"/>
          <w:szCs w:val="24"/>
          <w:lang w:val="en-US" w:eastAsia="zh-CN"/>
        </w:rPr>
        <w:t>genes.</w:t>
      </w:r>
      <w:r>
        <w:rPr>
          <w:rFonts w:hint="default" w:ascii="Times New Roman" w:hAnsi="Times New Roman" w:cs="Times New Roman"/>
          <w:b w:val="0"/>
          <w:bCs w:val="0"/>
          <w:i w:val="0"/>
          <w:iCs w:val="0"/>
          <w:sz w:val="24"/>
          <w:szCs w:val="24"/>
          <w:lang w:val="en-US" w:eastAsia="zh-CN"/>
        </w:rPr>
        <w:t xml:space="preserve"> Correlation analysis among </w:t>
      </w:r>
      <w:r>
        <w:rPr>
          <w:rFonts w:hint="default" w:ascii="Times New Roman" w:hAnsi="Times New Roman" w:cs="Times New Roman"/>
          <w:b w:val="0"/>
          <w:bCs w:val="0"/>
          <w:i/>
          <w:iCs/>
          <w:sz w:val="24"/>
          <w:szCs w:val="24"/>
          <w:lang w:val="en-US" w:eastAsia="zh-CN"/>
        </w:rPr>
        <w:t xml:space="preserve">MsNAC </w:t>
      </w:r>
      <w:r>
        <w:rPr>
          <w:rFonts w:hint="default" w:ascii="Times New Roman" w:hAnsi="Times New Roman" w:cs="Times New Roman"/>
          <w:b w:val="0"/>
          <w:bCs w:val="0"/>
          <w:i w:val="0"/>
          <w:iCs w:val="0"/>
          <w:sz w:val="24"/>
          <w:szCs w:val="24"/>
          <w:lang w:val="en-US" w:eastAsia="zh-CN"/>
        </w:rPr>
        <w:t>genes in</w:t>
      </w:r>
      <w:r>
        <w:rPr>
          <w:rFonts w:hint="default" w:ascii="Times New Roman" w:hAnsi="Times New Roman" w:cs="Times New Roman"/>
          <w:b w:val="0"/>
          <w:bCs w:val="0"/>
          <w:i/>
          <w:iCs/>
          <w:sz w:val="24"/>
          <w:szCs w:val="24"/>
          <w:lang w:val="en-US" w:eastAsia="zh-CN"/>
        </w:rPr>
        <w:t xml:space="preserve"> M. sinostellata.</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sz w:val="24"/>
          <w:szCs w:val="24"/>
          <w:lang w:val="en-US" w:eastAsia="zh-CN"/>
        </w:rPr>
        <w:t>Blue and red connecting lines represent significant positive and negative correlations (p-value &lt; 0.05), respectively.</w:t>
      </w:r>
    </w:p>
    <w:p w14:paraId="7061F103">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drawing>
          <wp:inline distT="0" distB="0" distL="114300" distR="114300">
            <wp:extent cx="5269865" cy="5212080"/>
            <wp:effectExtent l="0" t="0" r="635" b="7620"/>
            <wp:docPr id="2" name="图片 2"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S1"/>
                    <pic:cNvPicPr>
                      <a:picLocks noChangeAspect="1"/>
                    </pic:cNvPicPr>
                  </pic:nvPicPr>
                  <pic:blipFill>
                    <a:blip r:embed="rId4"/>
                    <a:stretch>
                      <a:fillRect/>
                    </a:stretch>
                  </pic:blipFill>
                  <pic:spPr>
                    <a:xfrm>
                      <a:off x="0" y="0"/>
                      <a:ext cx="5269865" cy="5212080"/>
                    </a:xfrm>
                    <a:prstGeom prst="rect">
                      <a:avLst/>
                    </a:prstGeom>
                  </pic:spPr>
                </pic:pic>
              </a:graphicData>
            </a:graphic>
          </wp:inline>
        </w:drawing>
      </w:r>
    </w:p>
    <w:p w14:paraId="5180AF34">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 xml:space="preserve">Figure S1. Differential expression analysis of </w:t>
      </w:r>
      <w:r>
        <w:rPr>
          <w:rFonts w:hint="default" w:ascii="Times New Roman" w:hAnsi="Times New Roman" w:cs="Times New Roman"/>
          <w:b/>
          <w:bCs/>
          <w:i/>
          <w:iCs/>
          <w:sz w:val="24"/>
          <w:szCs w:val="24"/>
          <w:lang w:val="en-US" w:eastAsia="zh-CN"/>
        </w:rPr>
        <w:t>M. sinostellata</w:t>
      </w:r>
      <w:r>
        <w:rPr>
          <w:rFonts w:hint="default" w:ascii="Times New Roman" w:hAnsi="Times New Roman" w:cs="Times New Roman"/>
          <w:b/>
          <w:bCs/>
          <w:sz w:val="24"/>
          <w:szCs w:val="24"/>
          <w:lang w:val="en-US" w:eastAsia="zh-CN"/>
        </w:rPr>
        <w:t xml:space="preserve"> transcripts under waterlogging stress. </w:t>
      </w:r>
      <w:r>
        <w:rPr>
          <w:rFonts w:hint="default" w:ascii="Times New Roman" w:hAnsi="Times New Roman" w:cs="Times New Roman"/>
          <w:sz w:val="24"/>
          <w:szCs w:val="24"/>
          <w:lang w:val="en-US" w:eastAsia="zh-CN"/>
        </w:rPr>
        <w:t>Volcano plots display differentially expressed genes (DEGs) from pairwise comparisons of root (R), stem (S), and leaf (L) tissues between control (CK) and waterlogging (WL) conditions at 0, 6, and 72 hours. Significantly upregulated and downregulated genes are highlighted in red and blue, respectively.</w:t>
      </w:r>
    </w:p>
    <w:p w14:paraId="61FDB996">
      <w:pPr>
        <w:jc w:val="both"/>
        <w:rPr>
          <w:rFonts w:hint="eastAsia" w:eastAsiaTheme="minorEastAsia"/>
          <w:lang w:eastAsia="zh-CN"/>
        </w:rPr>
      </w:pPr>
      <w:r>
        <w:rPr>
          <w:rFonts w:hint="eastAsia" w:eastAsiaTheme="minorEastAsia"/>
          <w:lang w:eastAsia="zh-CN"/>
        </w:rPr>
        <w:drawing>
          <wp:inline distT="0" distB="0" distL="114300" distR="114300">
            <wp:extent cx="5268595" cy="3082925"/>
            <wp:effectExtent l="0" t="0" r="1905" b="3175"/>
            <wp:docPr id="3" name="图片 3" descr="Figure 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S2"/>
                    <pic:cNvPicPr>
                      <a:picLocks noChangeAspect="1"/>
                    </pic:cNvPicPr>
                  </pic:nvPicPr>
                  <pic:blipFill>
                    <a:blip r:embed="rId5"/>
                    <a:stretch>
                      <a:fillRect/>
                    </a:stretch>
                  </pic:blipFill>
                  <pic:spPr>
                    <a:xfrm>
                      <a:off x="0" y="0"/>
                      <a:ext cx="5268595" cy="3082925"/>
                    </a:xfrm>
                    <a:prstGeom prst="rect">
                      <a:avLst/>
                    </a:prstGeom>
                  </pic:spPr>
                </pic:pic>
              </a:graphicData>
            </a:graphic>
          </wp:inline>
        </w:drawing>
      </w:r>
    </w:p>
    <w:p w14:paraId="785A1852">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 xml:space="preserve">Figure S2. K-means clustering of </w:t>
      </w:r>
      <w:r>
        <w:rPr>
          <w:rFonts w:hint="default" w:ascii="Times New Roman" w:hAnsi="Times New Roman" w:cs="Times New Roman"/>
          <w:b/>
          <w:bCs/>
          <w:i/>
          <w:iCs/>
          <w:sz w:val="24"/>
          <w:szCs w:val="24"/>
          <w:lang w:val="en-US" w:eastAsia="zh-CN"/>
        </w:rPr>
        <w:t>MsNAC</w:t>
      </w:r>
      <w:r>
        <w:rPr>
          <w:rFonts w:hint="default" w:ascii="Times New Roman" w:hAnsi="Times New Roman" w:cs="Times New Roman"/>
          <w:b/>
          <w:bCs/>
          <w:sz w:val="24"/>
          <w:szCs w:val="24"/>
          <w:lang w:val="en-US" w:eastAsia="zh-CN"/>
        </w:rPr>
        <w:t xml:space="preserve"> gene expression patterns.</w:t>
      </w:r>
      <w:r>
        <w:rPr>
          <w:rFonts w:hint="default" w:ascii="Times New Roman" w:hAnsi="Times New Roman" w:cs="Times New Roman"/>
          <w:sz w:val="24"/>
          <w:szCs w:val="24"/>
          <w:lang w:val="en-US" w:eastAsia="zh-CN"/>
        </w:rPr>
        <w:t xml:space="preserve"> Expression profiles of </w:t>
      </w:r>
      <w:r>
        <w:rPr>
          <w:rFonts w:hint="default" w:ascii="Times New Roman" w:hAnsi="Times New Roman" w:cs="Times New Roman"/>
          <w:i/>
          <w:iCs/>
          <w:sz w:val="24"/>
          <w:szCs w:val="24"/>
          <w:lang w:val="en-US" w:eastAsia="zh-CN"/>
        </w:rPr>
        <w:t>MsNAC</w:t>
      </w:r>
      <w:r>
        <w:rPr>
          <w:rFonts w:hint="default" w:ascii="Times New Roman" w:hAnsi="Times New Roman" w:cs="Times New Roman"/>
          <w:sz w:val="24"/>
          <w:szCs w:val="24"/>
          <w:lang w:val="en-US" w:eastAsia="zh-CN"/>
        </w:rPr>
        <w:t xml:space="preserve"> genes across root, stem, and leaf tissues at different time points (0 h, 6 h, 72 h) under waterlogging stress are grouped into distinct clusters based on similar expression trends.</w:t>
      </w:r>
    </w:p>
    <w:p w14:paraId="18D3D459">
      <w:pPr>
        <w:rPr>
          <w:rFonts w:hint="default" w:ascii="Times New Roman" w:hAnsi="Times New Roman" w:cs="Times New Roman" w:eastAsiaTheme="minorEastAsia"/>
          <w:lang w:eastAsia="zh-CN"/>
        </w:rPr>
      </w:pPr>
    </w:p>
    <w:p w14:paraId="4BFD90D7">
      <w:pPr>
        <w:rPr>
          <w:rFonts w:hint="eastAsia" w:eastAsiaTheme="minorEastAsia"/>
          <w:lang w:eastAsia="zh-CN"/>
        </w:rPr>
      </w:pPr>
      <w:r>
        <w:rPr>
          <w:rFonts w:hint="eastAsia" w:eastAsiaTheme="minorEastAsia"/>
          <w:lang w:eastAsia="zh-CN"/>
        </w:rPr>
        <w:drawing>
          <wp:inline distT="0" distB="0" distL="114300" distR="114300">
            <wp:extent cx="5268595" cy="5268595"/>
            <wp:effectExtent l="0" t="0" r="1905" b="1905"/>
            <wp:docPr id="4" name="图片 4" descr="Figure 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ure S3"/>
                    <pic:cNvPicPr>
                      <a:picLocks noChangeAspect="1"/>
                    </pic:cNvPicPr>
                  </pic:nvPicPr>
                  <pic:blipFill>
                    <a:blip r:embed="rId6"/>
                    <a:stretch>
                      <a:fillRect/>
                    </a:stretch>
                  </pic:blipFill>
                  <pic:spPr>
                    <a:xfrm>
                      <a:off x="0" y="0"/>
                      <a:ext cx="5268595" cy="5268595"/>
                    </a:xfrm>
                    <a:prstGeom prst="rect">
                      <a:avLst/>
                    </a:prstGeom>
                  </pic:spPr>
                </pic:pic>
              </a:graphicData>
            </a:graphic>
          </wp:inline>
        </w:drawing>
      </w:r>
    </w:p>
    <w:p w14:paraId="76602E67">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 xml:space="preserve">Figure S3. </w:t>
      </w:r>
      <w:r>
        <w:rPr>
          <w:rFonts w:hint="default" w:ascii="Times New Roman" w:hAnsi="Times New Roman" w:cs="Times New Roman"/>
          <w:b/>
          <w:bCs/>
          <w:i w:val="0"/>
          <w:iCs w:val="0"/>
          <w:sz w:val="24"/>
          <w:szCs w:val="24"/>
          <w:lang w:val="en-US" w:eastAsia="zh-CN"/>
        </w:rPr>
        <w:t>Co-expression network of</w:t>
      </w:r>
      <w:r>
        <w:rPr>
          <w:rFonts w:hint="default" w:ascii="Times New Roman" w:hAnsi="Times New Roman" w:cs="Times New Roman"/>
          <w:b/>
          <w:bCs/>
          <w:i/>
          <w:iCs/>
          <w:sz w:val="24"/>
          <w:szCs w:val="24"/>
          <w:lang w:val="en-US" w:eastAsia="zh-CN"/>
        </w:rPr>
        <w:t xml:space="preserve"> MsNAC </w:t>
      </w:r>
      <w:r>
        <w:rPr>
          <w:rFonts w:hint="default" w:ascii="Times New Roman" w:hAnsi="Times New Roman" w:cs="Times New Roman"/>
          <w:b/>
          <w:bCs/>
          <w:i w:val="0"/>
          <w:iCs w:val="0"/>
          <w:sz w:val="24"/>
          <w:szCs w:val="24"/>
          <w:lang w:val="en-US" w:eastAsia="zh-CN"/>
        </w:rPr>
        <w:t>genes.</w:t>
      </w:r>
      <w:r>
        <w:rPr>
          <w:rFonts w:hint="default" w:ascii="Times New Roman" w:hAnsi="Times New Roman" w:cs="Times New Roman"/>
          <w:b w:val="0"/>
          <w:bCs w:val="0"/>
          <w:i w:val="0"/>
          <w:iCs w:val="0"/>
          <w:sz w:val="24"/>
          <w:szCs w:val="24"/>
          <w:lang w:val="en-US" w:eastAsia="zh-CN"/>
        </w:rPr>
        <w:t xml:space="preserve"> Correlation analysis among </w:t>
      </w:r>
      <w:r>
        <w:rPr>
          <w:rFonts w:hint="default" w:ascii="Times New Roman" w:hAnsi="Times New Roman" w:cs="Times New Roman"/>
          <w:b w:val="0"/>
          <w:bCs w:val="0"/>
          <w:i/>
          <w:iCs/>
          <w:sz w:val="24"/>
          <w:szCs w:val="24"/>
          <w:lang w:val="en-US" w:eastAsia="zh-CN"/>
        </w:rPr>
        <w:t xml:space="preserve">MsNAC </w:t>
      </w:r>
      <w:r>
        <w:rPr>
          <w:rFonts w:hint="default" w:ascii="Times New Roman" w:hAnsi="Times New Roman" w:cs="Times New Roman"/>
          <w:b w:val="0"/>
          <w:bCs w:val="0"/>
          <w:i w:val="0"/>
          <w:iCs w:val="0"/>
          <w:sz w:val="24"/>
          <w:szCs w:val="24"/>
          <w:lang w:val="en-US" w:eastAsia="zh-CN"/>
        </w:rPr>
        <w:t>genes in</w:t>
      </w:r>
      <w:r>
        <w:rPr>
          <w:rFonts w:hint="default" w:ascii="Times New Roman" w:hAnsi="Times New Roman" w:cs="Times New Roman"/>
          <w:b w:val="0"/>
          <w:bCs w:val="0"/>
          <w:i/>
          <w:iCs/>
          <w:sz w:val="24"/>
          <w:szCs w:val="24"/>
          <w:lang w:val="en-US" w:eastAsia="zh-CN"/>
        </w:rPr>
        <w:t xml:space="preserve"> M. sinostellata.</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sz w:val="24"/>
          <w:szCs w:val="24"/>
          <w:lang w:val="en-US" w:eastAsia="zh-CN"/>
        </w:rPr>
        <w:t>Blue and red connecting lines represent significant positive and negative correlations (p-value &lt; 0.05), respectively.</w:t>
      </w:r>
    </w:p>
    <w:p w14:paraId="4419AE2C">
      <w:pPr>
        <w:rPr>
          <w:rFonts w:hint="eastAsia" w:eastAsiaTheme="minorEastAsia"/>
          <w:b/>
          <w:bCs/>
          <w:lang w:eastAsia="zh-CN"/>
        </w:rPr>
      </w:pPr>
    </w:p>
    <w:p w14:paraId="3BB6D498">
      <w:pPr>
        <w:rPr>
          <w:rFonts w:hint="eastAsia" w:eastAsiaTheme="minorEastAsia"/>
          <w:lang w:eastAsia="zh-CN"/>
        </w:rPr>
      </w:pPr>
    </w:p>
    <w:p w14:paraId="768430C5">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D60D6"/>
    <w:rsid w:val="01E274B5"/>
    <w:rsid w:val="041651F4"/>
    <w:rsid w:val="0DB735A4"/>
    <w:rsid w:val="16B94F51"/>
    <w:rsid w:val="189D783A"/>
    <w:rsid w:val="1D0253E4"/>
    <w:rsid w:val="1E537319"/>
    <w:rsid w:val="22EA521E"/>
    <w:rsid w:val="25CD10ED"/>
    <w:rsid w:val="316867E0"/>
    <w:rsid w:val="35411821"/>
    <w:rsid w:val="3A856654"/>
    <w:rsid w:val="4191768D"/>
    <w:rsid w:val="49325BF9"/>
    <w:rsid w:val="50FB360A"/>
    <w:rsid w:val="51CB6BEB"/>
    <w:rsid w:val="54CA432C"/>
    <w:rsid w:val="56DA5DF4"/>
    <w:rsid w:val="58DF11CE"/>
    <w:rsid w:val="6C20148A"/>
    <w:rsid w:val="73487C44"/>
    <w:rsid w:val="7C9D6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363</Words>
  <Characters>2115</Characters>
  <Lines>0</Lines>
  <Paragraphs>0</Paragraphs>
  <TotalTime>1</TotalTime>
  <ScaleCrop>false</ScaleCrop>
  <LinksUpToDate>false</LinksUpToDate>
  <CharactersWithSpaces>2451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2025-07-16T08:24:00Z</dcterms:created>
  <dc:creator>静默如初</dc:creator>
  <cp:lastModifiedBy>静默如初</cp:lastModifiedBy>
  <dcterms:modified xsi:type="dcterms:W3CDTF">2025-11-24T09:58:59Z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C783F35E45A343DA9BD06BEBDA046C95_13</vt:lpwstr>
  </property>
  <property fmtid="{D5CDD505-2E9C-101B-9397-08002B2CF9AE}" pid="4" name="KSOTemplateDocerSaveRecord">
    <vt:lpwstr>eyJoZGlkIjoiY2ZjNjkwYzlmYmVkZjIzZDQ5OGM2N2IzZDFmZjAyOTUiLCJ1c2VySWQiOiI0NzA1ODc3NDYifQ==</vt:lpwstr>
  </property>
</Properties>
</file>