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6E250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b/>
          <w:color w:val="000000" w:themeColor="text1"/>
        </w:rPr>
        <w:t>Table 1</w:t>
      </w:r>
      <w:r w:rsidRPr="00CD1E16">
        <w:rPr>
          <w:rFonts w:ascii="Aptos" w:eastAsia="Aptos" w:hAnsi="Aptos" w:cs="Aptos"/>
          <w:color w:val="000000" w:themeColor="text1"/>
        </w:rPr>
        <w:t xml:space="preserve"> Patient characteristics and in-hospital outcomes according to the reperfusion therapy status</w:t>
      </w:r>
    </w:p>
    <w:p w14:paraId="2B850163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</w:p>
    <w:p w14:paraId="28930324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proofErr w:type="gramStart"/>
      <w:r w:rsidRPr="00CD1E16">
        <w:rPr>
          <w:rFonts w:ascii="Aptos" w:eastAsia="Aptos" w:hAnsi="Aptos" w:cs="Aptos"/>
          <w:color w:val="000000" w:themeColor="text1"/>
        </w:rPr>
        <w:t>Overall</w:t>
      </w:r>
      <w:proofErr w:type="gramEnd"/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Any reperfusion</w:t>
      </w:r>
      <w:r w:rsidRPr="00CD1E16">
        <w:rPr>
          <w:rFonts w:ascii="Aptos" w:eastAsia="Aptos" w:hAnsi="Aptos" w:cs="Aptos"/>
          <w:color w:val="000000" w:themeColor="text1"/>
        </w:rPr>
        <w:tab/>
        <w:t>No reperfusion</w:t>
      </w:r>
      <w:r w:rsidRPr="00CD1E16">
        <w:rPr>
          <w:rFonts w:ascii="Aptos" w:eastAsia="Aptos" w:hAnsi="Aptos" w:cs="Aptos"/>
          <w:color w:val="000000" w:themeColor="text1"/>
        </w:rPr>
        <w:tab/>
        <w:t>P value</w:t>
      </w:r>
    </w:p>
    <w:p w14:paraId="2AEC3D31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Number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185 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81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104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43F454B8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Baseline characteristics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0F630178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Age, y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65 (52, 78)</w:t>
      </w:r>
      <w:r w:rsidRPr="00CD1E16">
        <w:rPr>
          <w:rFonts w:ascii="Aptos" w:eastAsia="Aptos" w:hAnsi="Aptos" w:cs="Aptos"/>
          <w:color w:val="000000" w:themeColor="text1"/>
        </w:rPr>
        <w:tab/>
        <w:t>61 (52, 76)</w:t>
      </w:r>
      <w:r w:rsidRPr="00CD1E16">
        <w:rPr>
          <w:rFonts w:ascii="Aptos" w:eastAsia="Aptos" w:hAnsi="Aptos" w:cs="Aptos"/>
          <w:color w:val="000000" w:themeColor="text1"/>
        </w:rPr>
        <w:tab/>
        <w:t>68 (53, 80)</w:t>
      </w:r>
      <w:r w:rsidRPr="00CD1E16">
        <w:rPr>
          <w:rFonts w:ascii="Aptos" w:eastAsia="Aptos" w:hAnsi="Aptos" w:cs="Aptos"/>
          <w:color w:val="000000" w:themeColor="text1"/>
        </w:rPr>
        <w:tab/>
        <w:t>0.069</w:t>
      </w:r>
    </w:p>
    <w:p w14:paraId="643C1E46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Men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79/185 (42.7%)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42/81 (51.9%)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37/104 (35.6%) </w:t>
      </w:r>
      <w:r w:rsidRPr="00CD1E16">
        <w:rPr>
          <w:rFonts w:ascii="Aptos" w:eastAsia="Aptos" w:hAnsi="Aptos" w:cs="Aptos"/>
          <w:color w:val="000000" w:themeColor="text1"/>
        </w:rPr>
        <w:tab/>
        <w:t>0.026</w:t>
      </w:r>
    </w:p>
    <w:p w14:paraId="716260C8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BMI ≥25 kg/m2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73/175 (41.7%)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39/78 (50.0%) </w:t>
      </w:r>
      <w:r w:rsidRPr="00CD1E16">
        <w:rPr>
          <w:rFonts w:ascii="Aptos" w:eastAsia="Aptos" w:hAnsi="Aptos" w:cs="Aptos"/>
          <w:color w:val="000000" w:themeColor="text1"/>
        </w:rPr>
        <w:tab/>
        <w:t>34/97 (35.1%)</w:t>
      </w:r>
      <w:r w:rsidRPr="00CD1E16">
        <w:rPr>
          <w:rFonts w:ascii="Aptos" w:eastAsia="Aptos" w:hAnsi="Aptos" w:cs="Aptos"/>
          <w:color w:val="000000" w:themeColor="text1"/>
        </w:rPr>
        <w:tab/>
        <w:t>0.046</w:t>
      </w:r>
    </w:p>
    <w:p w14:paraId="6627D470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Comorbidities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210DA93A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Hypertension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74/183 (40.4%)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33/81 (40.7%)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41/102 (40.0%)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2421D610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Diabetes mellitus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35/183 (19.1%)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16/81 (19.8%)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19/102 (18.6%) </w:t>
      </w:r>
      <w:r w:rsidRPr="00CD1E16">
        <w:rPr>
          <w:rFonts w:ascii="Aptos" w:eastAsia="Aptos" w:hAnsi="Aptos" w:cs="Aptos"/>
          <w:color w:val="000000" w:themeColor="text1"/>
        </w:rPr>
        <w:tab/>
        <w:t>0.852</w:t>
      </w:r>
    </w:p>
    <w:p w14:paraId="411DDBEF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Dyslipidemia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37/183 (20.2%)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10/81 (12.3%)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27/102 (26.5%) </w:t>
      </w:r>
      <w:r w:rsidRPr="00CD1E16">
        <w:rPr>
          <w:rFonts w:ascii="Aptos" w:eastAsia="Aptos" w:hAnsi="Aptos" w:cs="Aptos"/>
          <w:color w:val="000000" w:themeColor="text1"/>
        </w:rPr>
        <w:tab/>
        <w:t>0.025</w:t>
      </w:r>
    </w:p>
    <w:p w14:paraId="318B3B8A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Hyperuricemia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13/182 (7.1%)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6/80 (7.5%)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7/102 (6.9%)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4577DD32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Smoking (including past)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41/169 (24.3%)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19/71 (26.8%)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22/98 (22.4%) </w:t>
      </w:r>
      <w:r w:rsidRPr="00CD1E16">
        <w:rPr>
          <w:rFonts w:ascii="Aptos" w:eastAsia="Aptos" w:hAnsi="Aptos" w:cs="Aptos"/>
          <w:color w:val="000000" w:themeColor="text1"/>
        </w:rPr>
        <w:tab/>
        <w:t>0.586</w:t>
      </w:r>
    </w:p>
    <w:p w14:paraId="226DAC9E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Dialysis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0/185 (0%)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0/81 (0%)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0/104 (0%)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648400FD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Atrial fibrillation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7/183 (8.4%)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3/81 (3.7%)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4/102 (3.9%)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3726D0B6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Peripheral arterial disease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1/181 (1.2%)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0/80 (0%)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1/101 (1.0%)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6721B80C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History of HF hospitalization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6/183 (7.2%)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0/81 (0%)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6/102 (5.9%) </w:t>
      </w:r>
      <w:r w:rsidRPr="00CD1E16">
        <w:rPr>
          <w:rFonts w:ascii="Aptos" w:eastAsia="Aptos" w:hAnsi="Aptos" w:cs="Aptos"/>
          <w:color w:val="000000" w:themeColor="text1"/>
        </w:rPr>
        <w:tab/>
        <w:t>0.035</w:t>
      </w:r>
    </w:p>
    <w:p w14:paraId="139E8DB6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History of myocardial infarction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0/182 (0%)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0/81 (0%)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0/101 (0.0%)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44AF416E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History of stroke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9/183 (10.8%) </w:t>
      </w:r>
      <w:r w:rsidRPr="00CD1E16">
        <w:rPr>
          <w:rFonts w:ascii="Aptos" w:eastAsia="Aptos" w:hAnsi="Aptos" w:cs="Aptos"/>
          <w:color w:val="000000" w:themeColor="text1"/>
        </w:rPr>
        <w:tab/>
        <w:t>4/81 (0%)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5/102 (4.9%)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126DE94A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Active cancer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16/184 (8.7%)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6/81 (7.4%)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10/103 (9.7%) </w:t>
      </w:r>
      <w:r w:rsidRPr="00CD1E16">
        <w:rPr>
          <w:rFonts w:ascii="Aptos" w:eastAsia="Aptos" w:hAnsi="Aptos" w:cs="Aptos"/>
          <w:color w:val="000000" w:themeColor="text1"/>
        </w:rPr>
        <w:tab/>
        <w:t>0.612</w:t>
      </w:r>
    </w:p>
    <w:p w14:paraId="1D9B6492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Major transient VTE risk factors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38/184 (20.7%)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12/81 (14.8%)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26/103 (25.2%) </w:t>
      </w:r>
      <w:r w:rsidRPr="00CD1E16">
        <w:rPr>
          <w:rFonts w:ascii="Aptos" w:eastAsia="Aptos" w:hAnsi="Aptos" w:cs="Aptos"/>
          <w:color w:val="000000" w:themeColor="text1"/>
        </w:rPr>
        <w:tab/>
        <w:t>0.10</w:t>
      </w:r>
    </w:p>
    <w:p w14:paraId="6D6E00B7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Minor transient VTE risk factors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51/184 (27.7%)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18/81 (22.2%)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33/103 (32.0%) </w:t>
      </w:r>
      <w:r w:rsidRPr="00CD1E16">
        <w:rPr>
          <w:rFonts w:ascii="Aptos" w:eastAsia="Aptos" w:hAnsi="Aptos" w:cs="Aptos"/>
          <w:color w:val="000000" w:themeColor="text1"/>
        </w:rPr>
        <w:tab/>
        <w:t>0.184</w:t>
      </w:r>
    </w:p>
    <w:p w14:paraId="301E57DB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Permanent VTE risk factors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11/184 (6.0%) </w:t>
      </w:r>
      <w:r w:rsidRPr="00CD1E16">
        <w:rPr>
          <w:rFonts w:ascii="Aptos" w:eastAsia="Aptos" w:hAnsi="Aptos" w:cs="Aptos"/>
          <w:color w:val="000000" w:themeColor="text1"/>
        </w:rPr>
        <w:tab/>
        <w:t>4/81 (4.9%)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7/103 (6.8%) </w:t>
      </w:r>
      <w:r w:rsidRPr="00CD1E16">
        <w:rPr>
          <w:rFonts w:ascii="Aptos" w:eastAsia="Aptos" w:hAnsi="Aptos" w:cs="Aptos"/>
          <w:color w:val="000000" w:themeColor="text1"/>
        </w:rPr>
        <w:tab/>
        <w:t>0.758</w:t>
      </w:r>
    </w:p>
    <w:p w14:paraId="171D2B47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Unprovoked VTE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75/184 (40.8%)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45/81 (55.6%)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30/103 (29.1%)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5511F78B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Presentation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2D52648B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In-hospital onset*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49/185 (26.5%)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14/81 (17.3%)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35/104 (33.7%) </w:t>
      </w:r>
      <w:r w:rsidRPr="00CD1E16">
        <w:rPr>
          <w:rFonts w:ascii="Aptos" w:eastAsia="Aptos" w:hAnsi="Aptos" w:cs="Aptos"/>
          <w:color w:val="000000" w:themeColor="text1"/>
        </w:rPr>
        <w:tab/>
        <w:t>0.012</w:t>
      </w:r>
    </w:p>
    <w:p w14:paraId="4CE7E231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Cardiac arrest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33/185 (17.8%)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10/81 (12.3%)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23/104 (22.1%) </w:t>
      </w:r>
      <w:r w:rsidRPr="00CD1E16">
        <w:rPr>
          <w:rFonts w:ascii="Aptos" w:eastAsia="Aptos" w:hAnsi="Aptos" w:cs="Aptos"/>
          <w:color w:val="000000" w:themeColor="text1"/>
        </w:rPr>
        <w:tab/>
        <w:t>0.085</w:t>
      </w:r>
    </w:p>
    <w:p w14:paraId="76DD4664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Cardiac arrest on arrival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13/185 (7.0%)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4/81 (4.9%)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9/104 (8.7%) </w:t>
      </w:r>
      <w:r w:rsidRPr="00CD1E16">
        <w:rPr>
          <w:rFonts w:ascii="Aptos" w:eastAsia="Aptos" w:hAnsi="Aptos" w:cs="Aptos"/>
          <w:color w:val="000000" w:themeColor="text1"/>
        </w:rPr>
        <w:tab/>
        <w:t>0.327</w:t>
      </w:r>
    </w:p>
    <w:p w14:paraId="21E26D4E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Concomitant DVT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130/175 (74.3%)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59/78 (75.6%)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71/97 (73.2%) </w:t>
      </w:r>
      <w:r w:rsidRPr="00CD1E16">
        <w:rPr>
          <w:rFonts w:ascii="Aptos" w:eastAsia="Aptos" w:hAnsi="Aptos" w:cs="Aptos"/>
          <w:color w:val="000000" w:themeColor="text1"/>
        </w:rPr>
        <w:tab/>
        <w:t>0.732</w:t>
      </w:r>
    </w:p>
    <w:p w14:paraId="0688104C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Treatment in the acute phase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2CE5E79C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Heparin bolus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128/183 (69.9%)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50/81 (61.7%)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78/102 (76.5%) </w:t>
      </w:r>
      <w:r w:rsidRPr="00CD1E16">
        <w:rPr>
          <w:rFonts w:ascii="Aptos" w:eastAsia="Aptos" w:hAnsi="Aptos" w:cs="Aptos"/>
          <w:color w:val="000000" w:themeColor="text1"/>
        </w:rPr>
        <w:tab/>
        <w:t>0.036</w:t>
      </w:r>
    </w:p>
    <w:p w14:paraId="0AF327C3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Initial parental anticoagulation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167/170 (98.2%)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68/68 (100%)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99/102 (97.1%) </w:t>
      </w:r>
      <w:r w:rsidRPr="00CD1E16">
        <w:rPr>
          <w:rFonts w:ascii="Aptos" w:eastAsia="Aptos" w:hAnsi="Aptos" w:cs="Aptos"/>
          <w:color w:val="000000" w:themeColor="text1"/>
        </w:rPr>
        <w:tab/>
        <w:t>0.276</w:t>
      </w:r>
    </w:p>
    <w:p w14:paraId="2D492062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Systemic thrombolysis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51/185 (27.6%) </w:t>
      </w:r>
      <w:r w:rsidRPr="00CD1E16">
        <w:rPr>
          <w:rFonts w:ascii="Aptos" w:eastAsia="Aptos" w:hAnsi="Aptos" w:cs="Aptos"/>
          <w:color w:val="000000" w:themeColor="text1"/>
        </w:rPr>
        <w:tab/>
        <w:t>51/81 (62.9%)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696C2072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Catheter-based therapy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6/185 (3.2%)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6/81 (7.4%) 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7425B53D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Surgical embolectomy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24/185 (13.0%)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24/81 (29.6%) 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65A6E0B7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Systemic urokinase infusion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6/185 (3.2%) </w:t>
      </w:r>
      <w:r w:rsidRPr="00CD1E16">
        <w:rPr>
          <w:rFonts w:ascii="Aptos" w:eastAsia="Aptos" w:hAnsi="Aptos" w:cs="Aptos"/>
          <w:color w:val="000000" w:themeColor="text1"/>
        </w:rPr>
        <w:tab/>
        <w:t>6/81 (7.4%)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4E07BA8D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Venoarterial ECMO </w:t>
      </w:r>
      <w:proofErr w:type="gramStart"/>
      <w:r w:rsidRPr="00CD1E16">
        <w:rPr>
          <w:rFonts w:ascii="Aptos" w:eastAsia="Aptos" w:hAnsi="Aptos" w:cs="Aptos"/>
          <w:color w:val="000000" w:themeColor="text1"/>
        </w:rPr>
        <w:t>use</w:t>
      </w:r>
      <w:r w:rsidRPr="00CD1E16">
        <w:rPr>
          <w:rFonts w:ascii="Aptos" w:eastAsia="Aptos" w:hAnsi="Aptos" w:cs="Aptos"/>
          <w:color w:val="000000" w:themeColor="text1"/>
        </w:rPr>
        <w:tab/>
      </w:r>
      <w:proofErr w:type="gramEnd"/>
      <w:r w:rsidRPr="00CD1E16">
        <w:rPr>
          <w:rFonts w:ascii="Aptos" w:eastAsia="Aptos" w:hAnsi="Aptos" w:cs="Aptos"/>
          <w:color w:val="000000" w:themeColor="text1"/>
        </w:rPr>
        <w:tab/>
        <w:t xml:space="preserve">55/185 (29.7%) </w:t>
      </w:r>
      <w:r w:rsidRPr="00CD1E16">
        <w:rPr>
          <w:rFonts w:ascii="Aptos" w:eastAsia="Aptos" w:hAnsi="Aptos" w:cs="Aptos"/>
          <w:color w:val="000000" w:themeColor="text1"/>
        </w:rPr>
        <w:tab/>
        <w:t>29/81 (35.8%)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26/104 (25.0%) </w:t>
      </w:r>
      <w:r w:rsidRPr="00CD1E16">
        <w:rPr>
          <w:rFonts w:ascii="Aptos" w:eastAsia="Aptos" w:hAnsi="Aptos" w:cs="Aptos"/>
          <w:color w:val="000000" w:themeColor="text1"/>
        </w:rPr>
        <w:tab/>
        <w:t>0.111</w:t>
      </w:r>
    </w:p>
    <w:p w14:paraId="198C868C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Ventilator support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86/185 (46.5%)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42/81 (51.9%)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44/104 (42.3%) </w:t>
      </w:r>
      <w:r w:rsidRPr="00CD1E16">
        <w:rPr>
          <w:rFonts w:ascii="Aptos" w:eastAsia="Aptos" w:hAnsi="Aptos" w:cs="Aptos"/>
          <w:color w:val="000000" w:themeColor="text1"/>
        </w:rPr>
        <w:tab/>
        <w:t>0.197</w:t>
      </w:r>
    </w:p>
    <w:p w14:paraId="3F125BBC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CRRT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8/185 (9.4%)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4/81 (4.9%)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4/104 (3.8%) </w:t>
      </w:r>
      <w:r w:rsidRPr="00CD1E16">
        <w:rPr>
          <w:rFonts w:ascii="Aptos" w:eastAsia="Aptos" w:hAnsi="Aptos" w:cs="Aptos"/>
          <w:color w:val="000000" w:themeColor="text1"/>
        </w:rPr>
        <w:tab/>
        <w:t>0.717</w:t>
      </w:r>
    </w:p>
    <w:p w14:paraId="3E5621F3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TTM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25/185 (13.5%)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11/81 (13.6%)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14/104 (13.5%) </w:t>
      </w:r>
      <w:r w:rsidRPr="00CD1E16">
        <w:rPr>
          <w:rFonts w:ascii="Aptos" w:eastAsia="Aptos" w:hAnsi="Aptos" w:cs="Aptos"/>
          <w:color w:val="000000" w:themeColor="text1"/>
        </w:rPr>
        <w:tab/>
        <w:t>0.981</w:t>
      </w:r>
    </w:p>
    <w:p w14:paraId="09613B47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Inferior vena cava filter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12/183 (6.6%)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9/81 (11.1%)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3/102 (2.9%) </w:t>
      </w:r>
      <w:r w:rsidRPr="00CD1E16">
        <w:rPr>
          <w:rFonts w:ascii="Aptos" w:eastAsia="Aptos" w:hAnsi="Aptos" w:cs="Aptos"/>
          <w:color w:val="000000" w:themeColor="text1"/>
        </w:rPr>
        <w:tab/>
        <w:t>0.035</w:t>
      </w:r>
    </w:p>
    <w:p w14:paraId="722BB7A8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Oral anticoagulation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154/158 (97.5%)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72/73 (98.6%)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82/85 (96.5%) </w:t>
      </w:r>
      <w:r w:rsidRPr="00CD1E16">
        <w:rPr>
          <w:rFonts w:ascii="Aptos" w:eastAsia="Aptos" w:hAnsi="Aptos" w:cs="Aptos"/>
          <w:color w:val="000000" w:themeColor="text1"/>
        </w:rPr>
        <w:tab/>
        <w:t>0.625</w:t>
      </w:r>
    </w:p>
    <w:p w14:paraId="12318FF6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Direct oral anticoagulant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143/147 (97.3%)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68/69 (98.6%)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75/78 (96.2%) </w:t>
      </w:r>
      <w:r w:rsidRPr="00CD1E16">
        <w:rPr>
          <w:rFonts w:ascii="Aptos" w:eastAsia="Aptos" w:hAnsi="Aptos" w:cs="Aptos"/>
          <w:color w:val="000000" w:themeColor="text1"/>
        </w:rPr>
        <w:tab/>
        <w:t>0.623</w:t>
      </w:r>
    </w:p>
    <w:p w14:paraId="126C8173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Warfarin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23/153 (15.0%)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11/73 (13.6%)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12/80 (12.4%)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67AECB47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In-hospital outcomes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37B94CF8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All-cause death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27/185 (14.6%)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7/81 (8.6%)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20/104 (19.2%) </w:t>
      </w:r>
      <w:r w:rsidRPr="00CD1E16">
        <w:rPr>
          <w:rFonts w:ascii="Aptos" w:eastAsia="Aptos" w:hAnsi="Aptos" w:cs="Aptos"/>
          <w:color w:val="000000" w:themeColor="text1"/>
        </w:rPr>
        <w:tab/>
        <w:t>0.043</w:t>
      </w:r>
    </w:p>
    <w:p w14:paraId="5ACA8854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PE-related death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23/185 (12.4%)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6/81 (7.4%)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17/104 (16.3%) </w:t>
      </w:r>
      <w:r w:rsidRPr="00CD1E16">
        <w:rPr>
          <w:rFonts w:ascii="Aptos" w:eastAsia="Aptos" w:hAnsi="Aptos" w:cs="Aptos"/>
          <w:color w:val="000000" w:themeColor="text1"/>
        </w:rPr>
        <w:tab/>
        <w:t>0.068</w:t>
      </w:r>
    </w:p>
    <w:p w14:paraId="26DCEE3C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Deterioration or recurrence</w:t>
      </w:r>
      <w:r w:rsidRPr="00CD1E16">
        <w:rPr>
          <w:rFonts w:ascii="Aptos" w:eastAsia="Aptos" w:hAnsi="Aptos" w:cs="Aptos"/>
          <w:color w:val="000000" w:themeColor="text1"/>
        </w:rPr>
        <w:tab/>
        <w:t>12/183 (6.6%)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3/81 (3.7%)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9/102 (8.8%) </w:t>
      </w:r>
      <w:r w:rsidRPr="00CD1E16">
        <w:rPr>
          <w:rFonts w:ascii="Aptos" w:eastAsia="Aptos" w:hAnsi="Aptos" w:cs="Aptos"/>
          <w:color w:val="000000" w:themeColor="text1"/>
        </w:rPr>
        <w:tab/>
        <w:t>0.232</w:t>
      </w:r>
    </w:p>
    <w:p w14:paraId="04AC46F9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Major bleeding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22/185 (11.9%)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10/81 (12.3%)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12/104 (11.5%) </w:t>
      </w:r>
      <w:r w:rsidRPr="00CD1E16">
        <w:rPr>
          <w:rFonts w:ascii="Aptos" w:eastAsia="Aptos" w:hAnsi="Aptos" w:cs="Aptos"/>
          <w:color w:val="000000" w:themeColor="text1"/>
        </w:rPr>
        <w:tab/>
        <w:t>0.866</w:t>
      </w:r>
    </w:p>
    <w:p w14:paraId="602B6365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  Intracranial hemorrhage</w:t>
      </w:r>
      <w:r w:rsidRPr="00CD1E16">
        <w:rPr>
          <w:rFonts w:ascii="Aptos" w:eastAsia="Aptos" w:hAnsi="Aptos" w:cs="Aptos"/>
          <w:color w:val="000000" w:themeColor="text1"/>
        </w:rPr>
        <w:tab/>
        <w:t>4/185 (2.2%)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3/81 (3.7%)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1/104 (1.0%) </w:t>
      </w:r>
      <w:r w:rsidRPr="00CD1E16">
        <w:rPr>
          <w:rFonts w:ascii="Aptos" w:eastAsia="Aptos" w:hAnsi="Aptos" w:cs="Aptos"/>
          <w:color w:val="000000" w:themeColor="text1"/>
        </w:rPr>
        <w:tab/>
        <w:t>0203</w:t>
      </w:r>
    </w:p>
    <w:p w14:paraId="7B910895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  Gastrointestinal bleeding</w:t>
      </w:r>
      <w:r w:rsidRPr="00CD1E16">
        <w:rPr>
          <w:rFonts w:ascii="Aptos" w:eastAsia="Aptos" w:hAnsi="Aptos" w:cs="Aptos"/>
          <w:color w:val="000000" w:themeColor="text1"/>
        </w:rPr>
        <w:tab/>
        <w:t>4/185 (2.2%)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1/81 (1.2%)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3/104 (2.9%) </w:t>
      </w:r>
      <w:r w:rsidRPr="00CD1E16">
        <w:rPr>
          <w:rFonts w:ascii="Aptos" w:eastAsia="Aptos" w:hAnsi="Aptos" w:cs="Aptos"/>
          <w:color w:val="000000" w:themeColor="text1"/>
        </w:rPr>
        <w:tab/>
        <w:t>0.444</w:t>
      </w:r>
    </w:p>
    <w:p w14:paraId="060335BE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  Procedure-site bleeding</w:t>
      </w:r>
      <w:r w:rsidRPr="00CD1E16">
        <w:rPr>
          <w:rFonts w:ascii="Aptos" w:eastAsia="Aptos" w:hAnsi="Aptos" w:cs="Aptos"/>
          <w:color w:val="000000" w:themeColor="text1"/>
        </w:rPr>
        <w:tab/>
        <w:t>8/185 (4.3%)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4/81 (4.9%)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4/104 (3.8%) </w:t>
      </w:r>
      <w:r w:rsidRPr="00CD1E16">
        <w:rPr>
          <w:rFonts w:ascii="Aptos" w:eastAsia="Aptos" w:hAnsi="Aptos" w:cs="Aptos"/>
          <w:color w:val="000000" w:themeColor="text1"/>
        </w:rPr>
        <w:tab/>
        <w:t>0.717</w:t>
      </w:r>
    </w:p>
    <w:p w14:paraId="44316602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</w:p>
    <w:p w14:paraId="3623261B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bookmarkStart w:id="0" w:name="_Hlk213535073"/>
      <w:r w:rsidRPr="00CD1E16">
        <w:rPr>
          <w:rFonts w:ascii="Aptos" w:eastAsia="Aptos" w:hAnsi="Aptos" w:cs="Aptos"/>
          <w:color w:val="000000" w:themeColor="text1"/>
        </w:rPr>
        <w:t>Values are presented as median [interquartile range (IQR)], or number of patients (%).</w:t>
      </w:r>
    </w:p>
    <w:p w14:paraId="7D79A94E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* In-hospital onset including healthcare facility onset</w:t>
      </w:r>
    </w:p>
    <w:p w14:paraId="3F610AD3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i/>
          <w:color w:val="000000" w:themeColor="text1"/>
        </w:rPr>
        <w:t>BMI</w:t>
      </w:r>
      <w:r w:rsidRPr="00CD1E16">
        <w:rPr>
          <w:rFonts w:ascii="Aptos" w:eastAsia="Aptos" w:hAnsi="Aptos" w:cs="Aptos"/>
          <w:color w:val="000000" w:themeColor="text1"/>
        </w:rPr>
        <w:t xml:space="preserve">, body mass index; </w:t>
      </w:r>
      <w:r w:rsidRPr="00CD1E16">
        <w:rPr>
          <w:rFonts w:ascii="Aptos" w:eastAsia="Aptos" w:hAnsi="Aptos" w:cs="Aptos"/>
          <w:i/>
          <w:color w:val="000000" w:themeColor="text1"/>
        </w:rPr>
        <w:t>HF</w:t>
      </w:r>
      <w:r w:rsidRPr="00CD1E16">
        <w:rPr>
          <w:rFonts w:ascii="Aptos" w:eastAsia="Aptos" w:hAnsi="Aptos" w:cs="Aptos"/>
          <w:color w:val="000000" w:themeColor="text1"/>
        </w:rPr>
        <w:t xml:space="preserve">, heart failure; </w:t>
      </w:r>
      <w:r w:rsidRPr="00CD1E16">
        <w:rPr>
          <w:rFonts w:ascii="Aptos" w:eastAsia="Aptos" w:hAnsi="Aptos" w:cs="Aptos"/>
          <w:i/>
          <w:color w:val="000000" w:themeColor="text1"/>
        </w:rPr>
        <w:t>VTE</w:t>
      </w:r>
      <w:r w:rsidRPr="00CD1E16">
        <w:rPr>
          <w:rFonts w:ascii="Aptos" w:eastAsia="Aptos" w:hAnsi="Aptos" w:cs="Aptos"/>
          <w:color w:val="000000" w:themeColor="text1"/>
        </w:rPr>
        <w:t xml:space="preserve">, venous thromboembolism; </w:t>
      </w:r>
      <w:r w:rsidRPr="00CD1E16">
        <w:rPr>
          <w:rFonts w:ascii="Aptos" w:eastAsia="Aptos" w:hAnsi="Aptos" w:cs="Aptos"/>
          <w:i/>
          <w:color w:val="000000" w:themeColor="text1"/>
        </w:rPr>
        <w:t>DVT</w:t>
      </w:r>
      <w:r w:rsidRPr="00CD1E16">
        <w:rPr>
          <w:rFonts w:ascii="Aptos" w:eastAsia="Aptos" w:hAnsi="Aptos" w:cs="Aptos"/>
          <w:color w:val="000000" w:themeColor="text1"/>
        </w:rPr>
        <w:t xml:space="preserve">, deep vein thrombosis; </w:t>
      </w:r>
      <w:r w:rsidRPr="00CD1E16">
        <w:rPr>
          <w:rFonts w:ascii="Aptos" w:eastAsia="Aptos" w:hAnsi="Aptos" w:cs="Aptos"/>
          <w:i/>
          <w:color w:val="000000" w:themeColor="text1"/>
        </w:rPr>
        <w:t>ECMO</w:t>
      </w:r>
      <w:r w:rsidRPr="00CD1E16">
        <w:rPr>
          <w:rFonts w:ascii="Aptos" w:eastAsia="Aptos" w:hAnsi="Aptos" w:cs="Aptos"/>
          <w:color w:val="000000" w:themeColor="text1"/>
        </w:rPr>
        <w:t xml:space="preserve">, extracorporeal membrane oxygenation; </w:t>
      </w:r>
      <w:r w:rsidRPr="00CD1E16">
        <w:rPr>
          <w:rFonts w:ascii="Aptos" w:eastAsia="Aptos" w:hAnsi="Aptos" w:cs="Aptos"/>
          <w:i/>
          <w:color w:val="000000" w:themeColor="text1"/>
        </w:rPr>
        <w:t>CRRT</w:t>
      </w:r>
      <w:r w:rsidRPr="00CD1E16">
        <w:rPr>
          <w:rFonts w:ascii="Aptos" w:eastAsia="Aptos" w:hAnsi="Aptos" w:cs="Aptos"/>
          <w:color w:val="000000" w:themeColor="text1"/>
        </w:rPr>
        <w:t xml:space="preserve">, continuous renal replacement therapy; </w:t>
      </w:r>
      <w:r w:rsidRPr="00CD1E16">
        <w:rPr>
          <w:rFonts w:ascii="Aptos" w:eastAsia="Aptos" w:hAnsi="Aptos" w:cs="Aptos"/>
          <w:i/>
          <w:color w:val="000000" w:themeColor="text1"/>
        </w:rPr>
        <w:t>TTM</w:t>
      </w:r>
      <w:r w:rsidRPr="00CD1E16">
        <w:rPr>
          <w:rFonts w:ascii="Aptos" w:eastAsia="Aptos" w:hAnsi="Aptos" w:cs="Aptos"/>
          <w:color w:val="000000" w:themeColor="text1"/>
        </w:rPr>
        <w:t>, target temperature management</w:t>
      </w:r>
    </w:p>
    <w:bookmarkEnd w:id="0"/>
    <w:p w14:paraId="08E9134D" w14:textId="77777777" w:rsidR="00E13D26" w:rsidRPr="00CD1E16" w:rsidRDefault="00E13D26" w:rsidP="00E13D26">
      <w:pPr>
        <w:rPr>
          <w:rFonts w:ascii="Aptos" w:eastAsia="Aptos" w:hAnsi="Aptos" w:cs="Aptos"/>
          <w:b/>
          <w:color w:val="000000" w:themeColor="text1"/>
        </w:rPr>
        <w:sectPr w:rsidR="00E13D26" w:rsidRPr="00CD1E16" w:rsidSect="00E13D26">
          <w:pgSz w:w="11907" w:h="16840"/>
          <w:pgMar w:top="851" w:right="851" w:bottom="851" w:left="851" w:header="851" w:footer="992" w:gutter="0"/>
          <w:cols w:space="425"/>
        </w:sectPr>
      </w:pPr>
    </w:p>
    <w:p w14:paraId="709631DC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b/>
          <w:color w:val="000000" w:themeColor="text1"/>
        </w:rPr>
        <w:lastRenderedPageBreak/>
        <w:t>Table 2</w:t>
      </w:r>
      <w:r w:rsidRPr="00CD1E16">
        <w:rPr>
          <w:rFonts w:ascii="Aptos" w:eastAsia="Aptos" w:hAnsi="Aptos" w:cs="Aptos"/>
          <w:color w:val="000000" w:themeColor="text1"/>
        </w:rPr>
        <w:t xml:space="preserve"> Reperfusion modalities and in-hospital outcomes</w:t>
      </w:r>
    </w:p>
    <w:p w14:paraId="4D03AA4D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</w:p>
    <w:p w14:paraId="20A91CAC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(Any reperfusion)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Surgical embolectomy</w:t>
      </w:r>
      <w:r w:rsidRPr="00CD1E16">
        <w:rPr>
          <w:rFonts w:ascii="Aptos" w:eastAsia="Aptos" w:hAnsi="Aptos" w:cs="Aptos"/>
          <w:color w:val="000000" w:themeColor="text1"/>
        </w:rPr>
        <w:tab/>
        <w:t>Catheter-based therapy</w:t>
      </w:r>
      <w:r w:rsidRPr="00CD1E16">
        <w:rPr>
          <w:rFonts w:ascii="Aptos" w:eastAsia="Aptos" w:hAnsi="Aptos" w:cs="Aptos"/>
          <w:color w:val="000000" w:themeColor="text1"/>
        </w:rPr>
        <w:tab/>
        <w:t>Thrombolysis</w:t>
      </w:r>
      <w:r w:rsidRPr="00CD1E16">
        <w:rPr>
          <w:rFonts w:ascii="Aptos" w:eastAsia="Aptos" w:hAnsi="Aptos" w:cs="Aptos"/>
          <w:color w:val="000000" w:themeColor="text1"/>
        </w:rPr>
        <w:tab/>
        <w:t>P value</w:t>
      </w:r>
    </w:p>
    <w:p w14:paraId="12BDBE04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Number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81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24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6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51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142F5687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All-cause death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7 (8.6%)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4 (16.7%)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1 (16.7%)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2 (3.9%)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0.076</w:t>
      </w:r>
    </w:p>
    <w:p w14:paraId="77173FEC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PE-related death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6 (7.4%)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4 (16.7%)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1 (16.7%)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1 (2.0%)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0.027</w:t>
      </w:r>
    </w:p>
    <w:p w14:paraId="51FC3A7E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Deterioration or recurrence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3 (3.7%)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1 (16.7%)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2 (3.9%)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0.232</w:t>
      </w:r>
    </w:p>
    <w:p w14:paraId="545CD40E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Major bleeding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10 (12.3%)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4 (16.7%)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2 (33.3%)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4 (7.8%)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0.107</w:t>
      </w:r>
    </w:p>
    <w:p w14:paraId="08400697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Intracranial bleeding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3 (3.7%)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3 (5.9%)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0.641</w:t>
      </w:r>
    </w:p>
    <w:p w14:paraId="1B4978BE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Procedure-site bleeding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4 (4.9%)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2 (8.3%)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2 (33.3%)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0.003</w:t>
      </w:r>
    </w:p>
    <w:p w14:paraId="6CA9D91A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  <w:sectPr w:rsidR="00E13D26" w:rsidRPr="00CD1E16" w:rsidSect="00E13D26">
          <w:pgSz w:w="16840" w:h="11907" w:orient="landscape"/>
          <w:pgMar w:top="1134" w:right="851" w:bottom="1134" w:left="851" w:header="851" w:footer="992" w:gutter="0"/>
          <w:cols w:space="425"/>
        </w:sectPr>
      </w:pPr>
      <w:r w:rsidRPr="00CD1E16">
        <w:rPr>
          <w:rFonts w:ascii="Aptos" w:eastAsia="Aptos" w:hAnsi="Aptos" w:cs="Aptos"/>
          <w:color w:val="000000" w:themeColor="text1"/>
        </w:rPr>
        <w:t>Gastrointestinal bleeding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1 (1.2%)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1 (16.7%)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0.074</w:t>
      </w:r>
    </w:p>
    <w:p w14:paraId="4AFAB09B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b/>
          <w:color w:val="000000" w:themeColor="text1"/>
        </w:rPr>
        <w:lastRenderedPageBreak/>
        <w:t>Table 3</w:t>
      </w:r>
      <w:r w:rsidRPr="00CD1E16">
        <w:rPr>
          <w:rFonts w:ascii="Aptos" w:eastAsia="Aptos" w:hAnsi="Aptos" w:cs="Aptos"/>
          <w:color w:val="000000" w:themeColor="text1"/>
        </w:rPr>
        <w:t xml:space="preserve"> Multivariable logistic regression analysis identifying independent risk factors for in-hospital mortality</w:t>
      </w:r>
    </w:p>
    <w:p w14:paraId="0E561562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</w:p>
    <w:p w14:paraId="177F19BC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Variables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Coefficient</w:t>
      </w:r>
      <w:r w:rsidRPr="00CD1E16">
        <w:rPr>
          <w:rFonts w:ascii="Aptos" w:eastAsia="Aptos" w:hAnsi="Aptos" w:cs="Aptos"/>
          <w:color w:val="000000" w:themeColor="text1"/>
        </w:rPr>
        <w:tab/>
        <w:t>Odds ratio (95%CI)</w:t>
      </w:r>
      <w:r w:rsidRPr="00CD1E16">
        <w:rPr>
          <w:rFonts w:ascii="Aptos" w:eastAsia="Aptos" w:hAnsi="Aptos" w:cs="Aptos"/>
          <w:color w:val="000000" w:themeColor="text1"/>
        </w:rPr>
        <w:tab/>
        <w:t>P value</w:t>
      </w:r>
    </w:p>
    <w:p w14:paraId="020AFF91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Age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0.010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1.010 (0.977-1.043)</w:t>
      </w:r>
      <w:r w:rsidRPr="00CD1E16">
        <w:rPr>
          <w:rFonts w:ascii="Aptos" w:eastAsia="Aptos" w:hAnsi="Aptos" w:cs="Aptos"/>
          <w:color w:val="000000" w:themeColor="text1"/>
        </w:rPr>
        <w:tab/>
        <w:t>0.568</w:t>
      </w:r>
    </w:p>
    <w:p w14:paraId="7AFB0EFA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Men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0.827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2.286 (0.884-5.916)</w:t>
      </w:r>
      <w:r w:rsidRPr="00CD1E16">
        <w:rPr>
          <w:rFonts w:ascii="Aptos" w:eastAsia="Aptos" w:hAnsi="Aptos" w:cs="Aptos"/>
          <w:color w:val="000000" w:themeColor="text1"/>
        </w:rPr>
        <w:tab/>
        <w:t>0.088</w:t>
      </w:r>
    </w:p>
    <w:p w14:paraId="0C7A7A99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Cardiac arrest</w:t>
      </w:r>
      <w:r w:rsidRPr="00CD1E16">
        <w:rPr>
          <w:rFonts w:ascii="Aptos" w:eastAsia="Aptos" w:hAnsi="Aptos" w:cs="Aptos"/>
          <w:color w:val="000000" w:themeColor="text1"/>
        </w:rPr>
        <w:tab/>
        <w:t>1.315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3.725 (1.327-10.456)</w:t>
      </w:r>
      <w:r w:rsidRPr="00CD1E16">
        <w:rPr>
          <w:rFonts w:ascii="Aptos" w:eastAsia="Aptos" w:hAnsi="Aptos" w:cs="Aptos"/>
          <w:color w:val="000000" w:themeColor="text1"/>
        </w:rPr>
        <w:tab/>
        <w:t>0.012</w:t>
      </w:r>
    </w:p>
    <w:p w14:paraId="51BDE7AB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VA-ECMO</w:t>
      </w:r>
      <w:r w:rsidRPr="00CD1E16">
        <w:rPr>
          <w:rFonts w:ascii="Aptos" w:eastAsia="Aptos" w:hAnsi="Aptos" w:cs="Aptos"/>
          <w:color w:val="000000" w:themeColor="text1"/>
        </w:rPr>
        <w:tab/>
        <w:t>1.124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3.078 (1.062-8.925)</w:t>
      </w:r>
      <w:r w:rsidRPr="00CD1E16">
        <w:rPr>
          <w:rFonts w:ascii="Aptos" w:eastAsia="Aptos" w:hAnsi="Aptos" w:cs="Aptos"/>
          <w:color w:val="000000" w:themeColor="text1"/>
        </w:rPr>
        <w:tab/>
        <w:t>0.038</w:t>
      </w:r>
    </w:p>
    <w:p w14:paraId="7D6D6BC6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Any reperfusion</w:t>
      </w:r>
      <w:r w:rsidRPr="00CD1E16">
        <w:rPr>
          <w:rFonts w:ascii="Aptos" w:eastAsia="Aptos" w:hAnsi="Aptos" w:cs="Aptos"/>
          <w:color w:val="000000" w:themeColor="text1"/>
        </w:rPr>
        <w:tab/>
        <w:t>-1.071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0.343 (0.124-0.947)</w:t>
      </w:r>
      <w:r w:rsidRPr="00CD1E16">
        <w:rPr>
          <w:rFonts w:ascii="Aptos" w:eastAsia="Aptos" w:hAnsi="Aptos" w:cs="Aptos"/>
          <w:color w:val="000000" w:themeColor="text1"/>
        </w:rPr>
        <w:tab/>
        <w:t>0.039</w:t>
      </w:r>
    </w:p>
    <w:p w14:paraId="69CC9745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</w:p>
    <w:p w14:paraId="68D41425" w14:textId="77777777" w:rsidR="00E13D26" w:rsidRPr="00CD1E16" w:rsidRDefault="00E13D26" w:rsidP="00E13D26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i/>
          <w:color w:val="000000" w:themeColor="text1"/>
        </w:rPr>
        <w:t>VA-ECMO</w:t>
      </w:r>
      <w:r w:rsidRPr="00CD1E16">
        <w:rPr>
          <w:rFonts w:ascii="Aptos" w:eastAsia="Aptos" w:hAnsi="Aptos" w:cs="Aptos"/>
          <w:color w:val="000000" w:themeColor="text1"/>
        </w:rPr>
        <w:t>, venoarterial extracorporeal membrane oxygenation</w:t>
      </w:r>
    </w:p>
    <w:p w14:paraId="12879FE9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26"/>
    <w:rsid w:val="00264C10"/>
    <w:rsid w:val="00470242"/>
    <w:rsid w:val="00726E03"/>
    <w:rsid w:val="009542D6"/>
    <w:rsid w:val="00B018C6"/>
    <w:rsid w:val="00E1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C0E38"/>
  <w15:chartTrackingRefBased/>
  <w15:docId w15:val="{FDC8C230-702F-4FCE-A944-225EA3FF7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D26"/>
    <w:pPr>
      <w:widowControl w:val="0"/>
      <w:spacing w:after="0" w:line="240" w:lineRule="auto"/>
      <w:jc w:val="both"/>
    </w:pPr>
    <w:rPr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3D2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3D2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3D2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3D2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3D2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3D2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3D2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3D2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3D2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3D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3D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3D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3D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3D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3D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3D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3D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3D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3D2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3D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3D2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3D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3D26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3D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3D26"/>
    <w:pPr>
      <w:widowControl/>
      <w:spacing w:after="160" w:line="278" w:lineRule="auto"/>
      <w:ind w:left="720"/>
      <w:contextualSpacing/>
      <w:jc w:val="left"/>
    </w:pPr>
    <w:rPr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3D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3D2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3D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3D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671</Words>
  <Characters>4178</Characters>
  <Application>Microsoft Office Word</Application>
  <DocSecurity>0</DocSecurity>
  <Lines>101</Lines>
  <Paragraphs>52</Paragraphs>
  <ScaleCrop>false</ScaleCrop>
  <Company/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2025-12-22T10:32:00Z</dcterms:created>
  <dcterms:modified xsi:type="dcterms:W3CDTF">2025-12-22T10:32:00Z</dcterms:modified>
</cp:coreProperties>
</file>