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8C31BC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b/>
          <w:color w:val="000000" w:themeColor="text1"/>
        </w:rPr>
        <w:t>Supplemental Table 1</w:t>
      </w:r>
      <w:r w:rsidRPr="00CD1E16">
        <w:rPr>
          <w:rFonts w:ascii="Aptos" w:eastAsia="Aptos" w:hAnsi="Aptos" w:cs="Aptos"/>
          <w:color w:val="000000" w:themeColor="text1"/>
        </w:rPr>
        <w:t xml:space="preserve"> Patient characteristics and in-hospital outcomes according to the use of VA-ECMO</w:t>
      </w:r>
    </w:p>
    <w:p w14:paraId="4F5CD95B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</w:p>
    <w:p w14:paraId="380B4CA7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VA-ECMO</w:t>
      </w:r>
      <w:r w:rsidRPr="00CD1E16">
        <w:rPr>
          <w:rFonts w:ascii="Aptos" w:eastAsia="Aptos" w:hAnsi="Aptos" w:cs="Aptos"/>
          <w:color w:val="000000" w:themeColor="text1"/>
        </w:rPr>
        <w:tab/>
        <w:t>No VA-ECMO</w:t>
      </w:r>
      <w:r w:rsidRPr="00CD1E16">
        <w:rPr>
          <w:rFonts w:ascii="Aptos" w:eastAsia="Aptos" w:hAnsi="Aptos" w:cs="Aptos"/>
          <w:color w:val="000000" w:themeColor="text1"/>
        </w:rPr>
        <w:tab/>
        <w:t>P value</w:t>
      </w:r>
    </w:p>
    <w:p w14:paraId="24887F48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>Number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55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130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</w:p>
    <w:p w14:paraId="2387B41E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>Baseline characteristics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</w:p>
    <w:p w14:paraId="281596E7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Age, y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58 (50.5, 67)</w:t>
      </w:r>
      <w:r w:rsidRPr="00CD1E16">
        <w:rPr>
          <w:rFonts w:ascii="Aptos" w:eastAsia="Aptos" w:hAnsi="Aptos" w:cs="Aptos"/>
          <w:color w:val="000000" w:themeColor="text1"/>
        </w:rPr>
        <w:tab/>
        <w:t>70.5 (53, 80)</w:t>
      </w:r>
      <w:r w:rsidRPr="00CD1E16">
        <w:rPr>
          <w:rFonts w:ascii="Aptos" w:eastAsia="Aptos" w:hAnsi="Aptos" w:cs="Aptos"/>
          <w:color w:val="000000" w:themeColor="text1"/>
        </w:rPr>
        <w:tab/>
        <w:t>0.002</w:t>
      </w:r>
    </w:p>
    <w:p w14:paraId="5F4AD1A4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Men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31/55 (56.4%)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48/130 (36.9 </w:t>
      </w:r>
      <w:r w:rsidRPr="00CD1E16">
        <w:rPr>
          <w:rFonts w:ascii="Aptos" w:eastAsia="Aptos" w:hAnsi="Aptos" w:cs="Aptos"/>
          <w:color w:val="000000" w:themeColor="text1"/>
        </w:rPr>
        <w:tab/>
        <w:t>0.015</w:t>
      </w:r>
    </w:p>
    <w:p w14:paraId="5459637C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Body mass index ≥25 kg/m2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24/54 (44.4%)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49/121 (40.5 </w:t>
      </w:r>
      <w:r w:rsidRPr="00CD1E16">
        <w:rPr>
          <w:rFonts w:ascii="Aptos" w:eastAsia="Aptos" w:hAnsi="Aptos" w:cs="Aptos"/>
          <w:color w:val="000000" w:themeColor="text1"/>
        </w:rPr>
        <w:tab/>
        <w:t>0.625</w:t>
      </w:r>
    </w:p>
    <w:p w14:paraId="044A5CE6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>Comorbidities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</w:p>
    <w:p w14:paraId="33DA96A8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Hypertension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16/54 (29.6%)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58/129 (45.0%) </w:t>
      </w:r>
      <w:r w:rsidRPr="00CD1E16">
        <w:rPr>
          <w:rFonts w:ascii="Aptos" w:eastAsia="Aptos" w:hAnsi="Aptos" w:cs="Aptos"/>
          <w:color w:val="000000" w:themeColor="text1"/>
        </w:rPr>
        <w:tab/>
        <w:t>0.069</w:t>
      </w:r>
    </w:p>
    <w:p w14:paraId="63D28039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Diabetes mellitus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8/54 (14.8%)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27/129 (20.9%) </w:t>
      </w:r>
      <w:r w:rsidRPr="00CD1E16">
        <w:rPr>
          <w:rFonts w:ascii="Aptos" w:eastAsia="Aptos" w:hAnsi="Aptos" w:cs="Aptos"/>
          <w:color w:val="000000" w:themeColor="text1"/>
        </w:rPr>
        <w:tab/>
        <w:t>0.413</w:t>
      </w:r>
    </w:p>
    <w:p w14:paraId="1D8DF8B4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Dyslipidemia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7/54 (13.0%)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30/129 (23.3%) </w:t>
      </w:r>
      <w:r w:rsidRPr="00CD1E16">
        <w:rPr>
          <w:rFonts w:ascii="Aptos" w:eastAsia="Aptos" w:hAnsi="Aptos" w:cs="Aptos"/>
          <w:color w:val="000000" w:themeColor="text1"/>
        </w:rPr>
        <w:tab/>
        <w:t>0.157</w:t>
      </w:r>
    </w:p>
    <w:p w14:paraId="6A8ADDBE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Hyperuricemia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2/53 (3.8%)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11/129 (8.5%) </w:t>
      </w:r>
      <w:r w:rsidRPr="00CD1E16">
        <w:rPr>
          <w:rFonts w:ascii="Aptos" w:eastAsia="Aptos" w:hAnsi="Aptos" w:cs="Aptos"/>
          <w:color w:val="000000" w:themeColor="text1"/>
        </w:rPr>
        <w:tab/>
        <w:t>0.351</w:t>
      </w:r>
    </w:p>
    <w:p w14:paraId="6C699F62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Smoking (including past)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9/49 (18.4%)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32/120 (26.6%) </w:t>
      </w:r>
      <w:r w:rsidRPr="00CD1E16">
        <w:rPr>
          <w:rFonts w:ascii="Aptos" w:eastAsia="Aptos" w:hAnsi="Aptos" w:cs="Aptos"/>
          <w:color w:val="000000" w:themeColor="text1"/>
        </w:rPr>
        <w:tab/>
        <w:t>0.324</w:t>
      </w:r>
    </w:p>
    <w:p w14:paraId="2B1458E1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Dialysis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0/54 (0%)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0/129 (0%) </w:t>
      </w:r>
      <w:r w:rsidRPr="00CD1E16">
        <w:rPr>
          <w:rFonts w:ascii="Aptos" w:eastAsia="Aptos" w:hAnsi="Aptos" w:cs="Aptos"/>
          <w:color w:val="000000" w:themeColor="text1"/>
        </w:rPr>
        <w:tab/>
        <w:t>1</w:t>
      </w:r>
    </w:p>
    <w:p w14:paraId="46A28754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Atrial fibrillation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2/54 (3.7%)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5/129 (3.9%) </w:t>
      </w:r>
      <w:r w:rsidRPr="00CD1E16">
        <w:rPr>
          <w:rFonts w:ascii="Aptos" w:eastAsia="Aptos" w:hAnsi="Aptos" w:cs="Aptos"/>
          <w:color w:val="000000" w:themeColor="text1"/>
        </w:rPr>
        <w:tab/>
        <w:t>1</w:t>
      </w:r>
    </w:p>
    <w:p w14:paraId="642E8851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Peripheral arterial disease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0/54 (0%)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1/127 (0.8%) </w:t>
      </w:r>
      <w:r w:rsidRPr="00CD1E16">
        <w:rPr>
          <w:rFonts w:ascii="Aptos" w:eastAsia="Aptos" w:hAnsi="Aptos" w:cs="Aptos"/>
          <w:color w:val="000000" w:themeColor="text1"/>
        </w:rPr>
        <w:tab/>
        <w:t>1</w:t>
      </w:r>
    </w:p>
    <w:p w14:paraId="68306D5B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History of HF hospitalization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1/54 (2.0%)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5/129 (3.9%) </w:t>
      </w:r>
      <w:r w:rsidRPr="00CD1E16">
        <w:rPr>
          <w:rFonts w:ascii="Aptos" w:eastAsia="Aptos" w:hAnsi="Aptos" w:cs="Aptos"/>
          <w:color w:val="000000" w:themeColor="text1"/>
        </w:rPr>
        <w:tab/>
        <w:t>0.672</w:t>
      </w:r>
    </w:p>
    <w:p w14:paraId="24E02569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History of myocardial infarction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0/54 (0%)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0/128 (0%) </w:t>
      </w:r>
      <w:r w:rsidRPr="00CD1E16">
        <w:rPr>
          <w:rFonts w:ascii="Aptos" w:eastAsia="Aptos" w:hAnsi="Aptos" w:cs="Aptos"/>
          <w:color w:val="000000" w:themeColor="text1"/>
        </w:rPr>
        <w:tab/>
        <w:t>1</w:t>
      </w:r>
    </w:p>
    <w:p w14:paraId="4607EF75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History of stroke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1/54 (2.0%)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8/129 (6.2%) </w:t>
      </w:r>
      <w:r w:rsidRPr="00CD1E16">
        <w:rPr>
          <w:rFonts w:ascii="Aptos" w:eastAsia="Aptos" w:hAnsi="Aptos" w:cs="Aptos"/>
          <w:color w:val="000000" w:themeColor="text1"/>
        </w:rPr>
        <w:tab/>
        <w:t>0.285</w:t>
      </w:r>
    </w:p>
    <w:p w14:paraId="397A2BD4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Active cancer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4/55 (7.3%)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12/129 (10.1%) </w:t>
      </w:r>
      <w:r w:rsidRPr="00CD1E16">
        <w:rPr>
          <w:rFonts w:ascii="Aptos" w:eastAsia="Aptos" w:hAnsi="Aptos" w:cs="Aptos"/>
          <w:color w:val="000000" w:themeColor="text1"/>
        </w:rPr>
        <w:tab/>
        <w:t>0.781</w:t>
      </w:r>
    </w:p>
    <w:p w14:paraId="1EF03311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Major transient VTE risk factors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3/55 (5.5%)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35/129 (27.1%) </w:t>
      </w:r>
      <w:r w:rsidRPr="00CD1E16">
        <w:rPr>
          <w:rFonts w:ascii="Aptos" w:eastAsia="Aptos" w:hAnsi="Aptos" w:cs="Aptos"/>
          <w:color w:val="000000" w:themeColor="text1"/>
        </w:rPr>
        <w:tab/>
        <w:t>&lt;0.001</w:t>
      </w:r>
    </w:p>
    <w:p w14:paraId="7FE3DEDA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Minor transient VTE risk factors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15/55 (27.3%)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36/129 (27.9%) </w:t>
      </w:r>
      <w:r w:rsidRPr="00CD1E16">
        <w:rPr>
          <w:rFonts w:ascii="Aptos" w:eastAsia="Aptos" w:hAnsi="Aptos" w:cs="Aptos"/>
          <w:color w:val="000000" w:themeColor="text1"/>
        </w:rPr>
        <w:tab/>
        <w:t>1</w:t>
      </w:r>
    </w:p>
    <w:p w14:paraId="63E93C91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Permanent VTE risk factors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3/55 (5.5%)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8/129 (6.2%) </w:t>
      </w:r>
      <w:r w:rsidRPr="00CD1E16">
        <w:rPr>
          <w:rFonts w:ascii="Aptos" w:eastAsia="Aptos" w:hAnsi="Aptos" w:cs="Aptos"/>
          <w:color w:val="000000" w:themeColor="text1"/>
        </w:rPr>
        <w:tab/>
        <w:t>1</w:t>
      </w:r>
    </w:p>
    <w:p w14:paraId="05C56BC2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Unprovoked VTE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30/55 (54.5%)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45/129 (34.9%) </w:t>
      </w:r>
      <w:r w:rsidRPr="00CD1E16">
        <w:rPr>
          <w:rFonts w:ascii="Aptos" w:eastAsia="Aptos" w:hAnsi="Aptos" w:cs="Aptos"/>
          <w:color w:val="000000" w:themeColor="text1"/>
        </w:rPr>
        <w:tab/>
        <w:t>0.014</w:t>
      </w:r>
    </w:p>
    <w:p w14:paraId="01C3A63B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>Presentation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</w:p>
    <w:p w14:paraId="49CCD41D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In-Hospital onset*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11/55 (20.0%)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38/130 (29.2%) </w:t>
      </w:r>
      <w:r w:rsidRPr="00CD1E16">
        <w:rPr>
          <w:rFonts w:ascii="Aptos" w:eastAsia="Aptos" w:hAnsi="Aptos" w:cs="Aptos"/>
          <w:color w:val="000000" w:themeColor="text1"/>
        </w:rPr>
        <w:tab/>
        <w:t>0.193</w:t>
      </w:r>
    </w:p>
    <w:p w14:paraId="51F23C98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Cardiac arrest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22/55 (40.0%)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11/130 (8.5%) </w:t>
      </w:r>
      <w:r w:rsidRPr="00CD1E16">
        <w:rPr>
          <w:rFonts w:ascii="Aptos" w:eastAsia="Aptos" w:hAnsi="Aptos" w:cs="Aptos"/>
          <w:color w:val="000000" w:themeColor="text1"/>
        </w:rPr>
        <w:tab/>
        <w:t>&lt;0.001</w:t>
      </w:r>
    </w:p>
    <w:p w14:paraId="550B7ED1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Cardiac arrest on arrival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11/55 (20.0%)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2/130 (1.5%) </w:t>
      </w:r>
      <w:r w:rsidRPr="00CD1E16">
        <w:rPr>
          <w:rFonts w:ascii="Aptos" w:eastAsia="Aptos" w:hAnsi="Aptos" w:cs="Aptos"/>
          <w:color w:val="000000" w:themeColor="text1"/>
        </w:rPr>
        <w:tab/>
        <w:t>&lt;0.001</w:t>
      </w:r>
    </w:p>
    <w:p w14:paraId="350CEB79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Concomitant DVT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34/47 (72.3%)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96/128 (75.0%) </w:t>
      </w:r>
      <w:r w:rsidRPr="00CD1E16">
        <w:rPr>
          <w:rFonts w:ascii="Aptos" w:eastAsia="Aptos" w:hAnsi="Aptos" w:cs="Aptos"/>
          <w:color w:val="000000" w:themeColor="text1"/>
        </w:rPr>
        <w:tab/>
        <w:t>0.845</w:t>
      </w:r>
    </w:p>
    <w:p w14:paraId="4BB248BD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>Treatment in the acute phase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</w:p>
    <w:p w14:paraId="119D54F4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Heparin bolus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42/55 (76.4%)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86/128 (67.2%) </w:t>
      </w:r>
      <w:r w:rsidRPr="00CD1E16">
        <w:rPr>
          <w:rFonts w:ascii="Aptos" w:eastAsia="Aptos" w:hAnsi="Aptos" w:cs="Aptos"/>
          <w:color w:val="000000" w:themeColor="text1"/>
        </w:rPr>
        <w:tab/>
        <w:t>0.225</w:t>
      </w:r>
    </w:p>
    <w:p w14:paraId="5BD0C365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Initial parental anticoagulation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54/54 (100%)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113/116 (97.4%) </w:t>
      </w:r>
      <w:r w:rsidRPr="00CD1E16">
        <w:rPr>
          <w:rFonts w:ascii="Aptos" w:eastAsia="Aptos" w:hAnsi="Aptos" w:cs="Aptos"/>
          <w:color w:val="000000" w:themeColor="text1"/>
        </w:rPr>
        <w:tab/>
        <w:t>0.552</w:t>
      </w:r>
    </w:p>
    <w:p w14:paraId="72E4E0B7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Any reperfusion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29/55 (52.7%)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52/130 (40.0%) </w:t>
      </w:r>
      <w:r w:rsidRPr="00CD1E16">
        <w:rPr>
          <w:rFonts w:ascii="Aptos" w:eastAsia="Aptos" w:hAnsi="Aptos" w:cs="Aptos"/>
          <w:color w:val="000000" w:themeColor="text1"/>
        </w:rPr>
        <w:tab/>
        <w:t>0.111</w:t>
      </w:r>
    </w:p>
    <w:p w14:paraId="518DC351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Systemic thrombolysis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10/55 (18.2%)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41/130 (31.5%) </w:t>
      </w:r>
      <w:r w:rsidRPr="00CD1E16">
        <w:rPr>
          <w:rFonts w:ascii="Aptos" w:eastAsia="Aptos" w:hAnsi="Aptos" w:cs="Aptos"/>
          <w:color w:val="000000" w:themeColor="text1"/>
        </w:rPr>
        <w:tab/>
        <w:t>0.073</w:t>
      </w:r>
    </w:p>
    <w:p w14:paraId="468AD790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Catheter-based therapy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3/55 (5.5%)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3/130 (2.3%) </w:t>
      </w:r>
      <w:r w:rsidRPr="00CD1E16">
        <w:rPr>
          <w:rFonts w:ascii="Aptos" w:eastAsia="Aptos" w:hAnsi="Aptos" w:cs="Aptos"/>
          <w:color w:val="000000" w:themeColor="text1"/>
        </w:rPr>
        <w:tab/>
        <w:t>0.364</w:t>
      </w:r>
    </w:p>
    <w:p w14:paraId="577C80AF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Surgical embolectomy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16/55 (29.1%)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8/130 (6.2%) </w:t>
      </w:r>
      <w:r w:rsidRPr="00CD1E16">
        <w:rPr>
          <w:rFonts w:ascii="Aptos" w:eastAsia="Aptos" w:hAnsi="Aptos" w:cs="Aptos"/>
          <w:color w:val="000000" w:themeColor="text1"/>
        </w:rPr>
        <w:tab/>
        <w:t>&lt;0.001</w:t>
      </w:r>
    </w:p>
    <w:p w14:paraId="5E619D74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Systemic urokinase infusion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1/55 (1.8%)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5/130 (3.8%) </w:t>
      </w:r>
      <w:r w:rsidRPr="00CD1E16">
        <w:rPr>
          <w:rFonts w:ascii="Aptos" w:eastAsia="Aptos" w:hAnsi="Aptos" w:cs="Aptos"/>
          <w:color w:val="000000" w:themeColor="text1"/>
        </w:rPr>
        <w:tab/>
        <w:t>0.477</w:t>
      </w:r>
    </w:p>
    <w:p w14:paraId="61E249D9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Ventilator support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51/55 (92.7%)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35/130 (26.9%) </w:t>
      </w:r>
      <w:r w:rsidRPr="00CD1E16">
        <w:rPr>
          <w:rFonts w:ascii="Aptos" w:eastAsia="Aptos" w:hAnsi="Aptos" w:cs="Aptos"/>
          <w:color w:val="000000" w:themeColor="text1"/>
        </w:rPr>
        <w:tab/>
        <w:t>&lt;0.001</w:t>
      </w:r>
    </w:p>
    <w:p w14:paraId="4137FA73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CRRT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5/55 (9.7%)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3/130 (2.3%) </w:t>
      </w:r>
      <w:r w:rsidRPr="00CD1E16">
        <w:rPr>
          <w:rFonts w:ascii="Aptos" w:eastAsia="Aptos" w:hAnsi="Aptos" w:cs="Aptos"/>
          <w:color w:val="000000" w:themeColor="text1"/>
        </w:rPr>
        <w:tab/>
        <w:t>0.038</w:t>
      </w:r>
    </w:p>
    <w:p w14:paraId="1B8FE7D8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TTM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20/55 (36.4%)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5/130 (3.8%) </w:t>
      </w:r>
      <w:r w:rsidRPr="00CD1E16">
        <w:rPr>
          <w:rFonts w:ascii="Aptos" w:eastAsia="Aptos" w:hAnsi="Aptos" w:cs="Aptos"/>
          <w:color w:val="000000" w:themeColor="text1"/>
        </w:rPr>
        <w:tab/>
        <w:t>&lt;0.001</w:t>
      </w:r>
    </w:p>
    <w:p w14:paraId="7ABE09AE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Inferior vena cava filter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6/53 (11.3%)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6/130 (4.6%) </w:t>
      </w:r>
      <w:r w:rsidRPr="00CD1E16">
        <w:rPr>
          <w:rFonts w:ascii="Aptos" w:eastAsia="Aptos" w:hAnsi="Aptos" w:cs="Aptos"/>
          <w:color w:val="000000" w:themeColor="text1"/>
        </w:rPr>
        <w:tab/>
        <w:t>0.109</w:t>
      </w:r>
    </w:p>
    <w:p w14:paraId="67864B99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Oral anticoagulation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37/38 (97.4%)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117/120 (97.5%) </w:t>
      </w:r>
      <w:r w:rsidRPr="00CD1E16">
        <w:rPr>
          <w:rFonts w:ascii="Aptos" w:eastAsia="Aptos" w:hAnsi="Aptos" w:cs="Aptos"/>
          <w:color w:val="000000" w:themeColor="text1"/>
        </w:rPr>
        <w:tab/>
        <w:t>1</w:t>
      </w:r>
    </w:p>
    <w:p w14:paraId="260F224C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Direct oral anticoagulant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35/36 (97.2%)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108/111 (97.3%) </w:t>
      </w:r>
      <w:r w:rsidRPr="00CD1E16">
        <w:rPr>
          <w:rFonts w:ascii="Aptos" w:eastAsia="Aptos" w:hAnsi="Aptos" w:cs="Aptos"/>
          <w:color w:val="000000" w:themeColor="text1"/>
        </w:rPr>
        <w:tab/>
        <w:t>1</w:t>
      </w:r>
    </w:p>
    <w:p w14:paraId="2DA37ECC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Warfarin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8/38 (21.1%) </w:t>
      </w:r>
      <w:r w:rsidRPr="00CD1E16">
        <w:rPr>
          <w:rFonts w:ascii="Aptos" w:eastAsia="Aptos" w:hAnsi="Aptos" w:cs="Aptos"/>
          <w:color w:val="000000" w:themeColor="text1"/>
        </w:rPr>
        <w:tab/>
        <w:t>15/114 (13.2%)</w:t>
      </w:r>
      <w:r w:rsidRPr="00CD1E16">
        <w:rPr>
          <w:rFonts w:ascii="Aptos" w:eastAsia="Aptos" w:hAnsi="Aptos" w:cs="Aptos"/>
          <w:color w:val="000000" w:themeColor="text1"/>
        </w:rPr>
        <w:tab/>
        <w:t>0.295</w:t>
      </w:r>
    </w:p>
    <w:p w14:paraId="744432FF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>In-hospital outcomes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</w:p>
    <w:p w14:paraId="77654723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All-cause death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16/55 (29.1%)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11/130 (8.5%) </w:t>
      </w:r>
      <w:r w:rsidRPr="00CD1E16">
        <w:rPr>
          <w:rFonts w:ascii="Aptos" w:eastAsia="Aptos" w:hAnsi="Aptos" w:cs="Aptos"/>
          <w:color w:val="000000" w:themeColor="text1"/>
        </w:rPr>
        <w:tab/>
        <w:t>&lt;0.001</w:t>
      </w:r>
    </w:p>
    <w:p w14:paraId="0366F624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PE-related death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15/55 (27.3%)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8/130 (6.2%) </w:t>
      </w:r>
      <w:r w:rsidRPr="00CD1E16">
        <w:rPr>
          <w:rFonts w:ascii="Aptos" w:eastAsia="Aptos" w:hAnsi="Aptos" w:cs="Aptos"/>
          <w:color w:val="000000" w:themeColor="text1"/>
        </w:rPr>
        <w:tab/>
        <w:t>&lt;0.001</w:t>
      </w:r>
    </w:p>
    <w:p w14:paraId="1FFD7043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Deterioration or recurrence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6/53 (11.3%)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6/130 (4.6%) </w:t>
      </w:r>
      <w:r w:rsidRPr="00CD1E16">
        <w:rPr>
          <w:rFonts w:ascii="Aptos" w:eastAsia="Aptos" w:hAnsi="Aptos" w:cs="Aptos"/>
          <w:color w:val="000000" w:themeColor="text1"/>
        </w:rPr>
        <w:tab/>
        <w:t>0.109</w:t>
      </w:r>
    </w:p>
    <w:p w14:paraId="58C8821F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Major bleeding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15/55 (27.3%)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7/130 (5.4%) </w:t>
      </w:r>
      <w:r w:rsidRPr="00CD1E16">
        <w:rPr>
          <w:rFonts w:ascii="Aptos" w:eastAsia="Aptos" w:hAnsi="Aptos" w:cs="Aptos"/>
          <w:color w:val="000000" w:themeColor="text1"/>
        </w:rPr>
        <w:tab/>
        <w:t>&lt;0.001</w:t>
      </w:r>
    </w:p>
    <w:p w14:paraId="1F34B98D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  Intracranial hemorrhage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2/55 (3.6%)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2/130 (1.5%) </w:t>
      </w:r>
      <w:r w:rsidRPr="00CD1E16">
        <w:rPr>
          <w:rFonts w:ascii="Aptos" w:eastAsia="Aptos" w:hAnsi="Aptos" w:cs="Aptos"/>
          <w:color w:val="000000" w:themeColor="text1"/>
        </w:rPr>
        <w:tab/>
        <w:t>0.370</w:t>
      </w:r>
    </w:p>
    <w:p w14:paraId="44BF2B57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  Gastrointestinal bleeding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1/55 (1.8%) </w:t>
      </w:r>
      <w:r w:rsidRPr="00CD1E16">
        <w:rPr>
          <w:rFonts w:ascii="Aptos" w:eastAsia="Aptos" w:hAnsi="Aptos" w:cs="Aptos"/>
          <w:color w:val="000000" w:themeColor="text1"/>
        </w:rPr>
        <w:tab/>
        <w:t>3/130 (2.3%)</w:t>
      </w:r>
      <w:r w:rsidRPr="00CD1E16">
        <w:rPr>
          <w:rFonts w:ascii="Aptos" w:eastAsia="Aptos" w:hAnsi="Aptos" w:cs="Aptos"/>
          <w:color w:val="000000" w:themeColor="text1"/>
        </w:rPr>
        <w:tab/>
        <w:t>0.834</w:t>
      </w:r>
    </w:p>
    <w:p w14:paraId="74EE8FA1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  Procedure-site bleeding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8/55 (14.5%) </w:t>
      </w:r>
      <w:r w:rsidRPr="00CD1E16">
        <w:rPr>
          <w:rFonts w:ascii="Aptos" w:eastAsia="Aptos" w:hAnsi="Aptos" w:cs="Aptos"/>
          <w:color w:val="000000" w:themeColor="text1"/>
        </w:rPr>
        <w:tab/>
        <w:t>0/130 (0.0%)</w:t>
      </w:r>
      <w:r w:rsidRPr="00CD1E16">
        <w:rPr>
          <w:rFonts w:ascii="Aptos" w:eastAsia="Aptos" w:hAnsi="Aptos" w:cs="Aptos"/>
          <w:color w:val="000000" w:themeColor="text1"/>
        </w:rPr>
        <w:tab/>
        <w:t>&lt;0.001</w:t>
      </w:r>
    </w:p>
    <w:p w14:paraId="7F090A52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</w:p>
    <w:p w14:paraId="18DDEF4A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>Values are presented as median [interquartile range (IQR)], or number of patients (%).</w:t>
      </w:r>
    </w:p>
    <w:p w14:paraId="1531BB55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>* In-hospital onset including healthcare facility onset</w:t>
      </w:r>
    </w:p>
    <w:p w14:paraId="2FEC705D" w14:textId="77777777" w:rsidR="0079025F" w:rsidRDefault="0079025F" w:rsidP="0079025F">
      <w:pPr>
        <w:rPr>
          <w:rFonts w:ascii="Aptos" w:hAnsi="Aptos" w:cs="Aptos"/>
          <w:color w:val="000000" w:themeColor="text1"/>
        </w:rPr>
      </w:pPr>
      <w:r w:rsidRPr="00CD1E16">
        <w:rPr>
          <w:rFonts w:ascii="Aptos" w:eastAsia="Aptos" w:hAnsi="Aptos" w:cs="Aptos"/>
          <w:i/>
          <w:color w:val="000000" w:themeColor="text1"/>
        </w:rPr>
        <w:t>VA-ECMO</w:t>
      </w:r>
      <w:r w:rsidRPr="00CD1E16">
        <w:rPr>
          <w:rFonts w:ascii="Aptos" w:eastAsia="Aptos" w:hAnsi="Aptos" w:cs="Aptos"/>
          <w:color w:val="000000" w:themeColor="text1"/>
        </w:rPr>
        <w:t xml:space="preserve">, venoarterial extracorporeal membrane oxygenation; </w:t>
      </w:r>
      <w:r w:rsidRPr="00CD1E16">
        <w:rPr>
          <w:rFonts w:ascii="Aptos" w:eastAsia="Aptos" w:hAnsi="Aptos" w:cs="Aptos"/>
          <w:i/>
          <w:color w:val="000000" w:themeColor="text1"/>
        </w:rPr>
        <w:t>BMI</w:t>
      </w:r>
      <w:r w:rsidRPr="00CD1E16">
        <w:rPr>
          <w:rFonts w:ascii="Aptos" w:eastAsia="Aptos" w:hAnsi="Aptos" w:cs="Aptos"/>
          <w:color w:val="000000" w:themeColor="text1"/>
        </w:rPr>
        <w:t xml:space="preserve">, body mass index; </w:t>
      </w:r>
      <w:r w:rsidRPr="00CD1E16">
        <w:rPr>
          <w:rFonts w:ascii="Aptos" w:eastAsia="Aptos" w:hAnsi="Aptos" w:cs="Aptos"/>
          <w:i/>
          <w:color w:val="000000" w:themeColor="text1"/>
        </w:rPr>
        <w:t>HF</w:t>
      </w:r>
      <w:r w:rsidRPr="00CD1E16">
        <w:rPr>
          <w:rFonts w:ascii="Aptos" w:eastAsia="Aptos" w:hAnsi="Aptos" w:cs="Aptos"/>
          <w:color w:val="000000" w:themeColor="text1"/>
        </w:rPr>
        <w:t xml:space="preserve">, heart failure; </w:t>
      </w:r>
      <w:r w:rsidRPr="00CD1E16">
        <w:rPr>
          <w:rFonts w:ascii="Aptos" w:eastAsia="Aptos" w:hAnsi="Aptos" w:cs="Aptos"/>
          <w:i/>
          <w:color w:val="000000" w:themeColor="text1"/>
        </w:rPr>
        <w:t>VTE</w:t>
      </w:r>
      <w:r w:rsidRPr="00CD1E16">
        <w:rPr>
          <w:rFonts w:ascii="Aptos" w:eastAsia="Aptos" w:hAnsi="Aptos" w:cs="Aptos"/>
          <w:color w:val="000000" w:themeColor="text1"/>
        </w:rPr>
        <w:t xml:space="preserve">, venous thromboembolism; </w:t>
      </w:r>
      <w:r w:rsidRPr="00CD1E16">
        <w:rPr>
          <w:rFonts w:ascii="Aptos" w:eastAsia="Aptos" w:hAnsi="Aptos" w:cs="Aptos"/>
          <w:i/>
          <w:color w:val="000000" w:themeColor="text1"/>
        </w:rPr>
        <w:t>DVT</w:t>
      </w:r>
      <w:r w:rsidRPr="00CD1E16">
        <w:rPr>
          <w:rFonts w:ascii="Aptos" w:eastAsia="Aptos" w:hAnsi="Aptos" w:cs="Aptos"/>
          <w:color w:val="000000" w:themeColor="text1"/>
        </w:rPr>
        <w:t xml:space="preserve">, deep vein thrombosis; </w:t>
      </w:r>
      <w:r w:rsidRPr="00CD1E16">
        <w:rPr>
          <w:rFonts w:ascii="Aptos" w:eastAsia="Aptos" w:hAnsi="Aptos" w:cs="Aptos"/>
          <w:i/>
          <w:color w:val="000000" w:themeColor="text1"/>
        </w:rPr>
        <w:t>CRRT</w:t>
      </w:r>
      <w:r w:rsidRPr="00CD1E16">
        <w:rPr>
          <w:rFonts w:ascii="Aptos" w:eastAsia="Aptos" w:hAnsi="Aptos" w:cs="Aptos"/>
          <w:color w:val="000000" w:themeColor="text1"/>
        </w:rPr>
        <w:t xml:space="preserve">, continuous renal replacement therapy; </w:t>
      </w:r>
      <w:r w:rsidRPr="00CD1E16">
        <w:rPr>
          <w:rFonts w:ascii="Aptos" w:eastAsia="Aptos" w:hAnsi="Aptos" w:cs="Aptos"/>
          <w:i/>
          <w:color w:val="000000" w:themeColor="text1"/>
        </w:rPr>
        <w:t>TTM</w:t>
      </w:r>
      <w:r w:rsidRPr="00CD1E16">
        <w:rPr>
          <w:rFonts w:ascii="Aptos" w:eastAsia="Aptos" w:hAnsi="Aptos" w:cs="Aptos"/>
          <w:color w:val="000000" w:themeColor="text1"/>
        </w:rPr>
        <w:t>, target temperature management</w:t>
      </w:r>
    </w:p>
    <w:p w14:paraId="1C9F7A60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2D267F81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38F64E68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5C2ABDC0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6EBE6403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190FAB32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09276A6B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482A48C3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19363C08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50A9B48E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19808787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72DBF4A5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7B455D64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2F1CC47C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7DAA85F6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11E2220F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2B415E4F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05CBD3C5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7787E296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330C9346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047AA4CC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7010DAB5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51A33F39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7EBD5614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409C3E71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45145496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37FDC8AC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1E084195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3DC8B577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57E662E2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3C6C4AF9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21850841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079A5845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4738FA73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6FECEE22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6F787ED1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7CA60A7D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08ED5347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13A073A2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0D80C11B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1F7CE594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15801E28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6F11B1A1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14D86A2C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4D6DD70D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09DFE8FD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6DF9EE86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284088DC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4ECF3544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7E3B4745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432A0C8A" w14:textId="77777777" w:rsidR="0079025F" w:rsidRPr="00254690" w:rsidRDefault="0079025F" w:rsidP="0079025F">
      <w:pPr>
        <w:rPr>
          <w:rFonts w:ascii="Aptos" w:hAnsi="Aptos" w:cs="Aptos"/>
          <w:color w:val="000000" w:themeColor="text1"/>
        </w:rPr>
      </w:pPr>
    </w:p>
    <w:p w14:paraId="3F2FE851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b/>
          <w:color w:val="000000" w:themeColor="text1"/>
        </w:rPr>
        <w:t>Supplemental Table 2</w:t>
      </w:r>
      <w:r w:rsidRPr="00CD1E16">
        <w:rPr>
          <w:rFonts w:ascii="Aptos" w:eastAsia="Aptos" w:hAnsi="Aptos" w:cs="Aptos"/>
          <w:color w:val="000000" w:themeColor="text1"/>
        </w:rPr>
        <w:t xml:space="preserve"> Patient characteristics and in-hospital outcomes according to cardiac arrest status</w:t>
      </w:r>
    </w:p>
    <w:p w14:paraId="2BF051A1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</w:p>
    <w:p w14:paraId="3D785E09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Cardiac arrest</w:t>
      </w:r>
      <w:r w:rsidRPr="00CD1E16">
        <w:rPr>
          <w:rFonts w:ascii="Aptos" w:eastAsia="Aptos" w:hAnsi="Aptos" w:cs="Aptos"/>
          <w:color w:val="000000" w:themeColor="text1"/>
        </w:rPr>
        <w:tab/>
        <w:t>No cardiac arrest</w:t>
      </w:r>
      <w:r w:rsidRPr="00CD1E16">
        <w:rPr>
          <w:rFonts w:ascii="Aptos" w:eastAsia="Aptos" w:hAnsi="Aptos" w:cs="Aptos"/>
          <w:color w:val="000000" w:themeColor="text1"/>
        </w:rPr>
        <w:tab/>
        <w:t>P value</w:t>
      </w:r>
    </w:p>
    <w:p w14:paraId="4DBC6339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>Number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33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152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</w:p>
    <w:p w14:paraId="4F376762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>Baseline characteristics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</w:p>
    <w:p w14:paraId="1B86071A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Age, y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60 (52, 74)</w:t>
      </w:r>
      <w:r w:rsidRPr="00CD1E16">
        <w:rPr>
          <w:rFonts w:ascii="Aptos" w:eastAsia="Aptos" w:hAnsi="Aptos" w:cs="Aptos"/>
          <w:color w:val="000000" w:themeColor="text1"/>
        </w:rPr>
        <w:tab/>
        <w:t>66 (52, 78)</w:t>
      </w:r>
      <w:r w:rsidRPr="00CD1E16">
        <w:rPr>
          <w:rFonts w:ascii="Aptos" w:eastAsia="Aptos" w:hAnsi="Aptos" w:cs="Aptos"/>
          <w:color w:val="000000" w:themeColor="text1"/>
        </w:rPr>
        <w:tab/>
        <w:t>0.358</w:t>
      </w:r>
    </w:p>
    <w:p w14:paraId="7FCB2484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Men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15/33 (45.5%)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64/152 (42.1%) </w:t>
      </w:r>
      <w:r w:rsidRPr="00CD1E16">
        <w:rPr>
          <w:rFonts w:ascii="Aptos" w:eastAsia="Aptos" w:hAnsi="Aptos" w:cs="Aptos"/>
          <w:color w:val="000000" w:themeColor="text1"/>
        </w:rPr>
        <w:tab/>
        <w:t>0.724</w:t>
      </w:r>
    </w:p>
    <w:p w14:paraId="2F44E55F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Body mass index ≥25 kg/m2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13/30 (41.7%) </w:t>
      </w:r>
      <w:r w:rsidRPr="00CD1E16">
        <w:rPr>
          <w:rFonts w:ascii="Aptos" w:eastAsia="Aptos" w:hAnsi="Aptos" w:cs="Aptos"/>
          <w:color w:val="000000" w:themeColor="text1"/>
        </w:rPr>
        <w:tab/>
        <w:t>60/145 (41.4</w:t>
      </w:r>
      <w:bookmarkStart w:id="0" w:name="_Hlk213948163"/>
      <w:r w:rsidRPr="00CD1E16">
        <w:rPr>
          <w:rFonts w:ascii="Aptos" w:eastAsia="Aptos" w:hAnsi="Aptos" w:cs="Aptos"/>
          <w:color w:val="000000" w:themeColor="text1"/>
        </w:rPr>
        <w:t>%)</w:t>
      </w:r>
      <w:bookmarkEnd w:id="0"/>
      <w:r w:rsidRPr="00CD1E16">
        <w:rPr>
          <w:rFonts w:ascii="Aptos" w:eastAsia="Aptos" w:hAnsi="Aptos" w:cs="Aptos"/>
          <w:color w:val="000000" w:themeColor="text1"/>
        </w:rPr>
        <w:tab/>
        <w:t>0.843</w:t>
      </w:r>
    </w:p>
    <w:p w14:paraId="01204C73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lastRenderedPageBreak/>
        <w:t>Comorbidities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</w:p>
    <w:p w14:paraId="4F219093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Hypertension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14/31 (45.2%)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60/152 (39.5%) </w:t>
      </w:r>
      <w:r w:rsidRPr="00CD1E16">
        <w:rPr>
          <w:rFonts w:ascii="Aptos" w:eastAsia="Aptos" w:hAnsi="Aptos" w:cs="Aptos"/>
          <w:color w:val="000000" w:themeColor="text1"/>
        </w:rPr>
        <w:tab/>
        <w:t>0.688</w:t>
      </w:r>
    </w:p>
    <w:p w14:paraId="55B4251A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Diabetes mellitus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5/31 (16.1%)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30/152 (19.7%) </w:t>
      </w:r>
      <w:r w:rsidRPr="00CD1E16">
        <w:rPr>
          <w:rFonts w:ascii="Aptos" w:eastAsia="Aptos" w:hAnsi="Aptos" w:cs="Aptos"/>
          <w:color w:val="000000" w:themeColor="text1"/>
        </w:rPr>
        <w:tab/>
        <w:t>0.804</w:t>
      </w:r>
    </w:p>
    <w:p w14:paraId="7B00499B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Dyslipidemia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5/31 (16.1%)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32/152 (21.1%) </w:t>
      </w:r>
      <w:r w:rsidRPr="00CD1E16">
        <w:rPr>
          <w:rFonts w:ascii="Aptos" w:eastAsia="Aptos" w:hAnsi="Aptos" w:cs="Aptos"/>
          <w:color w:val="000000" w:themeColor="text1"/>
        </w:rPr>
        <w:tab/>
        <w:t>0.630</w:t>
      </w:r>
    </w:p>
    <w:p w14:paraId="5514C67A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Hyperuricemia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1/31 (3.2%)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12/151 (7.9%) </w:t>
      </w:r>
      <w:r w:rsidRPr="00CD1E16">
        <w:rPr>
          <w:rFonts w:ascii="Aptos" w:eastAsia="Aptos" w:hAnsi="Aptos" w:cs="Aptos"/>
          <w:color w:val="000000" w:themeColor="text1"/>
        </w:rPr>
        <w:tab/>
        <w:t>0.700</w:t>
      </w:r>
    </w:p>
    <w:p w14:paraId="190F2A3D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Smoking (including past)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5/31 (16.1%)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36/138 (26.1%) </w:t>
      </w:r>
      <w:r w:rsidRPr="00CD1E16">
        <w:rPr>
          <w:rFonts w:ascii="Aptos" w:eastAsia="Aptos" w:hAnsi="Aptos" w:cs="Aptos"/>
          <w:color w:val="000000" w:themeColor="text1"/>
        </w:rPr>
        <w:tab/>
        <w:t>0.262</w:t>
      </w:r>
    </w:p>
    <w:p w14:paraId="75D4198F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Dialysis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2/33 (6.1%) </w:t>
      </w:r>
      <w:r w:rsidRPr="00CD1E16">
        <w:rPr>
          <w:rFonts w:ascii="Aptos" w:eastAsia="Aptos" w:hAnsi="Aptos" w:cs="Aptos"/>
          <w:color w:val="000000" w:themeColor="text1"/>
        </w:rPr>
        <w:tab/>
        <w:t>0/152 (0%)</w:t>
      </w:r>
      <w:r w:rsidRPr="00CD1E16">
        <w:rPr>
          <w:rFonts w:ascii="Aptos" w:eastAsia="Aptos" w:hAnsi="Aptos" w:cs="Aptos"/>
          <w:color w:val="000000" w:themeColor="text1"/>
        </w:rPr>
        <w:tab/>
        <w:t>0.031</w:t>
      </w:r>
    </w:p>
    <w:p w14:paraId="64E57404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Atrial fibrillation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1/31 (3.2%)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6/152 (3.9%) </w:t>
      </w:r>
      <w:r w:rsidRPr="00CD1E16">
        <w:rPr>
          <w:rFonts w:ascii="Aptos" w:eastAsia="Aptos" w:hAnsi="Aptos" w:cs="Aptos"/>
          <w:color w:val="000000" w:themeColor="text1"/>
        </w:rPr>
        <w:tab/>
        <w:t>1</w:t>
      </w:r>
    </w:p>
    <w:p w14:paraId="51A09B0A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Peripheral arterial disease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0/31 (0%)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1/150 (0.7%) </w:t>
      </w:r>
      <w:r w:rsidRPr="00CD1E16">
        <w:rPr>
          <w:rFonts w:ascii="Aptos" w:eastAsia="Aptos" w:hAnsi="Aptos" w:cs="Aptos"/>
          <w:color w:val="000000" w:themeColor="text1"/>
        </w:rPr>
        <w:tab/>
        <w:t>1</w:t>
      </w:r>
    </w:p>
    <w:p w14:paraId="1968A374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History of HF hospitalization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2/31 (6.5%)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4/152 (2.6%) </w:t>
      </w:r>
      <w:r w:rsidRPr="00CD1E16">
        <w:rPr>
          <w:rFonts w:ascii="Aptos" w:eastAsia="Aptos" w:hAnsi="Aptos" w:cs="Aptos"/>
          <w:color w:val="000000" w:themeColor="text1"/>
        </w:rPr>
        <w:tab/>
        <w:t>0.269</w:t>
      </w:r>
    </w:p>
    <w:p w14:paraId="5E53644B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History of myocardial infarction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2/33 (6.1%)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1/152 (0.7%) </w:t>
      </w:r>
      <w:r w:rsidRPr="00CD1E16">
        <w:rPr>
          <w:rFonts w:ascii="Aptos" w:eastAsia="Aptos" w:hAnsi="Aptos" w:cs="Aptos"/>
          <w:color w:val="000000" w:themeColor="text1"/>
        </w:rPr>
        <w:tab/>
        <w:t>0.083</w:t>
      </w:r>
    </w:p>
    <w:p w14:paraId="403B7234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History of stroke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1/31 (3.2%)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8/152 (5.3%) </w:t>
      </w:r>
      <w:r w:rsidRPr="00CD1E16">
        <w:rPr>
          <w:rFonts w:ascii="Aptos" w:eastAsia="Aptos" w:hAnsi="Aptos" w:cs="Aptos"/>
          <w:color w:val="000000" w:themeColor="text1"/>
        </w:rPr>
        <w:tab/>
        <w:t>1</w:t>
      </w:r>
    </w:p>
    <w:p w14:paraId="43991061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Active cancer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2/33 (6.1%)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14/151 (9.3%) </w:t>
      </w:r>
      <w:r w:rsidRPr="00CD1E16">
        <w:rPr>
          <w:rFonts w:ascii="Aptos" w:eastAsia="Aptos" w:hAnsi="Aptos" w:cs="Aptos"/>
          <w:color w:val="000000" w:themeColor="text1"/>
        </w:rPr>
        <w:tab/>
        <w:t>0.741</w:t>
      </w:r>
    </w:p>
    <w:p w14:paraId="62162AC2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Major transient VTE risk factors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7/33 (21.2%)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31/151 (20.5%) </w:t>
      </w:r>
      <w:r w:rsidRPr="00CD1E16">
        <w:rPr>
          <w:rFonts w:ascii="Aptos" w:eastAsia="Aptos" w:hAnsi="Aptos" w:cs="Aptos"/>
          <w:color w:val="000000" w:themeColor="text1"/>
        </w:rPr>
        <w:tab/>
        <w:t>1</w:t>
      </w:r>
    </w:p>
    <w:p w14:paraId="0773464C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Minor transient VTE risk factors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10/33 (30.3%)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41/151 (27.2%) </w:t>
      </w:r>
      <w:r w:rsidRPr="00CD1E16">
        <w:rPr>
          <w:rFonts w:ascii="Aptos" w:eastAsia="Aptos" w:hAnsi="Aptos" w:cs="Aptos"/>
          <w:color w:val="000000" w:themeColor="text1"/>
        </w:rPr>
        <w:tab/>
        <w:t>0.830</w:t>
      </w:r>
    </w:p>
    <w:p w14:paraId="6C5C81B6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Permanent VTE risk factors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1/33 (3.0%)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10/151 (6.6%) </w:t>
      </w:r>
      <w:r w:rsidRPr="00CD1E16">
        <w:rPr>
          <w:rFonts w:ascii="Aptos" w:eastAsia="Aptos" w:hAnsi="Aptos" w:cs="Aptos"/>
          <w:color w:val="000000" w:themeColor="text1"/>
        </w:rPr>
        <w:tab/>
        <w:t>0.692</w:t>
      </w:r>
    </w:p>
    <w:p w14:paraId="33E9147C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Unprovoked VTE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14/33 (42.4%)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61/151 (40.4%) </w:t>
      </w:r>
      <w:r w:rsidRPr="00CD1E16">
        <w:rPr>
          <w:rFonts w:ascii="Aptos" w:eastAsia="Aptos" w:hAnsi="Aptos" w:cs="Aptos"/>
          <w:color w:val="000000" w:themeColor="text1"/>
        </w:rPr>
        <w:tab/>
        <w:t>0.847</w:t>
      </w:r>
    </w:p>
    <w:p w14:paraId="0FC3AC25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>Presentation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</w:p>
    <w:p w14:paraId="60AFCBC6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In-Hospital onset*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13/33 (39.4%)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36/152 (23.7%) </w:t>
      </w:r>
      <w:r w:rsidRPr="00CD1E16">
        <w:rPr>
          <w:rFonts w:ascii="Aptos" w:eastAsia="Aptos" w:hAnsi="Aptos" w:cs="Aptos"/>
          <w:color w:val="000000" w:themeColor="text1"/>
        </w:rPr>
        <w:tab/>
        <w:t>0.064</w:t>
      </w:r>
    </w:p>
    <w:p w14:paraId="53295DF2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Cardiac arrest on arrival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13/33 (39.4%)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0/152 (0%) </w:t>
      </w:r>
      <w:r w:rsidRPr="00CD1E16">
        <w:rPr>
          <w:rFonts w:ascii="Aptos" w:eastAsia="Aptos" w:hAnsi="Aptos" w:cs="Aptos"/>
          <w:color w:val="000000" w:themeColor="text1"/>
        </w:rPr>
        <w:tab/>
        <w:t>&lt;0.001</w:t>
      </w:r>
    </w:p>
    <w:p w14:paraId="7505DFC8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Concomitant DVT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7/27 (25.9%)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38/148 (25.7%) </w:t>
      </w:r>
      <w:r w:rsidRPr="00CD1E16">
        <w:rPr>
          <w:rFonts w:ascii="Aptos" w:eastAsia="Aptos" w:hAnsi="Aptos" w:cs="Aptos"/>
          <w:color w:val="000000" w:themeColor="text1"/>
        </w:rPr>
        <w:tab/>
        <w:t>1</w:t>
      </w:r>
    </w:p>
    <w:p w14:paraId="7D66F7CF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>Treatment in the acute phase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</w:p>
    <w:p w14:paraId="723DBFA6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Heparin bolus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8/32 (25.0%)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104/151 (68.9%) </w:t>
      </w:r>
      <w:r w:rsidRPr="00CD1E16">
        <w:rPr>
          <w:rFonts w:ascii="Aptos" w:eastAsia="Aptos" w:hAnsi="Aptos" w:cs="Aptos"/>
          <w:color w:val="000000" w:themeColor="text1"/>
        </w:rPr>
        <w:tab/>
        <w:t>&lt;0.001</w:t>
      </w:r>
    </w:p>
    <w:p w14:paraId="45EE4275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Initial parental anticoagulation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32/32 (100%)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135/138 (97.8%) </w:t>
      </w:r>
      <w:r w:rsidRPr="00CD1E16">
        <w:rPr>
          <w:rFonts w:ascii="Aptos" w:eastAsia="Aptos" w:hAnsi="Aptos" w:cs="Aptos"/>
          <w:color w:val="000000" w:themeColor="text1"/>
        </w:rPr>
        <w:tab/>
        <w:t>1</w:t>
      </w:r>
    </w:p>
    <w:p w14:paraId="607865C8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Any reperfusion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10/33 (30.3%)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71/152 (46.7%) </w:t>
      </w:r>
      <w:r w:rsidRPr="00CD1E16">
        <w:rPr>
          <w:rFonts w:ascii="Aptos" w:eastAsia="Aptos" w:hAnsi="Aptos" w:cs="Aptos"/>
          <w:color w:val="000000" w:themeColor="text1"/>
        </w:rPr>
        <w:tab/>
        <w:t>0.085</w:t>
      </w:r>
    </w:p>
    <w:p w14:paraId="05E59D59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Systemic thrombolysis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3/33 (9.1%)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48/152 (31.6%) </w:t>
      </w:r>
      <w:r w:rsidRPr="00CD1E16">
        <w:rPr>
          <w:rFonts w:ascii="Aptos" w:eastAsia="Aptos" w:hAnsi="Aptos" w:cs="Aptos"/>
          <w:color w:val="000000" w:themeColor="text1"/>
        </w:rPr>
        <w:tab/>
        <w:t>0.009</w:t>
      </w:r>
    </w:p>
    <w:p w14:paraId="54D22431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Catheter-based therapy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4/33 (12.1%)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2/152 (1.3%) </w:t>
      </w:r>
      <w:r w:rsidRPr="00CD1E16">
        <w:rPr>
          <w:rFonts w:ascii="Aptos" w:eastAsia="Aptos" w:hAnsi="Aptos" w:cs="Aptos"/>
          <w:color w:val="000000" w:themeColor="text1"/>
        </w:rPr>
        <w:tab/>
        <w:t>0.010</w:t>
      </w:r>
    </w:p>
    <w:p w14:paraId="1CC342DF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Surgical embolectomy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3/33 (9.1%)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21/152 (13.8%) </w:t>
      </w:r>
      <w:r w:rsidRPr="00CD1E16">
        <w:rPr>
          <w:rFonts w:ascii="Aptos" w:eastAsia="Aptos" w:hAnsi="Aptos" w:cs="Aptos"/>
          <w:color w:val="000000" w:themeColor="text1"/>
        </w:rPr>
        <w:tab/>
        <w:t>0.464</w:t>
      </w:r>
    </w:p>
    <w:p w14:paraId="09E91B0A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Systemic urokinase infusion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1/33 (3.0%) </w:t>
      </w:r>
      <w:r w:rsidRPr="00CD1E16">
        <w:rPr>
          <w:rFonts w:ascii="Aptos" w:eastAsia="Aptos" w:hAnsi="Aptos" w:cs="Aptos"/>
          <w:color w:val="000000" w:themeColor="text1"/>
        </w:rPr>
        <w:tab/>
        <w:t>5/152 (3.3%)</w:t>
      </w:r>
      <w:r w:rsidRPr="00CD1E16">
        <w:rPr>
          <w:rFonts w:ascii="Aptos" w:eastAsia="Aptos" w:hAnsi="Aptos" w:cs="Aptos"/>
          <w:color w:val="000000" w:themeColor="text1"/>
        </w:rPr>
        <w:tab/>
        <w:t>1</w:t>
      </w:r>
    </w:p>
    <w:p w14:paraId="4EBF00AF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Venoarterial ECMO use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22/33 (66.7%)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33/152 (21.7%) </w:t>
      </w:r>
      <w:r w:rsidRPr="00CD1E16">
        <w:rPr>
          <w:rFonts w:ascii="Aptos" w:eastAsia="Aptos" w:hAnsi="Aptos" w:cs="Aptos"/>
          <w:color w:val="000000" w:themeColor="text1"/>
        </w:rPr>
        <w:tab/>
        <w:t>&lt;0.001</w:t>
      </w:r>
    </w:p>
    <w:p w14:paraId="108A204E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Ventilator support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26/33 (78.8%)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60/152 (39.5%) </w:t>
      </w:r>
      <w:r w:rsidRPr="00CD1E16">
        <w:rPr>
          <w:rFonts w:ascii="Aptos" w:eastAsia="Aptos" w:hAnsi="Aptos" w:cs="Aptos"/>
          <w:color w:val="000000" w:themeColor="text1"/>
        </w:rPr>
        <w:tab/>
        <w:t>&lt;0.001</w:t>
      </w:r>
    </w:p>
    <w:p w14:paraId="1E0604F0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CRRT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6/33 (18.2%)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2/152 (1.3%) </w:t>
      </w:r>
      <w:r w:rsidRPr="00CD1E16">
        <w:rPr>
          <w:rFonts w:ascii="Aptos" w:eastAsia="Aptos" w:hAnsi="Aptos" w:cs="Aptos"/>
          <w:color w:val="000000" w:themeColor="text1"/>
        </w:rPr>
        <w:tab/>
        <w:t>&lt;0.001</w:t>
      </w:r>
    </w:p>
    <w:p w14:paraId="67F8324B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TTM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12/33 (36.4%)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13/139 (8.6%) </w:t>
      </w:r>
      <w:r w:rsidRPr="00CD1E16">
        <w:rPr>
          <w:rFonts w:ascii="Aptos" w:eastAsia="Aptos" w:hAnsi="Aptos" w:cs="Aptos"/>
          <w:color w:val="000000" w:themeColor="text1"/>
        </w:rPr>
        <w:tab/>
        <w:t>&lt;0.001</w:t>
      </w:r>
    </w:p>
    <w:p w14:paraId="37AE4F8C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Inferior vena cava filter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0/32 (0%)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12/151 (7.9%) </w:t>
      </w:r>
      <w:r w:rsidRPr="00CD1E16">
        <w:rPr>
          <w:rFonts w:ascii="Aptos" w:eastAsia="Aptos" w:hAnsi="Aptos" w:cs="Aptos"/>
          <w:color w:val="000000" w:themeColor="text1"/>
        </w:rPr>
        <w:tab/>
        <w:t>0.130</w:t>
      </w:r>
    </w:p>
    <w:p w14:paraId="352E81B5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Oral anticoagulation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</w:p>
    <w:p w14:paraId="5432BA0B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Direct oral anticoagulant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19/20 (95.0%)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124/127 (97.6%) </w:t>
      </w:r>
      <w:r w:rsidRPr="00CD1E16">
        <w:rPr>
          <w:rFonts w:ascii="Aptos" w:eastAsia="Aptos" w:hAnsi="Aptos" w:cs="Aptos"/>
          <w:color w:val="000000" w:themeColor="text1"/>
        </w:rPr>
        <w:tab/>
        <w:t>0.447</w:t>
      </w:r>
    </w:p>
    <w:p w14:paraId="3918282A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Warfarin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1/21 (4.8%)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2/132 (1.5%) </w:t>
      </w:r>
      <w:r w:rsidRPr="00CD1E16">
        <w:rPr>
          <w:rFonts w:ascii="Aptos" w:eastAsia="Aptos" w:hAnsi="Aptos" w:cs="Aptos"/>
          <w:color w:val="000000" w:themeColor="text1"/>
        </w:rPr>
        <w:tab/>
        <w:t>0.347</w:t>
      </w:r>
    </w:p>
    <w:p w14:paraId="6EC9A9DF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>In-hospital outcomes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</w:p>
    <w:p w14:paraId="4986CF51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All-cause death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13/33 (39.4%)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14/152 (9.2%) </w:t>
      </w:r>
      <w:r w:rsidRPr="00CD1E16">
        <w:rPr>
          <w:rFonts w:ascii="Aptos" w:eastAsia="Aptos" w:hAnsi="Aptos" w:cs="Aptos"/>
          <w:color w:val="000000" w:themeColor="text1"/>
        </w:rPr>
        <w:tab/>
        <w:t>&lt;0.001</w:t>
      </w:r>
    </w:p>
    <w:p w14:paraId="53CC2147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PE-related death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12/33 (36.4%)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11/152 (7.2%) </w:t>
      </w:r>
      <w:r w:rsidRPr="00CD1E16">
        <w:rPr>
          <w:rFonts w:ascii="Aptos" w:eastAsia="Aptos" w:hAnsi="Aptos" w:cs="Aptos"/>
          <w:color w:val="000000" w:themeColor="text1"/>
        </w:rPr>
        <w:tab/>
        <w:t>&lt;0.001</w:t>
      </w:r>
    </w:p>
    <w:p w14:paraId="59258C3D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Deterioration or recurrence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3/31 (9.7%)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9/152 (5.9%) </w:t>
      </w:r>
      <w:r w:rsidRPr="00CD1E16">
        <w:rPr>
          <w:rFonts w:ascii="Aptos" w:eastAsia="Aptos" w:hAnsi="Aptos" w:cs="Aptos"/>
          <w:color w:val="000000" w:themeColor="text1"/>
        </w:rPr>
        <w:tab/>
        <w:t>0.430</w:t>
      </w:r>
    </w:p>
    <w:p w14:paraId="1081EC23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Major bleeding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7/33 (21.2%)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15/152 (9.9%) </w:t>
      </w:r>
      <w:r w:rsidRPr="00CD1E16">
        <w:rPr>
          <w:rFonts w:ascii="Aptos" w:eastAsia="Aptos" w:hAnsi="Aptos" w:cs="Aptos"/>
          <w:color w:val="000000" w:themeColor="text1"/>
        </w:rPr>
        <w:tab/>
        <w:t>0.068</w:t>
      </w:r>
    </w:p>
    <w:p w14:paraId="634CA460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  Intracranial hemorrhage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1/33 (3.0%)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3/152 (2.0%) </w:t>
      </w:r>
      <w:r w:rsidRPr="00CD1E16">
        <w:rPr>
          <w:rFonts w:ascii="Aptos" w:eastAsia="Aptos" w:hAnsi="Aptos" w:cs="Aptos"/>
          <w:color w:val="000000" w:themeColor="text1"/>
        </w:rPr>
        <w:tab/>
        <w:t>0.548</w:t>
      </w:r>
    </w:p>
    <w:p w14:paraId="0E4AD06B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  Gastrointestinal bleeding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1/33 (3.0%)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3/152 (2.0%) </w:t>
      </w:r>
      <w:r w:rsidRPr="00CD1E16">
        <w:rPr>
          <w:rFonts w:ascii="Aptos" w:eastAsia="Aptos" w:hAnsi="Aptos" w:cs="Aptos"/>
          <w:color w:val="000000" w:themeColor="text1"/>
        </w:rPr>
        <w:tab/>
        <w:t>0.548</w:t>
      </w:r>
    </w:p>
    <w:p w14:paraId="672A4EAB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  Procedure-site bleeding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4/33 (12.1%)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4/152 (2.6%) </w:t>
      </w:r>
      <w:r w:rsidRPr="00CD1E16">
        <w:rPr>
          <w:rFonts w:ascii="Aptos" w:eastAsia="Aptos" w:hAnsi="Aptos" w:cs="Aptos"/>
          <w:color w:val="000000" w:themeColor="text1"/>
        </w:rPr>
        <w:tab/>
        <w:t>0.035</w:t>
      </w:r>
    </w:p>
    <w:p w14:paraId="5D18DFFE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</w:p>
    <w:p w14:paraId="1E56065E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>Values are presented as median [interquartile range (IQR)], or number of patients (%).</w:t>
      </w:r>
    </w:p>
    <w:p w14:paraId="653EF79F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>* In-hospital onset including healthcare facility onset</w:t>
      </w:r>
    </w:p>
    <w:p w14:paraId="3BAE86CC" w14:textId="77777777" w:rsidR="0079025F" w:rsidRDefault="0079025F" w:rsidP="0079025F">
      <w:pPr>
        <w:rPr>
          <w:rFonts w:ascii="Aptos" w:hAnsi="Aptos" w:cs="Aptos"/>
          <w:color w:val="000000" w:themeColor="text1"/>
        </w:rPr>
      </w:pPr>
      <w:r w:rsidRPr="00CD1E16">
        <w:rPr>
          <w:rFonts w:ascii="Aptos" w:eastAsia="Aptos" w:hAnsi="Aptos" w:cs="Aptos"/>
          <w:i/>
          <w:color w:val="000000" w:themeColor="text1"/>
        </w:rPr>
        <w:t>BMI</w:t>
      </w:r>
      <w:r w:rsidRPr="00CD1E16">
        <w:rPr>
          <w:rFonts w:ascii="Aptos" w:eastAsia="Aptos" w:hAnsi="Aptos" w:cs="Aptos"/>
          <w:color w:val="000000" w:themeColor="text1"/>
        </w:rPr>
        <w:t xml:space="preserve">, body mass index; </w:t>
      </w:r>
      <w:r w:rsidRPr="00CD1E16">
        <w:rPr>
          <w:rFonts w:ascii="Aptos" w:eastAsia="Aptos" w:hAnsi="Aptos" w:cs="Aptos"/>
          <w:i/>
          <w:color w:val="000000" w:themeColor="text1"/>
        </w:rPr>
        <w:t>HF</w:t>
      </w:r>
      <w:r w:rsidRPr="00CD1E16">
        <w:rPr>
          <w:rFonts w:ascii="Aptos" w:eastAsia="Aptos" w:hAnsi="Aptos" w:cs="Aptos"/>
          <w:color w:val="000000" w:themeColor="text1"/>
        </w:rPr>
        <w:t xml:space="preserve">, heart failure; </w:t>
      </w:r>
      <w:r w:rsidRPr="00CD1E16">
        <w:rPr>
          <w:rFonts w:ascii="Aptos" w:eastAsia="Aptos" w:hAnsi="Aptos" w:cs="Aptos"/>
          <w:i/>
          <w:color w:val="000000" w:themeColor="text1"/>
        </w:rPr>
        <w:t>VTE</w:t>
      </w:r>
      <w:r w:rsidRPr="00CD1E16">
        <w:rPr>
          <w:rFonts w:ascii="Aptos" w:eastAsia="Aptos" w:hAnsi="Aptos" w:cs="Aptos"/>
          <w:color w:val="000000" w:themeColor="text1"/>
        </w:rPr>
        <w:t xml:space="preserve">, venous thromboembolism; </w:t>
      </w:r>
      <w:r w:rsidRPr="00CD1E16">
        <w:rPr>
          <w:rFonts w:ascii="Aptos" w:eastAsia="Aptos" w:hAnsi="Aptos" w:cs="Aptos"/>
          <w:i/>
          <w:color w:val="000000" w:themeColor="text1"/>
        </w:rPr>
        <w:t>DVT</w:t>
      </w:r>
      <w:r w:rsidRPr="00CD1E16">
        <w:rPr>
          <w:rFonts w:ascii="Aptos" w:eastAsia="Aptos" w:hAnsi="Aptos" w:cs="Aptos"/>
          <w:color w:val="000000" w:themeColor="text1"/>
        </w:rPr>
        <w:t xml:space="preserve">, deep vein thrombosis;  </w:t>
      </w:r>
      <w:r w:rsidRPr="00CD1E16">
        <w:rPr>
          <w:rFonts w:ascii="Aptos" w:eastAsia="Aptos" w:hAnsi="Aptos" w:cs="Aptos"/>
          <w:i/>
          <w:color w:val="000000" w:themeColor="text1"/>
        </w:rPr>
        <w:t>ECMO</w:t>
      </w:r>
      <w:r w:rsidRPr="00CD1E16">
        <w:rPr>
          <w:rFonts w:ascii="Aptos" w:eastAsia="Aptos" w:hAnsi="Aptos" w:cs="Aptos"/>
          <w:color w:val="000000" w:themeColor="text1"/>
        </w:rPr>
        <w:t xml:space="preserve">, extracorporeal membrane oxygenation; </w:t>
      </w:r>
      <w:r w:rsidRPr="00CD1E16">
        <w:rPr>
          <w:rFonts w:ascii="Aptos" w:eastAsia="Aptos" w:hAnsi="Aptos" w:cs="Aptos"/>
          <w:i/>
          <w:color w:val="000000" w:themeColor="text1"/>
        </w:rPr>
        <w:t>CRRT</w:t>
      </w:r>
      <w:r w:rsidRPr="00CD1E16">
        <w:rPr>
          <w:rFonts w:ascii="Aptos" w:eastAsia="Aptos" w:hAnsi="Aptos" w:cs="Aptos"/>
          <w:color w:val="000000" w:themeColor="text1"/>
        </w:rPr>
        <w:t xml:space="preserve">, continuous renal replacement therapy; </w:t>
      </w:r>
      <w:r w:rsidRPr="00CD1E16">
        <w:rPr>
          <w:rFonts w:ascii="Aptos" w:eastAsia="Aptos" w:hAnsi="Aptos" w:cs="Aptos"/>
          <w:i/>
          <w:color w:val="000000" w:themeColor="text1"/>
        </w:rPr>
        <w:t>TTM</w:t>
      </w:r>
      <w:r w:rsidRPr="00CD1E16">
        <w:rPr>
          <w:rFonts w:ascii="Aptos" w:eastAsia="Aptos" w:hAnsi="Aptos" w:cs="Aptos"/>
          <w:color w:val="000000" w:themeColor="text1"/>
        </w:rPr>
        <w:t>, target temperature management</w:t>
      </w:r>
    </w:p>
    <w:p w14:paraId="31761980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1ABD11BA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625DD852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4540B421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5E4B36DE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0684DD89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3233800D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7CC43DCC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0F83BB77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4BBB7D8D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72CC6256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25E56E76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6DCB6A06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2FAF5B1F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75478050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531264EA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03B6358F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00316C8B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031DCFD1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29BA24B3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651EA97A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64588BB1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33F3E9B5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2F598784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18B0A6BA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4BF8E3E5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264B961E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3CCAD324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4C12E88A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0C6FD585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395F0B8F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0E4B484A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79210277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0268894B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7F67B1AC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481812DD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5E98911C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1E03BD6F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10871222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28CF6EC8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38D9AC9F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11C031EC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1547DC44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00D9D2A8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3F73221E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3EF09D62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2FD29EA8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3E1D55A5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066B60C7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606C70DB" w14:textId="77777777" w:rsidR="0079025F" w:rsidRDefault="0079025F" w:rsidP="0079025F">
      <w:pPr>
        <w:rPr>
          <w:rFonts w:ascii="Aptos" w:hAnsi="Aptos" w:cs="Aptos"/>
          <w:color w:val="000000" w:themeColor="text1"/>
        </w:rPr>
      </w:pPr>
    </w:p>
    <w:p w14:paraId="3B327519" w14:textId="77777777" w:rsidR="0079025F" w:rsidRPr="008A0470" w:rsidRDefault="0079025F" w:rsidP="0079025F">
      <w:pPr>
        <w:rPr>
          <w:rFonts w:ascii="Aptos" w:hAnsi="Aptos" w:cs="Aptos"/>
          <w:color w:val="000000" w:themeColor="text1"/>
        </w:rPr>
      </w:pPr>
    </w:p>
    <w:p w14:paraId="19C31D5F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b/>
          <w:color w:val="000000" w:themeColor="text1"/>
        </w:rPr>
        <w:t>Supplemental Table 3</w:t>
      </w:r>
      <w:r w:rsidRPr="00CD1E16">
        <w:rPr>
          <w:rFonts w:ascii="Aptos" w:eastAsia="Aptos" w:hAnsi="Aptos" w:cs="Aptos"/>
          <w:color w:val="000000" w:themeColor="text1"/>
        </w:rPr>
        <w:t xml:space="preserve"> Patient characteristics and in-hospital outcomes comparing the survivor and non-survivor</w:t>
      </w:r>
    </w:p>
    <w:p w14:paraId="6D4A7E74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</w:p>
    <w:p w14:paraId="5DE22A24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Survivor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Non-Survivor</w:t>
      </w:r>
      <w:r w:rsidRPr="00CD1E16">
        <w:rPr>
          <w:rFonts w:ascii="Aptos" w:eastAsia="Aptos" w:hAnsi="Aptos" w:cs="Aptos"/>
          <w:color w:val="000000" w:themeColor="text1"/>
        </w:rPr>
        <w:tab/>
        <w:t>P value</w:t>
      </w:r>
    </w:p>
    <w:p w14:paraId="4877869D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>Number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158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27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</w:p>
    <w:p w14:paraId="2C73FF37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>Baseline characteristics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</w:p>
    <w:p w14:paraId="7912B413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Age, y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65 (53, 78)</w:t>
      </w:r>
      <w:r w:rsidRPr="00CD1E16">
        <w:rPr>
          <w:rFonts w:ascii="Aptos" w:eastAsia="Aptos" w:hAnsi="Aptos" w:cs="Aptos"/>
          <w:color w:val="000000" w:themeColor="text1"/>
        </w:rPr>
        <w:tab/>
        <w:t>65 (49.5, 74)</w:t>
      </w:r>
      <w:r w:rsidRPr="00CD1E16">
        <w:rPr>
          <w:rFonts w:ascii="Aptos" w:eastAsia="Aptos" w:hAnsi="Aptos" w:cs="Aptos"/>
          <w:color w:val="000000" w:themeColor="text1"/>
        </w:rPr>
        <w:tab/>
        <w:t>0.609</w:t>
      </w:r>
    </w:p>
    <w:p w14:paraId="5D932799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Men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63/158 (39.9%)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16/27 (59.3%) </w:t>
      </w:r>
      <w:r w:rsidRPr="00CD1E16">
        <w:rPr>
          <w:rFonts w:ascii="Aptos" w:eastAsia="Aptos" w:hAnsi="Aptos" w:cs="Aptos"/>
          <w:color w:val="000000" w:themeColor="text1"/>
        </w:rPr>
        <w:tab/>
        <w:t>0.06</w:t>
      </w:r>
    </w:p>
    <w:p w14:paraId="71630B98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Body mass index ≥25 kg/m2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59/151 (39.1%)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14/24 (58.3%) </w:t>
      </w:r>
      <w:r w:rsidRPr="00CD1E16">
        <w:rPr>
          <w:rFonts w:ascii="Aptos" w:eastAsia="Aptos" w:hAnsi="Aptos" w:cs="Aptos"/>
          <w:color w:val="000000" w:themeColor="text1"/>
        </w:rPr>
        <w:tab/>
        <w:t>0.117</w:t>
      </w:r>
    </w:p>
    <w:p w14:paraId="7FC0BF73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>Comorbidities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</w:p>
    <w:p w14:paraId="207D9B16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Hypertension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64/158 (40.5%)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10/25 (40.0%) </w:t>
      </w:r>
      <w:r w:rsidRPr="00CD1E16">
        <w:rPr>
          <w:rFonts w:ascii="Aptos" w:eastAsia="Aptos" w:hAnsi="Aptos" w:cs="Aptos"/>
          <w:color w:val="000000" w:themeColor="text1"/>
        </w:rPr>
        <w:tab/>
        <w:t>1</w:t>
      </w:r>
    </w:p>
    <w:p w14:paraId="0DB35BA9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Diabetes mellitus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29/158 (18.4%)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6/25 (24.0%) </w:t>
      </w:r>
      <w:r w:rsidRPr="00CD1E16">
        <w:rPr>
          <w:rFonts w:ascii="Aptos" w:eastAsia="Aptos" w:hAnsi="Aptos" w:cs="Aptos"/>
          <w:color w:val="000000" w:themeColor="text1"/>
        </w:rPr>
        <w:tab/>
        <w:t>0.584</w:t>
      </w:r>
    </w:p>
    <w:p w14:paraId="34D00C81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Dyslipidemia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33/158 (20.9%)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4/25 (16.0%) </w:t>
      </w:r>
      <w:r w:rsidRPr="00CD1E16">
        <w:rPr>
          <w:rFonts w:ascii="Aptos" w:eastAsia="Aptos" w:hAnsi="Aptos" w:cs="Aptos"/>
          <w:color w:val="000000" w:themeColor="text1"/>
        </w:rPr>
        <w:tab/>
        <w:t>0.789</w:t>
      </w:r>
    </w:p>
    <w:p w14:paraId="2C7C8DDA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Hyperuricemia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11/157 (7.0%)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2/25 (8.0%) </w:t>
      </w:r>
      <w:r w:rsidRPr="00CD1E16">
        <w:rPr>
          <w:rFonts w:ascii="Aptos" w:eastAsia="Aptos" w:hAnsi="Aptos" w:cs="Aptos"/>
          <w:color w:val="000000" w:themeColor="text1"/>
        </w:rPr>
        <w:tab/>
        <w:t>1</w:t>
      </w:r>
    </w:p>
    <w:p w14:paraId="415AA7A2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Smoking (including past)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36/147 (24.5%)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5/22 (22.7%) </w:t>
      </w:r>
      <w:r w:rsidRPr="00CD1E16">
        <w:rPr>
          <w:rFonts w:ascii="Aptos" w:eastAsia="Aptos" w:hAnsi="Aptos" w:cs="Aptos"/>
          <w:color w:val="000000" w:themeColor="text1"/>
        </w:rPr>
        <w:tab/>
        <w:t>1</w:t>
      </w:r>
    </w:p>
    <w:p w14:paraId="4DDDB79C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Dialysis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0/158 (0.0%)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0/25 (0%) </w:t>
      </w:r>
      <w:r w:rsidRPr="00CD1E16">
        <w:rPr>
          <w:rFonts w:ascii="Aptos" w:eastAsia="Aptos" w:hAnsi="Aptos" w:cs="Aptos"/>
          <w:color w:val="000000" w:themeColor="text1"/>
        </w:rPr>
        <w:tab/>
        <w:t>1</w:t>
      </w:r>
    </w:p>
    <w:p w14:paraId="4DD9B9A2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lastRenderedPageBreak/>
        <w:t xml:space="preserve">  Atrial fibrillation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5/158 (3.2%)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2/25 (8.0%) </w:t>
      </w:r>
      <w:r w:rsidRPr="00CD1E16">
        <w:rPr>
          <w:rFonts w:ascii="Aptos" w:eastAsia="Aptos" w:hAnsi="Aptos" w:cs="Aptos"/>
          <w:color w:val="000000" w:themeColor="text1"/>
        </w:rPr>
        <w:tab/>
        <w:t>0.245</w:t>
      </w:r>
    </w:p>
    <w:p w14:paraId="34B34D26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Peripheral arterial disease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1/154 (0.6%)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0/25 (0%) </w:t>
      </w:r>
      <w:r w:rsidRPr="00CD1E16">
        <w:rPr>
          <w:rFonts w:ascii="Aptos" w:eastAsia="Aptos" w:hAnsi="Aptos" w:cs="Aptos"/>
          <w:color w:val="000000" w:themeColor="text1"/>
        </w:rPr>
        <w:tab/>
        <w:t>1</w:t>
      </w:r>
    </w:p>
    <w:p w14:paraId="5DA387B7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History of HF hospitalization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4/158 (2.5%)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2/25 (8.0%) </w:t>
      </w:r>
      <w:r w:rsidRPr="00CD1E16">
        <w:rPr>
          <w:rFonts w:ascii="Aptos" w:eastAsia="Aptos" w:hAnsi="Aptos" w:cs="Aptos"/>
          <w:color w:val="000000" w:themeColor="text1"/>
        </w:rPr>
        <w:tab/>
        <w:t>0.190</w:t>
      </w:r>
    </w:p>
    <w:p w14:paraId="659A5A4F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History of myocardial infarction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0/158 (0.6%)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0/25 (7.4%) </w:t>
      </w:r>
      <w:r w:rsidRPr="00CD1E16">
        <w:rPr>
          <w:rFonts w:ascii="Aptos" w:eastAsia="Aptos" w:hAnsi="Aptos" w:cs="Aptos"/>
          <w:color w:val="000000" w:themeColor="text1"/>
        </w:rPr>
        <w:tab/>
        <w:t>1</w:t>
      </w:r>
    </w:p>
    <w:p w14:paraId="6D8778F0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History of stroke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8/158 (5.1%)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1/25 (4.0%) </w:t>
      </w:r>
      <w:r w:rsidRPr="00CD1E16">
        <w:rPr>
          <w:rFonts w:ascii="Aptos" w:eastAsia="Aptos" w:hAnsi="Aptos" w:cs="Aptos"/>
          <w:color w:val="000000" w:themeColor="text1"/>
        </w:rPr>
        <w:tab/>
        <w:t>1</w:t>
      </w:r>
    </w:p>
    <w:p w14:paraId="01379324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Active cancer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15/157 (9.6%)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1/27 (3.7%) </w:t>
      </w:r>
      <w:r w:rsidRPr="00CD1E16">
        <w:rPr>
          <w:rFonts w:ascii="Aptos" w:eastAsia="Aptos" w:hAnsi="Aptos" w:cs="Aptos"/>
          <w:color w:val="000000" w:themeColor="text1"/>
        </w:rPr>
        <w:tab/>
        <w:t>0.474</w:t>
      </w:r>
    </w:p>
    <w:p w14:paraId="4C147A9C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Major transient VTE risk factors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35/157 (22.3%)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3/27 (11.1%) </w:t>
      </w:r>
      <w:r w:rsidRPr="00CD1E16">
        <w:rPr>
          <w:rFonts w:ascii="Aptos" w:eastAsia="Aptos" w:hAnsi="Aptos" w:cs="Aptos"/>
          <w:color w:val="000000" w:themeColor="text1"/>
        </w:rPr>
        <w:tab/>
        <w:t>0.301</w:t>
      </w:r>
    </w:p>
    <w:p w14:paraId="48B084CB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Minor transient VTE risk factors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43/157 (27.4%)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8/27 (29.6%) </w:t>
      </w:r>
      <w:r w:rsidRPr="00CD1E16">
        <w:rPr>
          <w:rFonts w:ascii="Aptos" w:eastAsia="Aptos" w:hAnsi="Aptos" w:cs="Aptos"/>
          <w:color w:val="000000" w:themeColor="text1"/>
        </w:rPr>
        <w:tab/>
        <w:t>0.818</w:t>
      </w:r>
    </w:p>
    <w:p w14:paraId="36E3480C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Permanent VTE risk factors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9/157 (5.7%)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2/27 (7.4%) </w:t>
      </w:r>
      <w:r w:rsidRPr="00CD1E16">
        <w:rPr>
          <w:rFonts w:ascii="Aptos" w:eastAsia="Aptos" w:hAnsi="Aptos" w:cs="Aptos"/>
          <w:color w:val="000000" w:themeColor="text1"/>
        </w:rPr>
        <w:tab/>
        <w:t>0.666</w:t>
      </w:r>
    </w:p>
    <w:p w14:paraId="484FC834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Unprovoked VTE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62/157 (39.5%)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13/27 (48.1%) </w:t>
      </w:r>
      <w:r w:rsidRPr="00CD1E16">
        <w:rPr>
          <w:rFonts w:ascii="Aptos" w:eastAsia="Aptos" w:hAnsi="Aptos" w:cs="Aptos"/>
          <w:color w:val="000000" w:themeColor="text1"/>
        </w:rPr>
        <w:tab/>
        <w:t>0.525</w:t>
      </w:r>
    </w:p>
    <w:p w14:paraId="37C0568C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>Presentation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</w:p>
    <w:p w14:paraId="68C502A9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In-Hospital onset*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42/158 (26.6%)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7/27 (25.9%) </w:t>
      </w:r>
      <w:r w:rsidRPr="00CD1E16">
        <w:rPr>
          <w:rFonts w:ascii="Aptos" w:eastAsia="Aptos" w:hAnsi="Aptos" w:cs="Aptos"/>
          <w:color w:val="000000" w:themeColor="text1"/>
        </w:rPr>
        <w:tab/>
        <w:t>0.943</w:t>
      </w:r>
    </w:p>
    <w:p w14:paraId="69040A5F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Cardiac arrest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20/158 (12.7%)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13/27 (48.1%) </w:t>
      </w:r>
      <w:r w:rsidRPr="00CD1E16">
        <w:rPr>
          <w:rFonts w:ascii="Aptos" w:eastAsia="Aptos" w:hAnsi="Aptos" w:cs="Aptos"/>
          <w:color w:val="000000" w:themeColor="text1"/>
        </w:rPr>
        <w:tab/>
        <w:t>&lt;0.001</w:t>
      </w:r>
    </w:p>
    <w:p w14:paraId="5B0EDDD0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Cardiac arrest on arrival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6/158 (3.8%)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7/27 (25.9%) </w:t>
      </w:r>
      <w:r w:rsidRPr="00CD1E16">
        <w:rPr>
          <w:rFonts w:ascii="Aptos" w:eastAsia="Aptos" w:hAnsi="Aptos" w:cs="Aptos"/>
          <w:color w:val="000000" w:themeColor="text1"/>
        </w:rPr>
        <w:tab/>
        <w:t>&lt;0.001</w:t>
      </w:r>
    </w:p>
    <w:p w14:paraId="646065B4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Concomitant DVT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114/153 (74.5%)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16/22 (72.7%) </w:t>
      </w:r>
      <w:r w:rsidRPr="00CD1E16">
        <w:rPr>
          <w:rFonts w:ascii="Aptos" w:eastAsia="Aptos" w:hAnsi="Aptos" w:cs="Aptos"/>
          <w:color w:val="000000" w:themeColor="text1"/>
        </w:rPr>
        <w:tab/>
        <w:t>1</w:t>
      </w:r>
    </w:p>
    <w:p w14:paraId="612A8EDE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>Treatment in the acute phase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</w:p>
    <w:p w14:paraId="38B7CABE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Heparin bolus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109/156 (69.9%)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19/27 (70.4%) </w:t>
      </w:r>
      <w:r w:rsidRPr="00CD1E16">
        <w:rPr>
          <w:rFonts w:ascii="Aptos" w:eastAsia="Aptos" w:hAnsi="Aptos" w:cs="Aptos"/>
          <w:color w:val="000000" w:themeColor="text1"/>
        </w:rPr>
        <w:tab/>
        <w:t>1</w:t>
      </w:r>
    </w:p>
    <w:p w14:paraId="7DE9AAAB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Initial parental anticoagulation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144/145 (99.3%)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23/25 (92.0%) </w:t>
      </w:r>
      <w:r w:rsidRPr="00CD1E16">
        <w:rPr>
          <w:rFonts w:ascii="Aptos" w:eastAsia="Aptos" w:hAnsi="Aptos" w:cs="Aptos"/>
          <w:color w:val="000000" w:themeColor="text1"/>
        </w:rPr>
        <w:tab/>
        <w:t>0.057</w:t>
      </w:r>
    </w:p>
    <w:p w14:paraId="0845658D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Any reperfusion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74/158 (46.8%)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7/27 (25.9%) </w:t>
      </w:r>
      <w:r w:rsidRPr="00CD1E16">
        <w:rPr>
          <w:rFonts w:ascii="Aptos" w:eastAsia="Aptos" w:hAnsi="Aptos" w:cs="Aptos"/>
          <w:color w:val="000000" w:themeColor="text1"/>
        </w:rPr>
        <w:tab/>
        <w:t>0.043</w:t>
      </w:r>
    </w:p>
    <w:p w14:paraId="69557669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Systemic thrombolysis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49/158 (31.0%)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2/27 (7.4%) </w:t>
      </w:r>
      <w:r w:rsidRPr="00CD1E16">
        <w:rPr>
          <w:rFonts w:ascii="Aptos" w:eastAsia="Aptos" w:hAnsi="Aptos" w:cs="Aptos"/>
          <w:color w:val="000000" w:themeColor="text1"/>
        </w:rPr>
        <w:tab/>
        <w:t>0.010</w:t>
      </w:r>
    </w:p>
    <w:p w14:paraId="0EAC9016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Catheter-based therapy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5/158 (3.2%)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1/27 (3.7%) </w:t>
      </w:r>
      <w:r w:rsidRPr="00CD1E16">
        <w:rPr>
          <w:rFonts w:ascii="Aptos" w:eastAsia="Aptos" w:hAnsi="Aptos" w:cs="Aptos"/>
          <w:color w:val="000000" w:themeColor="text1"/>
        </w:rPr>
        <w:tab/>
        <w:t>1</w:t>
      </w:r>
    </w:p>
    <w:p w14:paraId="0D204BBA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Surgical embolectomy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20/158 (12.7%)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4/27 (14.8%) </w:t>
      </w:r>
      <w:r w:rsidRPr="00CD1E16">
        <w:rPr>
          <w:rFonts w:ascii="Aptos" w:eastAsia="Aptos" w:hAnsi="Aptos" w:cs="Aptos"/>
          <w:color w:val="000000" w:themeColor="text1"/>
        </w:rPr>
        <w:tab/>
        <w:t>0.758</w:t>
      </w:r>
    </w:p>
    <w:p w14:paraId="2B05C6BC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Systemic urokinase infusion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5/158 (3.2%)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1/27 (3.7%) </w:t>
      </w:r>
      <w:r w:rsidRPr="00CD1E16">
        <w:rPr>
          <w:rFonts w:ascii="Aptos" w:eastAsia="Aptos" w:hAnsi="Aptos" w:cs="Aptos"/>
          <w:color w:val="000000" w:themeColor="text1"/>
        </w:rPr>
        <w:tab/>
        <w:t>1</w:t>
      </w:r>
    </w:p>
    <w:p w14:paraId="17A5DB90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Venoarterial ECMO use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39/158 (24.7%)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16/27 (59.3%) </w:t>
      </w:r>
      <w:r w:rsidRPr="00CD1E16">
        <w:rPr>
          <w:rFonts w:ascii="Aptos" w:eastAsia="Aptos" w:hAnsi="Aptos" w:cs="Aptos"/>
          <w:color w:val="000000" w:themeColor="text1"/>
        </w:rPr>
        <w:tab/>
        <w:t>&lt;0.001</w:t>
      </w:r>
    </w:p>
    <w:p w14:paraId="50E4DECE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Ventilator support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63/158 (39.9%)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23/27 (85.2%) </w:t>
      </w:r>
      <w:r w:rsidRPr="00CD1E16">
        <w:rPr>
          <w:rFonts w:ascii="Aptos" w:eastAsia="Aptos" w:hAnsi="Aptos" w:cs="Aptos"/>
          <w:color w:val="000000" w:themeColor="text1"/>
        </w:rPr>
        <w:tab/>
        <w:t>&lt;0.001</w:t>
      </w:r>
    </w:p>
    <w:p w14:paraId="77446737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CRRT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6/158 (3.8%)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2/27 (7.4%) </w:t>
      </w:r>
      <w:r w:rsidRPr="00CD1E16">
        <w:rPr>
          <w:rFonts w:ascii="Aptos" w:eastAsia="Aptos" w:hAnsi="Aptos" w:cs="Aptos"/>
          <w:color w:val="000000" w:themeColor="text1"/>
        </w:rPr>
        <w:tab/>
        <w:t>0.330</w:t>
      </w:r>
    </w:p>
    <w:p w14:paraId="163895C7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TTM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>15/158 (9.5%)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10/27 (37.0%) </w:t>
      </w:r>
      <w:r w:rsidRPr="00CD1E16">
        <w:rPr>
          <w:rFonts w:ascii="Aptos" w:eastAsia="Aptos" w:hAnsi="Aptos" w:cs="Aptos"/>
          <w:color w:val="000000" w:themeColor="text1"/>
        </w:rPr>
        <w:tab/>
        <w:t>&lt;0.001</w:t>
      </w:r>
    </w:p>
    <w:p w14:paraId="13D6C33F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Inferior vena cava filter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11/157 (7.0%)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1/26 (3.8%) </w:t>
      </w:r>
      <w:r w:rsidRPr="00CD1E16">
        <w:rPr>
          <w:rFonts w:ascii="Aptos" w:eastAsia="Aptos" w:hAnsi="Aptos" w:cs="Aptos"/>
          <w:color w:val="000000" w:themeColor="text1"/>
        </w:rPr>
        <w:tab/>
        <w:t>1</w:t>
      </w:r>
    </w:p>
    <w:p w14:paraId="310CF418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Oral anticoagulation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151/151 (100%)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3/7 (42.9%) </w:t>
      </w:r>
      <w:r w:rsidRPr="00CD1E16">
        <w:rPr>
          <w:rFonts w:ascii="Aptos" w:eastAsia="Aptos" w:hAnsi="Aptos" w:cs="Aptos"/>
          <w:color w:val="000000" w:themeColor="text1"/>
        </w:rPr>
        <w:tab/>
        <w:t>&lt;0.001</w:t>
      </w:r>
    </w:p>
    <w:p w14:paraId="58FD1D00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Direct oral anticoagulant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141/141 (100%)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2/6 (33.3%) </w:t>
      </w:r>
      <w:r w:rsidRPr="00CD1E16">
        <w:rPr>
          <w:rFonts w:ascii="Aptos" w:eastAsia="Aptos" w:hAnsi="Aptos" w:cs="Aptos"/>
          <w:color w:val="000000" w:themeColor="text1"/>
        </w:rPr>
        <w:tab/>
        <w:t>&lt;0.001</w:t>
      </w:r>
    </w:p>
    <w:p w14:paraId="014E7281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Warfarin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22/146 (15.1%)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1/7 (14.3%) </w:t>
      </w:r>
      <w:r w:rsidRPr="00CD1E16">
        <w:rPr>
          <w:rFonts w:ascii="Aptos" w:eastAsia="Aptos" w:hAnsi="Aptos" w:cs="Aptos"/>
          <w:color w:val="000000" w:themeColor="text1"/>
        </w:rPr>
        <w:tab/>
        <w:t>1</w:t>
      </w:r>
    </w:p>
    <w:p w14:paraId="398B68C0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>In-hospital outcomes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</w:p>
    <w:p w14:paraId="343E55D5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Deterioration or recurrence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7/157 (4.5%)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5/26 (19.2%) </w:t>
      </w:r>
      <w:r w:rsidRPr="00CD1E16">
        <w:rPr>
          <w:rFonts w:ascii="Aptos" w:eastAsia="Aptos" w:hAnsi="Aptos" w:cs="Aptos"/>
          <w:color w:val="000000" w:themeColor="text1"/>
        </w:rPr>
        <w:tab/>
        <w:t>0.016</w:t>
      </w:r>
    </w:p>
    <w:p w14:paraId="566FA7A4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Major bleeding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14/158 (8.9%)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8/27 (29.6%) </w:t>
      </w:r>
      <w:r w:rsidRPr="00CD1E16">
        <w:rPr>
          <w:rFonts w:ascii="Aptos" w:eastAsia="Aptos" w:hAnsi="Aptos" w:cs="Aptos"/>
          <w:color w:val="000000" w:themeColor="text1"/>
        </w:rPr>
        <w:tab/>
        <w:t>0.002</w:t>
      </w:r>
    </w:p>
    <w:p w14:paraId="147F2190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 xml:space="preserve">  Intracranial hemorrhage</w:t>
      </w:r>
      <w:r w:rsidRPr="00CD1E16">
        <w:rPr>
          <w:rFonts w:ascii="Aptos" w:eastAsia="Aptos" w:hAnsi="Aptos" w:cs="Aptos"/>
          <w:color w:val="000000" w:themeColor="text1"/>
        </w:rPr>
        <w:tab/>
      </w:r>
      <w:r w:rsidRPr="00CD1E16">
        <w:rPr>
          <w:rFonts w:ascii="Aptos" w:eastAsia="Aptos" w:hAnsi="Aptos" w:cs="Aptos"/>
          <w:color w:val="000000" w:themeColor="text1"/>
        </w:rPr>
        <w:tab/>
        <w:t xml:space="preserve">3/158 (1.9%) </w:t>
      </w:r>
      <w:r w:rsidRPr="00CD1E16">
        <w:rPr>
          <w:rFonts w:ascii="Aptos" w:eastAsia="Aptos" w:hAnsi="Aptos" w:cs="Aptos"/>
          <w:color w:val="000000" w:themeColor="text1"/>
        </w:rPr>
        <w:tab/>
        <w:t xml:space="preserve">1/27 (3.7%) </w:t>
      </w:r>
      <w:r w:rsidRPr="00CD1E16">
        <w:rPr>
          <w:rFonts w:ascii="Aptos" w:eastAsia="Aptos" w:hAnsi="Aptos" w:cs="Aptos"/>
          <w:color w:val="000000" w:themeColor="text1"/>
        </w:rPr>
        <w:tab/>
        <w:t>0.471</w:t>
      </w:r>
    </w:p>
    <w:p w14:paraId="6C3742C3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</w:p>
    <w:p w14:paraId="1F092E8C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>Values are presented as median [interquartile range (IQR)], or number of patients (%).</w:t>
      </w:r>
    </w:p>
    <w:p w14:paraId="3E4B8681" w14:textId="77777777" w:rsidR="0079025F" w:rsidRPr="00CD1E16" w:rsidRDefault="0079025F" w:rsidP="0079025F">
      <w:pPr>
        <w:rPr>
          <w:rFonts w:ascii="Aptos" w:eastAsia="Aptos" w:hAnsi="Aptos" w:cs="Aptos"/>
          <w:color w:val="000000" w:themeColor="text1"/>
        </w:rPr>
      </w:pPr>
      <w:r w:rsidRPr="00CD1E16">
        <w:rPr>
          <w:rFonts w:ascii="Aptos" w:eastAsia="Aptos" w:hAnsi="Aptos" w:cs="Aptos"/>
          <w:color w:val="000000" w:themeColor="text1"/>
        </w:rPr>
        <w:t>* In-hospital onset including healthcare facility onset</w:t>
      </w:r>
    </w:p>
    <w:p w14:paraId="7273CDF0" w14:textId="77777777" w:rsidR="0079025F" w:rsidRPr="008A0470" w:rsidRDefault="0079025F" w:rsidP="0079025F">
      <w:pPr>
        <w:rPr>
          <w:rFonts w:ascii="Aptos" w:hAnsi="Aptos" w:cs="Aptos"/>
          <w:color w:val="000000" w:themeColor="text1"/>
        </w:rPr>
      </w:pPr>
      <w:r w:rsidRPr="00CD1E16">
        <w:rPr>
          <w:rFonts w:ascii="Aptos" w:eastAsia="Aptos" w:hAnsi="Aptos" w:cs="Aptos"/>
          <w:i/>
          <w:color w:val="000000" w:themeColor="text1"/>
        </w:rPr>
        <w:t>BMI</w:t>
      </w:r>
      <w:r w:rsidRPr="00CD1E16">
        <w:rPr>
          <w:rFonts w:ascii="Aptos" w:eastAsia="Aptos" w:hAnsi="Aptos" w:cs="Aptos"/>
          <w:color w:val="000000" w:themeColor="text1"/>
        </w:rPr>
        <w:t xml:space="preserve">, body mass index; </w:t>
      </w:r>
      <w:r w:rsidRPr="00CD1E16">
        <w:rPr>
          <w:rFonts w:ascii="Aptos" w:eastAsia="Aptos" w:hAnsi="Aptos" w:cs="Aptos"/>
          <w:i/>
          <w:color w:val="000000" w:themeColor="text1"/>
        </w:rPr>
        <w:t>HF</w:t>
      </w:r>
      <w:r w:rsidRPr="00CD1E16">
        <w:rPr>
          <w:rFonts w:ascii="Aptos" w:eastAsia="Aptos" w:hAnsi="Aptos" w:cs="Aptos"/>
          <w:color w:val="000000" w:themeColor="text1"/>
        </w:rPr>
        <w:t xml:space="preserve">, heart failure; </w:t>
      </w:r>
      <w:r w:rsidRPr="00CD1E16">
        <w:rPr>
          <w:rFonts w:ascii="Aptos" w:eastAsia="Aptos" w:hAnsi="Aptos" w:cs="Aptos"/>
          <w:i/>
          <w:color w:val="000000" w:themeColor="text1"/>
        </w:rPr>
        <w:t>VTE</w:t>
      </w:r>
      <w:r w:rsidRPr="00CD1E16">
        <w:rPr>
          <w:rFonts w:ascii="Aptos" w:eastAsia="Aptos" w:hAnsi="Aptos" w:cs="Aptos"/>
          <w:color w:val="000000" w:themeColor="text1"/>
        </w:rPr>
        <w:t xml:space="preserve">, venous thromboembolism; </w:t>
      </w:r>
      <w:r w:rsidRPr="00CD1E16">
        <w:rPr>
          <w:rFonts w:ascii="Aptos" w:eastAsia="Aptos" w:hAnsi="Aptos" w:cs="Aptos"/>
          <w:i/>
          <w:color w:val="000000" w:themeColor="text1"/>
        </w:rPr>
        <w:t>DVT</w:t>
      </w:r>
      <w:r w:rsidRPr="00CD1E16">
        <w:rPr>
          <w:rFonts w:ascii="Aptos" w:eastAsia="Aptos" w:hAnsi="Aptos" w:cs="Aptos"/>
          <w:color w:val="000000" w:themeColor="text1"/>
        </w:rPr>
        <w:t xml:space="preserve">, deep vein thrombosis; </w:t>
      </w:r>
      <w:r w:rsidRPr="00CD1E16">
        <w:rPr>
          <w:rFonts w:ascii="Aptos" w:eastAsia="Aptos" w:hAnsi="Aptos" w:cs="Aptos"/>
          <w:i/>
          <w:color w:val="000000" w:themeColor="text1"/>
        </w:rPr>
        <w:t>ECMO</w:t>
      </w:r>
      <w:r w:rsidRPr="00CD1E16">
        <w:rPr>
          <w:rFonts w:ascii="Aptos" w:eastAsia="Aptos" w:hAnsi="Aptos" w:cs="Aptos"/>
          <w:color w:val="000000" w:themeColor="text1"/>
        </w:rPr>
        <w:t xml:space="preserve">, extracorporeal membrane oxygenation; </w:t>
      </w:r>
      <w:r w:rsidRPr="00CD1E16">
        <w:rPr>
          <w:rFonts w:ascii="Aptos" w:eastAsia="Aptos" w:hAnsi="Aptos" w:cs="Aptos"/>
          <w:i/>
          <w:color w:val="000000" w:themeColor="text1"/>
        </w:rPr>
        <w:t>CRRT</w:t>
      </w:r>
      <w:r w:rsidRPr="00CD1E16">
        <w:rPr>
          <w:rFonts w:ascii="Aptos" w:eastAsia="Aptos" w:hAnsi="Aptos" w:cs="Aptos"/>
          <w:color w:val="000000" w:themeColor="text1"/>
        </w:rPr>
        <w:t xml:space="preserve">, continuous renal replacement therapy; </w:t>
      </w:r>
      <w:r w:rsidRPr="00CD1E16">
        <w:rPr>
          <w:rFonts w:ascii="Aptos" w:eastAsia="Aptos" w:hAnsi="Aptos" w:cs="Aptos"/>
          <w:i/>
          <w:color w:val="000000" w:themeColor="text1"/>
        </w:rPr>
        <w:t>TTM</w:t>
      </w:r>
      <w:r w:rsidRPr="00CD1E16">
        <w:rPr>
          <w:rFonts w:ascii="Aptos" w:eastAsia="Aptos" w:hAnsi="Aptos" w:cs="Aptos"/>
          <w:color w:val="000000" w:themeColor="text1"/>
        </w:rPr>
        <w:t>, target temperature management</w:t>
      </w:r>
    </w:p>
    <w:p w14:paraId="27A4BDB0" w14:textId="77777777" w:rsidR="009542D6" w:rsidRDefault="009542D6"/>
    <w:sectPr w:rsidR="009542D6" w:rsidSect="0079025F">
      <w:pgSz w:w="11907" w:h="16840"/>
      <w:pgMar w:top="851" w:right="1134" w:bottom="851" w:left="1134" w:header="851" w:footer="992" w:gutter="0"/>
      <w:cols w:space="42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025F"/>
    <w:rsid w:val="00264C10"/>
    <w:rsid w:val="00470242"/>
    <w:rsid w:val="00726E03"/>
    <w:rsid w:val="0079025F"/>
    <w:rsid w:val="009542D6"/>
    <w:rsid w:val="00B018C6"/>
    <w:rsid w:val="00E26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6D9575"/>
  <w15:chartTrackingRefBased/>
  <w15:docId w15:val="{F2792C93-9D14-4F36-B9E4-9C4FBE7C5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025F"/>
    <w:pPr>
      <w:widowControl w:val="0"/>
      <w:spacing w:after="0" w:line="240" w:lineRule="auto"/>
      <w:jc w:val="both"/>
    </w:pPr>
    <w:rPr>
      <w:sz w:val="21"/>
      <w:szCs w:val="22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9025F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zh-C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025F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zh-C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025F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zh-C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025F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zh-C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025F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zh-C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025F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zh-C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025F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zh-C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025F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zh-C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025F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zh-C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02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02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02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025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025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02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02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02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02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025F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902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025F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zh-C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902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025F"/>
    <w:pPr>
      <w:widowControl/>
      <w:spacing w:before="160" w:after="160" w:line="278" w:lineRule="auto"/>
      <w:jc w:val="center"/>
    </w:pPr>
    <w:rPr>
      <w:i/>
      <w:iCs/>
      <w:color w:val="404040" w:themeColor="text1" w:themeTint="BF"/>
      <w:sz w:val="24"/>
      <w:szCs w:val="24"/>
      <w:lang w:eastAsia="zh-C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902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025F"/>
    <w:pPr>
      <w:widowControl/>
      <w:spacing w:after="160" w:line="278" w:lineRule="auto"/>
      <w:ind w:left="720"/>
      <w:contextualSpacing/>
      <w:jc w:val="left"/>
    </w:pPr>
    <w:rPr>
      <w:sz w:val="24"/>
      <w:szCs w:val="24"/>
      <w:lang w:eastAsia="zh-C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9025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025F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eastAsia="zh-C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025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025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1200</Words>
  <Characters>7354</Characters>
  <Application>Microsoft Office Word</Application>
  <DocSecurity>0</DocSecurity>
  <Lines>277</Lines>
  <Paragraphs>162</Paragraphs>
  <ScaleCrop>false</ScaleCrop>
  <Company/>
  <LinksUpToDate>false</LinksUpToDate>
  <CharactersWithSpaces>9166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2</cp:revision>
  <dcterms:created xsi:type="dcterms:W3CDTF">2025-12-22T10:34:00Z</dcterms:created>
  <dcterms:modified xsi:type="dcterms:W3CDTF">2025-12-22T10:34:00Z</dcterms:modified>
</cp:coreProperties>
</file>