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962C5" w14:textId="77777777" w:rsidR="001D2E0C" w:rsidRDefault="001D2E0C" w:rsidP="001D2E0C">
      <w:pPr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5BF2218" w14:textId="77777777" w:rsidR="001D2E0C" w:rsidRDefault="001D2E0C" w:rsidP="001D2E0C">
      <w:pPr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264860DA" wp14:editId="41B845B7">
            <wp:extent cx="5274310" cy="3146425"/>
            <wp:effectExtent l="0" t="0" r="2540" b="0"/>
            <wp:docPr id="61095796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957969" name="Picture 61095796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BB661" w14:textId="77777777" w:rsidR="001D2E0C" w:rsidRPr="009E34F3" w:rsidRDefault="001D2E0C" w:rsidP="001D2E0C">
      <w:pPr>
        <w:bidi w:val="0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9E34F3">
        <w:rPr>
          <w:rFonts w:asciiTheme="majorBidi" w:hAnsiTheme="majorBidi" w:cstheme="majorBidi"/>
          <w:b/>
          <w:bCs/>
          <w:sz w:val="24"/>
          <w:szCs w:val="24"/>
        </w:rPr>
        <w:t>Figure S1. Ramadan Risk Score Distribution</w:t>
      </w:r>
      <w:r w:rsidRPr="009E34F3">
        <w:rPr>
          <w:rFonts w:asciiTheme="majorBidi" w:hAnsiTheme="majorBidi" w:cstheme="majorBidi"/>
          <w:sz w:val="24"/>
          <w:szCs w:val="24"/>
        </w:rPr>
        <w:br/>
        <w:t>Histogram showing the distribution of Ramadan risk scores (range 0-6) among the study population. The majority of patients (77.3%) scored 4-6, indicating high exposure to Ramadan-associated risk factors including khate chewing, smoking, NSAID use, spicy food consumption, and high-fat diet.</w:t>
      </w:r>
    </w:p>
    <w:p w14:paraId="6AE081E6" w14:textId="77777777" w:rsidR="001D2E0C" w:rsidRDefault="001D2E0C" w:rsidP="001D2E0C">
      <w:pPr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1E44C84" w14:textId="77777777" w:rsidR="001D2E0C" w:rsidRDefault="001D2E0C" w:rsidP="001D2E0C">
      <w:pPr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55575200" wp14:editId="11F19FA5">
            <wp:extent cx="5274310" cy="3504565"/>
            <wp:effectExtent l="0" t="0" r="2540" b="635"/>
            <wp:docPr id="12678303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830356" name="Picture 126783035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83672" w14:textId="77777777" w:rsidR="001D2E0C" w:rsidRPr="009E34F3" w:rsidRDefault="001D2E0C" w:rsidP="001D2E0C">
      <w:pPr>
        <w:bidi w:val="0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9E34F3">
        <w:rPr>
          <w:rFonts w:asciiTheme="majorBidi" w:hAnsiTheme="majorBidi" w:cstheme="majorBidi"/>
          <w:b/>
          <w:bCs/>
          <w:sz w:val="24"/>
          <w:szCs w:val="24"/>
        </w:rPr>
        <w:t>Figure S2. Hospital Stay Duration by PULP Category</w:t>
      </w:r>
      <w:r w:rsidRPr="009E34F3">
        <w:rPr>
          <w:rFonts w:asciiTheme="majorBidi" w:hAnsiTheme="majorBidi" w:cstheme="majorBidi"/>
          <w:sz w:val="24"/>
          <w:szCs w:val="24"/>
        </w:rPr>
        <w:br/>
        <w:t>Box plot demonstrating the significant increase in hospital stay duration across PULP risk categories (p=0.014). Very high-risk patients (PULP ≥12) show substantially longer and more variable hospital stays compared to lower risk categories.</w:t>
      </w:r>
    </w:p>
    <w:p w14:paraId="492DB317" w14:textId="77777777" w:rsidR="001D2E0C" w:rsidRDefault="001D2E0C" w:rsidP="001D2E0C">
      <w:pPr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93C66F9" w14:textId="77777777" w:rsidR="001D2E0C" w:rsidRDefault="001D2E0C" w:rsidP="001D2E0C">
      <w:pPr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7D864804" wp14:editId="2385C1CF">
            <wp:extent cx="5274310" cy="4213225"/>
            <wp:effectExtent l="0" t="0" r="2540" b="0"/>
            <wp:docPr id="3177845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78455" name="Picture 3177845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754B2" w14:textId="77777777" w:rsidR="001D2E0C" w:rsidRPr="009E34F3" w:rsidRDefault="001D2E0C" w:rsidP="001D2E0C">
      <w:pPr>
        <w:bidi w:val="0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9E34F3">
        <w:rPr>
          <w:rFonts w:asciiTheme="majorBidi" w:hAnsiTheme="majorBidi" w:cstheme="majorBidi"/>
          <w:b/>
          <w:bCs/>
          <w:sz w:val="24"/>
          <w:szCs w:val="24"/>
        </w:rPr>
        <w:t>Figure S3. ROC Curves by Ramadan Period</w:t>
      </w:r>
      <w:r w:rsidRPr="009E34F3">
        <w:rPr>
          <w:rFonts w:asciiTheme="majorBidi" w:hAnsiTheme="majorBidi" w:cstheme="majorBidi"/>
          <w:sz w:val="24"/>
          <w:szCs w:val="24"/>
        </w:rPr>
        <w:br/>
        <w:t>Separate ROC curves for PULP score performance during Ramadan (blue) and extra-Ramadan (red) periods, demonstrating consistent discriminative ability (AUC=0.747 for both) across different temporal contexts.</w:t>
      </w:r>
    </w:p>
    <w:p w14:paraId="5488FC6A" w14:textId="77777777" w:rsidR="001D2E0C" w:rsidRPr="009E34F3" w:rsidRDefault="001D2E0C" w:rsidP="001D2E0C">
      <w:pPr>
        <w:bidi w:val="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3F6AE4CF" w14:textId="77777777" w:rsidR="00DE6AE2" w:rsidRPr="001D2E0C" w:rsidRDefault="00DE6AE2"/>
    <w:sectPr w:rsidR="00DE6AE2" w:rsidRPr="001D2E0C" w:rsidSect="001D2E0C">
      <w:pgSz w:w="11906" w:h="16838" w:code="9"/>
      <w:pgMar w:top="1440" w:right="1800" w:bottom="1440" w:left="1800" w:header="709" w:footer="17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E0C"/>
    <w:rsid w:val="00195413"/>
    <w:rsid w:val="001D2E0C"/>
    <w:rsid w:val="003D0186"/>
    <w:rsid w:val="007278E4"/>
    <w:rsid w:val="00A024F5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843CA"/>
  <w15:chartTrackingRefBased/>
  <w15:docId w15:val="{BC848CAD-B5D4-4D6A-A1B1-5ABE4903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E0C"/>
    <w:pPr>
      <w:bidi/>
      <w:spacing w:line="259" w:lineRule="auto"/>
    </w:pPr>
    <w:rPr>
      <w:kern w:val="0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2E0C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2E0C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2E0C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2E0C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2E0C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2E0C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2E0C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2E0C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2E0C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2E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2E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2E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2E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2E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2E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2E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2E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2E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2E0C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D2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2E0C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D2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2E0C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D2E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2E0C"/>
    <w:pPr>
      <w:bidi w:val="0"/>
      <w:spacing w:line="278" w:lineRule="auto"/>
      <w:ind w:left="720"/>
      <w:contextualSpacing/>
    </w:pPr>
    <w:rPr>
      <w:kern w:val="2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1D2E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2E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2E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2E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</Words>
  <Characters>766</Characters>
  <Application>Microsoft Office Word</Application>
  <DocSecurity>0</DocSecurity>
  <Lines>18</Lines>
  <Paragraphs>2</Paragraphs>
  <ScaleCrop>false</ScaleCrop>
  <Company>Springer Nature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2026-01-19T05:59:00Z</dcterms:created>
  <dcterms:modified xsi:type="dcterms:W3CDTF">2026-01-19T05:59:00Z</dcterms:modified>
</cp:coreProperties>
</file>