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0B7FAE">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2835910" cy="2217420"/>
            <wp:effectExtent l="0" t="0" r="2540" b="1905"/>
            <wp:docPr id="3" name="图片 3" descr="多组差异散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多组差异散点图"/>
                    <pic:cNvPicPr>
                      <a:picLocks noChangeAspect="1"/>
                    </pic:cNvPicPr>
                  </pic:nvPicPr>
                  <pic:blipFill>
                    <a:blip r:embed="rId4"/>
                    <a:srcRect r="18800" b="15046"/>
                    <a:stretch>
                      <a:fillRect/>
                    </a:stretch>
                  </pic:blipFill>
                  <pic:spPr>
                    <a:xfrm>
                      <a:off x="0" y="0"/>
                      <a:ext cx="2835910" cy="2217420"/>
                    </a:xfrm>
                    <a:prstGeom prst="rect">
                      <a:avLst/>
                    </a:prstGeom>
                  </pic:spPr>
                </pic:pic>
              </a:graphicData>
            </a:graphic>
          </wp:inline>
        </w:drawing>
      </w:r>
    </w:p>
    <w:p w14:paraId="6F268726">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Theme="minorHAnsi"/>
          <w:kern w:val="0"/>
          <w:sz w:val="24"/>
          <w:szCs w:val="24"/>
          <w:lang w:val="en-US" w:eastAsia="zh-CN"/>
        </w:rPr>
        <w:t xml:space="preserve">Figure 1 Scatter Plot of the Number of Differentially Expressed Genes Among Different Treatment </w:t>
      </w:r>
      <w:bookmarkStart w:id="0" w:name="_GoBack"/>
      <w:bookmarkEnd w:id="0"/>
      <w:r>
        <w:rPr>
          <w:rFonts w:hint="eastAsia" w:ascii="Times New Roman" w:hAnsi="Times New Roman" w:eastAsiaTheme="minorHAnsi"/>
          <w:kern w:val="0"/>
          <w:sz w:val="24"/>
          <w:szCs w:val="24"/>
          <w:lang w:val="en-US" w:eastAsia="zh-CN"/>
        </w:rPr>
        <w:t>Groups</w:t>
      </w:r>
      <w:r>
        <w:rPr>
          <w:rFonts w:hint="default" w:ascii="Times New Roman" w:hAnsi="Times New Roman" w:eastAsia="宋体" w:cs="Times New Roman"/>
          <w:sz w:val="24"/>
          <w:szCs w:val="24"/>
          <w:lang w:val="en-US" w:eastAsia="zh-CN"/>
        </w:rPr>
        <w:drawing>
          <wp:inline distT="0" distB="0" distL="114300" distR="114300">
            <wp:extent cx="5270500" cy="3858260"/>
            <wp:effectExtent l="0" t="0" r="6350" b="8890"/>
            <wp:docPr id="4" name="图片 4" descr="KEGG合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KEGG合图1"/>
                    <pic:cNvPicPr>
                      <a:picLocks noChangeAspect="1"/>
                    </pic:cNvPicPr>
                  </pic:nvPicPr>
                  <pic:blipFill>
                    <a:blip r:embed="rId5"/>
                    <a:stretch>
                      <a:fillRect/>
                    </a:stretch>
                  </pic:blipFill>
                  <pic:spPr>
                    <a:xfrm>
                      <a:off x="0" y="0"/>
                      <a:ext cx="5270500" cy="3858260"/>
                    </a:xfrm>
                    <a:prstGeom prst="rect">
                      <a:avLst/>
                    </a:prstGeom>
                  </pic:spPr>
                </pic:pic>
              </a:graphicData>
            </a:graphic>
          </wp:inline>
        </w:drawing>
      </w:r>
    </w:p>
    <w:p w14:paraId="4EEDCE55">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Figure 2: KEGG Enrichment of Differential Genes Between Groups. The abscissa represents the enrichment score, and the ordinate shows the information of the top 15 pathways. Pathways with larger bubbles contain more differential metabolites; as the color of the bubbles changes from blue to red, the enrichment p-value becomes smaller and the significance becomes</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higher.</w:t>
      </w:r>
      <w:r>
        <w:rPr>
          <w:rFonts w:hint="default" w:ascii="Times New Roman" w:hAnsi="Times New Roman" w:eastAsia="宋体" w:cs="Times New Roman"/>
          <w:sz w:val="24"/>
          <w:szCs w:val="24"/>
          <w:lang w:val="en-US" w:eastAsia="zh-CN"/>
        </w:rPr>
        <w:drawing>
          <wp:inline distT="0" distB="0" distL="114300" distR="114300">
            <wp:extent cx="5195570" cy="4616450"/>
            <wp:effectExtent l="0" t="0" r="5080" b="3175"/>
            <wp:docPr id="10" name="图片 10" descr="总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总图_01"/>
                    <pic:cNvPicPr>
                      <a:picLocks noChangeAspect="1"/>
                    </pic:cNvPicPr>
                  </pic:nvPicPr>
                  <pic:blipFill>
                    <a:blip r:embed="rId6"/>
                    <a:srcRect r="110" b="37241"/>
                    <a:stretch>
                      <a:fillRect/>
                    </a:stretch>
                  </pic:blipFill>
                  <pic:spPr>
                    <a:xfrm>
                      <a:off x="0" y="0"/>
                      <a:ext cx="5195570" cy="4616450"/>
                    </a:xfrm>
                    <a:prstGeom prst="rect">
                      <a:avLst/>
                    </a:prstGeom>
                  </pic:spPr>
                </pic:pic>
              </a:graphicData>
            </a:graphic>
          </wp:inline>
        </w:drawing>
      </w:r>
    </w:p>
    <w:p w14:paraId="4C5D683D">
      <w:pPr>
        <w:widowControl w:val="0"/>
        <w:numPr>
          <w:ilvl w:val="0"/>
          <w:numId w:val="0"/>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Figure 3 Expression analysis of 10 HEGs in different samples determined by RT-qPCR.</w:t>
      </w:r>
    </w:p>
    <w:p w14:paraId="73043A99">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5271135" cy="2366010"/>
            <wp:effectExtent l="0" t="0" r="5715" b="5715"/>
            <wp:docPr id="6" name="图片 6" descr="OP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OPLS"/>
                    <pic:cNvPicPr>
                      <a:picLocks noChangeAspect="1"/>
                    </pic:cNvPicPr>
                  </pic:nvPicPr>
                  <pic:blipFill>
                    <a:blip r:embed="rId7"/>
                    <a:stretch>
                      <a:fillRect/>
                    </a:stretch>
                  </pic:blipFill>
                  <pic:spPr>
                    <a:xfrm>
                      <a:off x="0" y="0"/>
                      <a:ext cx="5271135" cy="2366010"/>
                    </a:xfrm>
                    <a:prstGeom prst="rect">
                      <a:avLst/>
                    </a:prstGeom>
                  </pic:spPr>
                </pic:pic>
              </a:graphicData>
            </a:graphic>
          </wp:inline>
        </w:drawing>
      </w:r>
    </w:p>
    <w:p w14:paraId="2AAE42D5">
      <w:pPr>
        <w:widowControl w:val="0"/>
        <w:numPr>
          <w:ilvl w:val="0"/>
          <w:numId w:val="0"/>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Figure </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 xml:space="preserve"> OPLS-DA score plots of metabolites in M</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 xml:space="preserve"> ruthenica seedlings under different saline-alkali stress conditions.  In this model, R²X(cum) and R²Y(cum) represent the interpretation rates of the constructed model for the X-matrix and Y-matrix respectively, while the Q² value reflects the predictive ability of the model.  All pairwise comparisons yielded high R²X, R²Y and Q² values, indicating these analyses are reproducible, reliable, and suitable for screening differential metabolites.  (a, a1) CK vs A.  (b, b1) CK vs B.  (c, c1) CK vs C.  (d, d1) CK vs D.</w:t>
      </w:r>
    </w:p>
    <w:p w14:paraId="3A096828">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5271135" cy="2673985"/>
            <wp:effectExtent l="0" t="0" r="5715" b="2540"/>
            <wp:docPr id="9" name="图片 9" descr="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组图"/>
                    <pic:cNvPicPr>
                      <a:picLocks noChangeAspect="1"/>
                    </pic:cNvPicPr>
                  </pic:nvPicPr>
                  <pic:blipFill>
                    <a:blip r:embed="rId8"/>
                    <a:stretch>
                      <a:fillRect/>
                    </a:stretch>
                  </pic:blipFill>
                  <pic:spPr>
                    <a:xfrm>
                      <a:off x="0" y="0"/>
                      <a:ext cx="5271135" cy="2673985"/>
                    </a:xfrm>
                    <a:prstGeom prst="rect">
                      <a:avLst/>
                    </a:prstGeom>
                  </pic:spPr>
                </pic:pic>
              </a:graphicData>
            </a:graphic>
          </wp:inline>
        </w:drawing>
      </w:r>
    </w:p>
    <w:p w14:paraId="1258ECE3">
      <w:pPr>
        <w:widowControl w:val="0"/>
        <w:numPr>
          <w:ilvl w:val="0"/>
          <w:numId w:val="0"/>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Figure </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 xml:space="preserve"> Amino acid content in targeted metabolomics of different treatments.</w:t>
      </w:r>
    </w:p>
    <w:p w14:paraId="433FB812">
      <w:pP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drawing>
          <wp:inline distT="0" distB="0" distL="114300" distR="114300">
            <wp:extent cx="5273040" cy="1979930"/>
            <wp:effectExtent l="0" t="0" r="3810" b="1270"/>
            <wp:docPr id="11" name="图片 11" descr="转录组与生理生化特性的WGCNA数据质量统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转录组与生理生化特性的WGCNA数据质量统计"/>
                    <pic:cNvPicPr>
                      <a:picLocks noChangeAspect="1"/>
                    </pic:cNvPicPr>
                  </pic:nvPicPr>
                  <pic:blipFill>
                    <a:blip r:embed="rId9"/>
                    <a:stretch>
                      <a:fillRect/>
                    </a:stretch>
                  </pic:blipFill>
                  <pic:spPr>
                    <a:xfrm>
                      <a:off x="0" y="0"/>
                      <a:ext cx="5273040" cy="1979930"/>
                    </a:xfrm>
                    <a:prstGeom prst="rect">
                      <a:avLst/>
                    </a:prstGeom>
                  </pic:spPr>
                </pic:pic>
              </a:graphicData>
            </a:graphic>
          </wp:inline>
        </w:drawing>
      </w:r>
    </w:p>
    <w:p w14:paraId="6F648CAB">
      <w:pPr>
        <w:widowControl w:val="0"/>
        <w:numPr>
          <w:ilvl w:val="0"/>
          <w:numId w:val="0"/>
        </w:numPr>
        <w:jc w:val="left"/>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Figure</w:t>
      </w:r>
      <w:r>
        <w:rPr>
          <w:rFonts w:hint="eastAsia" w:ascii="Times New Roman" w:hAnsi="Times New Roman" w:eastAsia="宋体" w:cs="Times New Roman"/>
          <w:sz w:val="24"/>
          <w:lang w:val="en-US" w:eastAsia="zh-CN"/>
        </w:rPr>
        <w:t xml:space="preserve"> 6.</w:t>
      </w:r>
      <w:r>
        <w:rPr>
          <w:rFonts w:hint="default" w:ascii="Times New Roman" w:hAnsi="Times New Roman" w:eastAsia="宋体" w:cs="Times New Roman"/>
          <w:sz w:val="24"/>
          <w:lang w:val="en-US" w:eastAsia="zh-CN"/>
        </w:rPr>
        <w:t xml:space="preserve"> WGCNA data quality statistics of transcriptome and</w:t>
      </w:r>
      <w:r>
        <w:rPr>
          <w:rFonts w:hint="eastAsia" w:ascii="Times New Roman" w:hAnsi="Times New Roman" w:eastAsia="宋体" w:cs="Times New Roman"/>
          <w:sz w:val="24"/>
          <w:lang w:val="en-US" w:eastAsia="zh-CN"/>
        </w:rPr>
        <w:t xml:space="preserve"> </w:t>
      </w:r>
      <w:r>
        <w:rPr>
          <w:rFonts w:hint="default" w:ascii="Times New Roman" w:hAnsi="Times New Roman" w:eastAsia="宋体" w:cs="Times New Roman"/>
          <w:sz w:val="24"/>
          <w:lang w:val="en-US" w:eastAsia="zh-CN"/>
        </w:rPr>
        <w:t>physiological-biochemical characteristics.</w:t>
      </w:r>
    </w:p>
    <w:p w14:paraId="1EA6D133">
      <w:pPr>
        <w:rPr>
          <w:rFonts w:hint="eastAsia" w:ascii="Times New Roman" w:hAnsi="Times New Roman" w:eastAsia="宋体" w:cs="Times New Roman"/>
          <w:sz w:val="24"/>
          <w:lang w:val="en-US" w:eastAsia="zh-CN"/>
        </w:rPr>
      </w:pPr>
    </w:p>
    <w:p w14:paraId="048510BC">
      <w:pPr>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Table 1 26 kinds of common differential metabolites.</w:t>
      </w:r>
    </w:p>
    <w:tbl>
      <w:tblPr>
        <w:tblStyle w:val="3"/>
        <w:tblW w:w="10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2244"/>
        <w:gridCol w:w="2181"/>
        <w:gridCol w:w="1086"/>
        <w:gridCol w:w="969"/>
        <w:gridCol w:w="961"/>
        <w:gridCol w:w="969"/>
        <w:gridCol w:w="969"/>
      </w:tblGrid>
      <w:tr w14:paraId="3160F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0" w:type="auto"/>
            <w:vAlign w:val="center"/>
          </w:tcPr>
          <w:p w14:paraId="3F00CAF7">
            <w:pPr>
              <w:keepNext w:val="0"/>
              <w:keepLines w:val="0"/>
              <w:widowControl/>
              <w:suppressLineNumbers w:val="0"/>
              <w:jc w:val="center"/>
              <w:textAlignment w:val="center"/>
              <w:rPr>
                <w:rFonts w:hint="default" w:ascii="Times New Roman" w:hAnsi="Times New Roman" w:eastAsia="宋体" w:cs="Times New Roman"/>
                <w:b/>
                <w:bCs/>
                <w:sz w:val="15"/>
                <w:szCs w:val="15"/>
                <w:vertAlign w:val="baseline"/>
              </w:rPr>
            </w:pPr>
            <w:r>
              <w:rPr>
                <w:rFonts w:hint="default" w:ascii="Times New Roman" w:hAnsi="Times New Roman" w:eastAsia="宋体" w:cs="Times New Roman"/>
                <w:b/>
                <w:bCs/>
                <w:i w:val="0"/>
                <w:iCs w:val="0"/>
                <w:color w:val="000000"/>
                <w:kern w:val="0"/>
                <w:sz w:val="15"/>
                <w:szCs w:val="15"/>
                <w:u w:val="none"/>
                <w:lang w:val="en-US" w:eastAsia="zh-CN" w:bidi="ar"/>
              </w:rPr>
              <w:t>Sequences</w:t>
            </w:r>
          </w:p>
        </w:tc>
        <w:tc>
          <w:tcPr>
            <w:tcW w:w="0" w:type="auto"/>
            <w:vAlign w:val="center"/>
          </w:tcPr>
          <w:p w14:paraId="179DE54F">
            <w:pPr>
              <w:keepNext w:val="0"/>
              <w:keepLines w:val="0"/>
              <w:widowControl/>
              <w:suppressLineNumbers w:val="0"/>
              <w:jc w:val="center"/>
              <w:textAlignment w:val="center"/>
              <w:rPr>
                <w:rFonts w:hint="default" w:ascii="Times New Roman" w:hAnsi="Times New Roman" w:eastAsia="宋体" w:cs="Times New Roman"/>
                <w:b/>
                <w:bCs/>
                <w:sz w:val="15"/>
                <w:szCs w:val="15"/>
                <w:vertAlign w:val="baseline"/>
              </w:rPr>
            </w:pPr>
            <w:r>
              <w:rPr>
                <w:rFonts w:hint="default" w:ascii="Times New Roman" w:hAnsi="Times New Roman" w:eastAsia="宋体" w:cs="Times New Roman"/>
                <w:b/>
                <w:bCs/>
                <w:i w:val="0"/>
                <w:iCs w:val="0"/>
                <w:color w:val="000000"/>
                <w:kern w:val="0"/>
                <w:sz w:val="15"/>
                <w:szCs w:val="15"/>
                <w:u w:val="none"/>
                <w:lang w:val="en-US" w:eastAsia="zh-CN" w:bidi="ar"/>
              </w:rPr>
              <w:t>Compounds</w:t>
            </w:r>
          </w:p>
        </w:tc>
        <w:tc>
          <w:tcPr>
            <w:tcW w:w="0" w:type="auto"/>
            <w:vAlign w:val="center"/>
          </w:tcPr>
          <w:p w14:paraId="1FF04094">
            <w:pPr>
              <w:keepNext w:val="0"/>
              <w:keepLines w:val="0"/>
              <w:widowControl/>
              <w:suppressLineNumbers w:val="0"/>
              <w:jc w:val="center"/>
              <w:textAlignment w:val="center"/>
              <w:rPr>
                <w:rFonts w:hint="default" w:ascii="Times New Roman" w:hAnsi="Times New Roman" w:eastAsia="宋体" w:cs="Times New Roman"/>
                <w:b/>
                <w:bCs/>
                <w:sz w:val="15"/>
                <w:szCs w:val="15"/>
                <w:vertAlign w:val="baseline"/>
              </w:rPr>
            </w:pPr>
            <w:r>
              <w:rPr>
                <w:rFonts w:hint="default" w:ascii="Times New Roman" w:hAnsi="Times New Roman" w:eastAsia="宋体" w:cs="Times New Roman"/>
                <w:b/>
                <w:bCs/>
                <w:i w:val="0"/>
                <w:iCs w:val="0"/>
                <w:color w:val="000000"/>
                <w:kern w:val="0"/>
                <w:sz w:val="15"/>
                <w:szCs w:val="15"/>
                <w:u w:val="none"/>
                <w:lang w:val="en-US" w:eastAsia="zh-CN" w:bidi="ar"/>
              </w:rPr>
              <w:t>Class</w:t>
            </w:r>
          </w:p>
        </w:tc>
        <w:tc>
          <w:tcPr>
            <w:tcW w:w="0" w:type="auto"/>
            <w:vAlign w:val="center"/>
          </w:tcPr>
          <w:p w14:paraId="38E33560">
            <w:pPr>
              <w:keepNext w:val="0"/>
              <w:keepLines w:val="0"/>
              <w:widowControl/>
              <w:suppressLineNumbers w:val="0"/>
              <w:jc w:val="center"/>
              <w:textAlignment w:val="center"/>
              <w:rPr>
                <w:rFonts w:hint="default" w:ascii="Times New Roman" w:hAnsi="Times New Roman" w:eastAsia="宋体" w:cs="Times New Roman"/>
                <w:b/>
                <w:bCs/>
                <w:sz w:val="15"/>
                <w:szCs w:val="15"/>
                <w:vertAlign w:val="baseline"/>
              </w:rPr>
            </w:pPr>
            <w:r>
              <w:rPr>
                <w:rFonts w:hint="default" w:ascii="Times New Roman" w:hAnsi="Times New Roman" w:eastAsia="宋体" w:cs="Times New Roman"/>
                <w:b/>
                <w:bCs/>
                <w:i w:val="0"/>
                <w:iCs w:val="0"/>
                <w:color w:val="000000"/>
                <w:kern w:val="0"/>
                <w:sz w:val="15"/>
                <w:szCs w:val="15"/>
                <w:u w:val="none"/>
                <w:lang w:val="en-US" w:eastAsia="zh-CN" w:bidi="ar"/>
              </w:rPr>
              <w:t>CK(log10FC)</w:t>
            </w:r>
          </w:p>
        </w:tc>
        <w:tc>
          <w:tcPr>
            <w:tcW w:w="0" w:type="auto"/>
            <w:vAlign w:val="center"/>
          </w:tcPr>
          <w:p w14:paraId="0E3D27E7">
            <w:pPr>
              <w:keepNext w:val="0"/>
              <w:keepLines w:val="0"/>
              <w:widowControl/>
              <w:suppressLineNumbers w:val="0"/>
              <w:jc w:val="center"/>
              <w:textAlignment w:val="center"/>
              <w:rPr>
                <w:rFonts w:hint="default" w:ascii="Times New Roman" w:hAnsi="Times New Roman" w:eastAsia="宋体" w:cs="Times New Roman"/>
                <w:b/>
                <w:bCs/>
                <w:sz w:val="15"/>
                <w:szCs w:val="15"/>
                <w:vertAlign w:val="baseline"/>
              </w:rPr>
            </w:pPr>
            <w:r>
              <w:rPr>
                <w:rFonts w:hint="default" w:ascii="Times New Roman" w:hAnsi="Times New Roman" w:eastAsia="宋体" w:cs="Times New Roman"/>
                <w:b/>
                <w:bCs/>
                <w:i w:val="0"/>
                <w:iCs w:val="0"/>
                <w:color w:val="000000"/>
                <w:kern w:val="0"/>
                <w:sz w:val="15"/>
                <w:szCs w:val="15"/>
                <w:u w:val="none"/>
                <w:lang w:val="en-US" w:eastAsia="zh-CN" w:bidi="ar"/>
              </w:rPr>
              <w:t>A(log10FC)</w:t>
            </w:r>
          </w:p>
        </w:tc>
        <w:tc>
          <w:tcPr>
            <w:tcW w:w="0" w:type="auto"/>
            <w:vAlign w:val="center"/>
          </w:tcPr>
          <w:p w14:paraId="1EE60554">
            <w:pPr>
              <w:keepNext w:val="0"/>
              <w:keepLines w:val="0"/>
              <w:widowControl/>
              <w:suppressLineNumbers w:val="0"/>
              <w:jc w:val="center"/>
              <w:textAlignment w:val="center"/>
              <w:rPr>
                <w:rFonts w:hint="default" w:ascii="Times New Roman" w:hAnsi="Times New Roman" w:eastAsia="宋体" w:cs="Times New Roman"/>
                <w:b/>
                <w:bCs/>
                <w:sz w:val="15"/>
                <w:szCs w:val="15"/>
                <w:vertAlign w:val="baseline"/>
              </w:rPr>
            </w:pPr>
            <w:r>
              <w:rPr>
                <w:rFonts w:hint="default" w:ascii="Times New Roman" w:hAnsi="Times New Roman" w:eastAsia="宋体" w:cs="Times New Roman"/>
                <w:b/>
                <w:bCs/>
                <w:i w:val="0"/>
                <w:iCs w:val="0"/>
                <w:color w:val="000000"/>
                <w:kern w:val="0"/>
                <w:sz w:val="15"/>
                <w:szCs w:val="15"/>
                <w:u w:val="none"/>
                <w:lang w:val="en-US" w:eastAsia="zh-CN" w:bidi="ar"/>
              </w:rPr>
              <w:t>B(log10FC)</w:t>
            </w:r>
          </w:p>
        </w:tc>
        <w:tc>
          <w:tcPr>
            <w:tcW w:w="0" w:type="auto"/>
            <w:vAlign w:val="center"/>
          </w:tcPr>
          <w:p w14:paraId="439F81B3">
            <w:pPr>
              <w:keepNext w:val="0"/>
              <w:keepLines w:val="0"/>
              <w:widowControl/>
              <w:suppressLineNumbers w:val="0"/>
              <w:jc w:val="center"/>
              <w:textAlignment w:val="center"/>
              <w:rPr>
                <w:rFonts w:hint="default" w:ascii="Times New Roman" w:hAnsi="Times New Roman" w:eastAsia="宋体" w:cs="Times New Roman"/>
                <w:b/>
                <w:bCs/>
                <w:sz w:val="15"/>
                <w:szCs w:val="15"/>
                <w:vertAlign w:val="baseline"/>
              </w:rPr>
            </w:pPr>
            <w:r>
              <w:rPr>
                <w:rFonts w:hint="default" w:ascii="Times New Roman" w:hAnsi="Times New Roman" w:eastAsia="宋体" w:cs="Times New Roman"/>
                <w:b/>
                <w:bCs/>
                <w:i w:val="0"/>
                <w:iCs w:val="0"/>
                <w:color w:val="000000"/>
                <w:kern w:val="0"/>
                <w:sz w:val="15"/>
                <w:szCs w:val="15"/>
                <w:u w:val="none"/>
                <w:lang w:val="en-US" w:eastAsia="zh-CN" w:bidi="ar"/>
              </w:rPr>
              <w:t>C(log10FC)</w:t>
            </w:r>
          </w:p>
        </w:tc>
        <w:tc>
          <w:tcPr>
            <w:tcW w:w="0" w:type="auto"/>
            <w:vAlign w:val="center"/>
          </w:tcPr>
          <w:p w14:paraId="316CA82A">
            <w:pPr>
              <w:keepNext w:val="0"/>
              <w:keepLines w:val="0"/>
              <w:widowControl/>
              <w:suppressLineNumbers w:val="0"/>
              <w:jc w:val="center"/>
              <w:textAlignment w:val="center"/>
              <w:rPr>
                <w:rFonts w:hint="default" w:ascii="Times New Roman" w:hAnsi="Times New Roman" w:eastAsia="宋体" w:cs="Times New Roman"/>
                <w:b/>
                <w:bCs/>
                <w:sz w:val="15"/>
                <w:szCs w:val="15"/>
                <w:vertAlign w:val="baseline"/>
              </w:rPr>
            </w:pPr>
            <w:r>
              <w:rPr>
                <w:rFonts w:hint="default" w:ascii="Times New Roman" w:hAnsi="Times New Roman" w:eastAsia="宋体" w:cs="Times New Roman"/>
                <w:b/>
                <w:bCs/>
                <w:i w:val="0"/>
                <w:iCs w:val="0"/>
                <w:color w:val="000000"/>
                <w:kern w:val="0"/>
                <w:sz w:val="15"/>
                <w:szCs w:val="15"/>
                <w:u w:val="none"/>
                <w:lang w:val="en-US" w:eastAsia="zh-CN" w:bidi="ar"/>
              </w:rPr>
              <w:t>D(log10FC)</w:t>
            </w:r>
          </w:p>
        </w:tc>
      </w:tr>
      <w:tr w14:paraId="741F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27100976">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1</w:t>
            </w:r>
          </w:p>
        </w:tc>
        <w:tc>
          <w:tcPr>
            <w:tcW w:w="0" w:type="auto"/>
            <w:vAlign w:val="center"/>
          </w:tcPr>
          <w:p w14:paraId="257628BF">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L-Pipecolate</w:t>
            </w:r>
          </w:p>
        </w:tc>
        <w:tc>
          <w:tcPr>
            <w:tcW w:w="0" w:type="auto"/>
            <w:vAlign w:val="center"/>
          </w:tcPr>
          <w:p w14:paraId="02BCB474">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34206EE8">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7.33±0.005</w:t>
            </w:r>
          </w:p>
        </w:tc>
        <w:tc>
          <w:tcPr>
            <w:tcW w:w="0" w:type="auto"/>
            <w:vAlign w:val="center"/>
          </w:tcPr>
          <w:p w14:paraId="21755094">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7.2±0.013</w:t>
            </w:r>
          </w:p>
        </w:tc>
        <w:tc>
          <w:tcPr>
            <w:tcW w:w="0" w:type="auto"/>
            <w:vAlign w:val="center"/>
          </w:tcPr>
          <w:p w14:paraId="087F77BB">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7.23±0.005</w:t>
            </w:r>
          </w:p>
        </w:tc>
        <w:tc>
          <w:tcPr>
            <w:tcW w:w="0" w:type="auto"/>
            <w:vAlign w:val="center"/>
          </w:tcPr>
          <w:p w14:paraId="7E179D13">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6.95±0.005</w:t>
            </w:r>
          </w:p>
        </w:tc>
        <w:tc>
          <w:tcPr>
            <w:tcW w:w="0" w:type="auto"/>
            <w:vAlign w:val="center"/>
          </w:tcPr>
          <w:p w14:paraId="67D7191D">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7.02±0.005</w:t>
            </w:r>
          </w:p>
        </w:tc>
      </w:tr>
      <w:tr w14:paraId="7B38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16C6FA8B">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2</w:t>
            </w:r>
          </w:p>
        </w:tc>
        <w:tc>
          <w:tcPr>
            <w:tcW w:w="0" w:type="auto"/>
            <w:vAlign w:val="center"/>
          </w:tcPr>
          <w:p w14:paraId="0C90D634">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L-Tryptophan</w:t>
            </w:r>
          </w:p>
        </w:tc>
        <w:tc>
          <w:tcPr>
            <w:tcW w:w="0" w:type="auto"/>
            <w:vAlign w:val="center"/>
          </w:tcPr>
          <w:p w14:paraId="144C600B">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0E14F6E9">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8.32±0.001</w:t>
            </w:r>
          </w:p>
        </w:tc>
        <w:tc>
          <w:tcPr>
            <w:tcW w:w="0" w:type="auto"/>
            <w:vAlign w:val="center"/>
          </w:tcPr>
          <w:p w14:paraId="03545AC1">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8.34±0.004</w:t>
            </w:r>
          </w:p>
        </w:tc>
        <w:tc>
          <w:tcPr>
            <w:tcW w:w="0" w:type="auto"/>
            <w:vAlign w:val="center"/>
          </w:tcPr>
          <w:p w14:paraId="4CD727E5">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8.33±0.001</w:t>
            </w:r>
          </w:p>
        </w:tc>
        <w:tc>
          <w:tcPr>
            <w:tcW w:w="0" w:type="auto"/>
            <w:vAlign w:val="center"/>
          </w:tcPr>
          <w:p w14:paraId="49423956">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8.05±0.007</w:t>
            </w:r>
          </w:p>
        </w:tc>
        <w:tc>
          <w:tcPr>
            <w:tcW w:w="0" w:type="auto"/>
            <w:vAlign w:val="center"/>
          </w:tcPr>
          <w:p w14:paraId="576BED5E">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8.3±0.002</w:t>
            </w:r>
          </w:p>
        </w:tc>
      </w:tr>
      <w:tr w14:paraId="0898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2107B98D">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3</w:t>
            </w:r>
          </w:p>
        </w:tc>
        <w:tc>
          <w:tcPr>
            <w:tcW w:w="0" w:type="auto"/>
            <w:vAlign w:val="center"/>
          </w:tcPr>
          <w:p w14:paraId="796E1D93">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isoleucine</w:t>
            </w:r>
          </w:p>
        </w:tc>
        <w:tc>
          <w:tcPr>
            <w:tcW w:w="0" w:type="auto"/>
            <w:vAlign w:val="center"/>
          </w:tcPr>
          <w:p w14:paraId="344DA32D">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7B4B6262">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8.55±0.005</w:t>
            </w:r>
          </w:p>
        </w:tc>
        <w:tc>
          <w:tcPr>
            <w:tcW w:w="0" w:type="auto"/>
            <w:vAlign w:val="center"/>
          </w:tcPr>
          <w:p w14:paraId="74879EC5">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8.77±0.006</w:t>
            </w:r>
          </w:p>
        </w:tc>
        <w:tc>
          <w:tcPr>
            <w:tcW w:w="0" w:type="auto"/>
            <w:vAlign w:val="center"/>
          </w:tcPr>
          <w:p w14:paraId="51AD2829">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8.74±0.003</w:t>
            </w:r>
          </w:p>
        </w:tc>
        <w:tc>
          <w:tcPr>
            <w:tcW w:w="0" w:type="auto"/>
            <w:vAlign w:val="center"/>
          </w:tcPr>
          <w:p w14:paraId="53B3AD5C">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8.31±0.005</w:t>
            </w:r>
          </w:p>
        </w:tc>
        <w:tc>
          <w:tcPr>
            <w:tcW w:w="0" w:type="auto"/>
            <w:vAlign w:val="center"/>
          </w:tcPr>
          <w:p w14:paraId="1DD9B790">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8.64±0.003</w:t>
            </w:r>
          </w:p>
        </w:tc>
      </w:tr>
      <w:tr w14:paraId="04AC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7262F37D">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4</w:t>
            </w:r>
          </w:p>
        </w:tc>
        <w:tc>
          <w:tcPr>
            <w:tcW w:w="0" w:type="auto"/>
            <w:vAlign w:val="center"/>
          </w:tcPr>
          <w:p w14:paraId="2F41F36D">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L-Leucine</w:t>
            </w:r>
          </w:p>
        </w:tc>
        <w:tc>
          <w:tcPr>
            <w:tcW w:w="0" w:type="auto"/>
            <w:vAlign w:val="center"/>
          </w:tcPr>
          <w:p w14:paraId="65B35E75">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1B845D23">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8.33±0.006</w:t>
            </w:r>
          </w:p>
        </w:tc>
        <w:tc>
          <w:tcPr>
            <w:tcW w:w="0" w:type="auto"/>
            <w:vAlign w:val="center"/>
          </w:tcPr>
          <w:p w14:paraId="6F3D5D30">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8.61±0.008</w:t>
            </w:r>
          </w:p>
        </w:tc>
        <w:tc>
          <w:tcPr>
            <w:tcW w:w="0" w:type="auto"/>
            <w:vAlign w:val="center"/>
          </w:tcPr>
          <w:p w14:paraId="19EAEA5A">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8.55±0.003</w:t>
            </w:r>
          </w:p>
        </w:tc>
        <w:tc>
          <w:tcPr>
            <w:tcW w:w="0" w:type="auto"/>
            <w:vAlign w:val="center"/>
          </w:tcPr>
          <w:p w14:paraId="596940A0">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8.08±0.006</w:t>
            </w:r>
          </w:p>
        </w:tc>
        <w:tc>
          <w:tcPr>
            <w:tcW w:w="0" w:type="auto"/>
            <w:vAlign w:val="center"/>
          </w:tcPr>
          <w:p w14:paraId="6A69A274">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8.44±0.004</w:t>
            </w:r>
          </w:p>
        </w:tc>
      </w:tr>
      <w:tr w14:paraId="18A5A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175A240D">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5</w:t>
            </w:r>
          </w:p>
        </w:tc>
        <w:tc>
          <w:tcPr>
            <w:tcW w:w="0" w:type="auto"/>
            <w:vAlign w:val="center"/>
          </w:tcPr>
          <w:p w14:paraId="4A2717B1">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L-Ornithine</w:t>
            </w:r>
          </w:p>
        </w:tc>
        <w:tc>
          <w:tcPr>
            <w:tcW w:w="0" w:type="auto"/>
            <w:vAlign w:val="center"/>
          </w:tcPr>
          <w:p w14:paraId="33E99415">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2CF73864">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7.84±0.006</w:t>
            </w:r>
          </w:p>
        </w:tc>
        <w:tc>
          <w:tcPr>
            <w:tcW w:w="0" w:type="auto"/>
            <w:vAlign w:val="center"/>
          </w:tcPr>
          <w:p w14:paraId="6BDAD768">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7.78±0.002</w:t>
            </w:r>
          </w:p>
        </w:tc>
        <w:tc>
          <w:tcPr>
            <w:tcW w:w="0" w:type="auto"/>
            <w:vAlign w:val="center"/>
          </w:tcPr>
          <w:p w14:paraId="417A792B">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7.82±0.002</w:t>
            </w:r>
          </w:p>
        </w:tc>
        <w:tc>
          <w:tcPr>
            <w:tcW w:w="0" w:type="auto"/>
            <w:vAlign w:val="center"/>
          </w:tcPr>
          <w:p w14:paraId="20DA7C30">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7.62±0.005</w:t>
            </w:r>
          </w:p>
        </w:tc>
        <w:tc>
          <w:tcPr>
            <w:tcW w:w="0" w:type="auto"/>
            <w:vAlign w:val="center"/>
          </w:tcPr>
          <w:p w14:paraId="263CA32C">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7.78±0.001</w:t>
            </w:r>
          </w:p>
        </w:tc>
      </w:tr>
      <w:tr w14:paraId="3C09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3BBF4C2E">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6</w:t>
            </w:r>
          </w:p>
        </w:tc>
        <w:tc>
          <w:tcPr>
            <w:tcW w:w="0" w:type="auto"/>
            <w:vAlign w:val="center"/>
          </w:tcPr>
          <w:p w14:paraId="351053C5">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4-Aminobutyric acid</w:t>
            </w:r>
          </w:p>
        </w:tc>
        <w:tc>
          <w:tcPr>
            <w:tcW w:w="0" w:type="auto"/>
            <w:vAlign w:val="center"/>
          </w:tcPr>
          <w:p w14:paraId="5335C26D">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7785DA06">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7.39±0.008</w:t>
            </w:r>
          </w:p>
        </w:tc>
        <w:tc>
          <w:tcPr>
            <w:tcW w:w="0" w:type="auto"/>
            <w:vAlign w:val="center"/>
          </w:tcPr>
          <w:p w14:paraId="52DD8DBA">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7.52±0.005</w:t>
            </w:r>
          </w:p>
        </w:tc>
        <w:tc>
          <w:tcPr>
            <w:tcW w:w="0" w:type="auto"/>
            <w:vAlign w:val="center"/>
          </w:tcPr>
          <w:p w14:paraId="484A251D">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7.57±0.01</w:t>
            </w:r>
          </w:p>
        </w:tc>
        <w:tc>
          <w:tcPr>
            <w:tcW w:w="0" w:type="auto"/>
            <w:vAlign w:val="center"/>
          </w:tcPr>
          <w:p w14:paraId="022BB8C0">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6.94±0.009</w:t>
            </w:r>
          </w:p>
        </w:tc>
        <w:tc>
          <w:tcPr>
            <w:tcW w:w="0" w:type="auto"/>
            <w:vAlign w:val="center"/>
          </w:tcPr>
          <w:p w14:paraId="0CFDEB8C">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7.67±0.003</w:t>
            </w:r>
          </w:p>
        </w:tc>
      </w:tr>
      <w:tr w14:paraId="64E3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7E42244B">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w:t>
            </w:r>
          </w:p>
        </w:tc>
        <w:tc>
          <w:tcPr>
            <w:tcW w:w="0" w:type="auto"/>
            <w:vAlign w:val="center"/>
          </w:tcPr>
          <w:p w14:paraId="106771B1">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L-arginine</w:t>
            </w:r>
          </w:p>
        </w:tc>
        <w:tc>
          <w:tcPr>
            <w:tcW w:w="0" w:type="auto"/>
            <w:vAlign w:val="center"/>
          </w:tcPr>
          <w:p w14:paraId="0E2D2ED1">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010CB84B">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8.6±0.006</w:t>
            </w:r>
          </w:p>
        </w:tc>
        <w:tc>
          <w:tcPr>
            <w:tcW w:w="0" w:type="auto"/>
            <w:vAlign w:val="center"/>
          </w:tcPr>
          <w:p w14:paraId="3C4665A2">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8.48±0.003</w:t>
            </w:r>
          </w:p>
        </w:tc>
        <w:tc>
          <w:tcPr>
            <w:tcW w:w="0" w:type="auto"/>
            <w:vAlign w:val="center"/>
          </w:tcPr>
          <w:p w14:paraId="0E9EF982">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8.57±0.002</w:t>
            </w:r>
          </w:p>
        </w:tc>
        <w:tc>
          <w:tcPr>
            <w:tcW w:w="0" w:type="auto"/>
            <w:vAlign w:val="center"/>
          </w:tcPr>
          <w:p w14:paraId="39706A15">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8.22±0.001</w:t>
            </w:r>
          </w:p>
        </w:tc>
        <w:tc>
          <w:tcPr>
            <w:tcW w:w="0" w:type="auto"/>
            <w:vAlign w:val="center"/>
          </w:tcPr>
          <w:p w14:paraId="2E7BB795">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8.41±0.006</w:t>
            </w:r>
          </w:p>
        </w:tc>
      </w:tr>
      <w:tr w14:paraId="111F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08D4B1E4">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0" w:type="auto"/>
            <w:vAlign w:val="center"/>
          </w:tcPr>
          <w:p w14:paraId="6ED249B1">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N-Methylsarcosine</w:t>
            </w:r>
          </w:p>
        </w:tc>
        <w:tc>
          <w:tcPr>
            <w:tcW w:w="0" w:type="auto"/>
            <w:vAlign w:val="center"/>
          </w:tcPr>
          <w:p w14:paraId="41473150">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76F471C4">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7.64±0.006</w:t>
            </w:r>
          </w:p>
        </w:tc>
        <w:tc>
          <w:tcPr>
            <w:tcW w:w="0" w:type="auto"/>
            <w:vAlign w:val="center"/>
          </w:tcPr>
          <w:p w14:paraId="2FDA9B0C">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7.51±0.01</w:t>
            </w:r>
          </w:p>
        </w:tc>
        <w:tc>
          <w:tcPr>
            <w:tcW w:w="0" w:type="auto"/>
            <w:vAlign w:val="center"/>
          </w:tcPr>
          <w:p w14:paraId="4512F2C9">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7.56±0.008</w:t>
            </w:r>
          </w:p>
        </w:tc>
        <w:tc>
          <w:tcPr>
            <w:tcW w:w="0" w:type="auto"/>
            <w:vAlign w:val="center"/>
          </w:tcPr>
          <w:p w14:paraId="510E5F09">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7.33±0.004</w:t>
            </w:r>
          </w:p>
        </w:tc>
        <w:tc>
          <w:tcPr>
            <w:tcW w:w="0" w:type="auto"/>
            <w:vAlign w:val="center"/>
          </w:tcPr>
          <w:p w14:paraId="2C3BB57A">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7.54±0.01</w:t>
            </w:r>
          </w:p>
        </w:tc>
      </w:tr>
      <w:tr w14:paraId="1FE5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06107003">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9</w:t>
            </w:r>
          </w:p>
        </w:tc>
        <w:tc>
          <w:tcPr>
            <w:tcW w:w="0" w:type="auto"/>
            <w:vAlign w:val="center"/>
          </w:tcPr>
          <w:p w14:paraId="457316B5">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Nicotianamine</w:t>
            </w:r>
          </w:p>
        </w:tc>
        <w:tc>
          <w:tcPr>
            <w:tcW w:w="0" w:type="auto"/>
            <w:vAlign w:val="center"/>
          </w:tcPr>
          <w:p w14:paraId="512A2122">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46E37AA9">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7.43±0.006</w:t>
            </w:r>
          </w:p>
        </w:tc>
        <w:tc>
          <w:tcPr>
            <w:tcW w:w="0" w:type="auto"/>
            <w:vAlign w:val="center"/>
          </w:tcPr>
          <w:p w14:paraId="3678F08B">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7.1±0.009</w:t>
            </w:r>
          </w:p>
        </w:tc>
        <w:tc>
          <w:tcPr>
            <w:tcW w:w="0" w:type="auto"/>
            <w:vAlign w:val="center"/>
          </w:tcPr>
          <w:p w14:paraId="1F0C375F">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7.22±0.009</w:t>
            </w:r>
          </w:p>
        </w:tc>
        <w:tc>
          <w:tcPr>
            <w:tcW w:w="0" w:type="auto"/>
            <w:vAlign w:val="center"/>
          </w:tcPr>
          <w:p w14:paraId="7BDBFCA9">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6.49±0.004</w:t>
            </w:r>
          </w:p>
        </w:tc>
        <w:tc>
          <w:tcPr>
            <w:tcW w:w="0" w:type="auto"/>
            <w:vAlign w:val="center"/>
          </w:tcPr>
          <w:p w14:paraId="5CA4E512">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7.05±0.007</w:t>
            </w:r>
          </w:p>
        </w:tc>
      </w:tr>
      <w:tr w14:paraId="51492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7EAC4EB0">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0" w:type="auto"/>
            <w:vAlign w:val="center"/>
          </w:tcPr>
          <w:p w14:paraId="1C8AC177">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N-Methyl-a-aminoisobutyric acid</w:t>
            </w:r>
          </w:p>
        </w:tc>
        <w:tc>
          <w:tcPr>
            <w:tcW w:w="0" w:type="auto"/>
            <w:vAlign w:val="center"/>
          </w:tcPr>
          <w:p w14:paraId="7305BFCA">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24F5F170">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8.28±0.008</w:t>
            </w:r>
          </w:p>
        </w:tc>
        <w:tc>
          <w:tcPr>
            <w:tcW w:w="0" w:type="auto"/>
            <w:vAlign w:val="center"/>
          </w:tcPr>
          <w:p w14:paraId="56A57076">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8.39±0.002</w:t>
            </w:r>
          </w:p>
        </w:tc>
        <w:tc>
          <w:tcPr>
            <w:tcW w:w="0" w:type="auto"/>
            <w:vAlign w:val="center"/>
          </w:tcPr>
          <w:p w14:paraId="7A1A369F">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8.38±0.021</w:t>
            </w:r>
          </w:p>
        </w:tc>
        <w:tc>
          <w:tcPr>
            <w:tcW w:w="0" w:type="auto"/>
            <w:vAlign w:val="center"/>
          </w:tcPr>
          <w:p w14:paraId="4DA2AD56">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7.77±0.013</w:t>
            </w:r>
          </w:p>
        </w:tc>
        <w:tc>
          <w:tcPr>
            <w:tcW w:w="0" w:type="auto"/>
            <w:vAlign w:val="center"/>
          </w:tcPr>
          <w:p w14:paraId="242F2CB8">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8.36±0.01</w:t>
            </w:r>
          </w:p>
        </w:tc>
      </w:tr>
      <w:tr w14:paraId="531F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1B79C331">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11</w:t>
            </w:r>
          </w:p>
        </w:tc>
        <w:tc>
          <w:tcPr>
            <w:tcW w:w="0" w:type="auto"/>
            <w:vAlign w:val="center"/>
          </w:tcPr>
          <w:p w14:paraId="79B76571">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Histidine</w:t>
            </w:r>
          </w:p>
        </w:tc>
        <w:tc>
          <w:tcPr>
            <w:tcW w:w="0" w:type="auto"/>
            <w:vAlign w:val="center"/>
          </w:tcPr>
          <w:p w14:paraId="75E0CDFA">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333A7F06">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8.51±0.004</w:t>
            </w:r>
          </w:p>
        </w:tc>
        <w:tc>
          <w:tcPr>
            <w:tcW w:w="0" w:type="auto"/>
            <w:vAlign w:val="center"/>
          </w:tcPr>
          <w:p w14:paraId="2FBF7897">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8.37±0.003</w:t>
            </w:r>
          </w:p>
        </w:tc>
        <w:tc>
          <w:tcPr>
            <w:tcW w:w="0" w:type="auto"/>
            <w:vAlign w:val="center"/>
          </w:tcPr>
          <w:p w14:paraId="71C687C3">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8.42±0.002</w:t>
            </w:r>
          </w:p>
        </w:tc>
        <w:tc>
          <w:tcPr>
            <w:tcW w:w="0" w:type="auto"/>
            <w:vAlign w:val="center"/>
          </w:tcPr>
          <w:p w14:paraId="0207EB07">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7.96±0.013</w:t>
            </w:r>
          </w:p>
        </w:tc>
        <w:tc>
          <w:tcPr>
            <w:tcW w:w="0" w:type="auto"/>
            <w:vAlign w:val="center"/>
          </w:tcPr>
          <w:p w14:paraId="3FCB77AE">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8.32±0.003</w:t>
            </w:r>
          </w:p>
        </w:tc>
      </w:tr>
      <w:tr w14:paraId="5E0F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14D72489">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0" w:type="auto"/>
            <w:vAlign w:val="center"/>
          </w:tcPr>
          <w:p w14:paraId="23C15292">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Glutamine</w:t>
            </w:r>
          </w:p>
        </w:tc>
        <w:tc>
          <w:tcPr>
            <w:tcW w:w="0" w:type="auto"/>
            <w:vAlign w:val="center"/>
          </w:tcPr>
          <w:p w14:paraId="4CA87D97">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59B630F3">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8.53±0.003</w:t>
            </w:r>
          </w:p>
        </w:tc>
        <w:tc>
          <w:tcPr>
            <w:tcW w:w="0" w:type="auto"/>
            <w:vAlign w:val="center"/>
          </w:tcPr>
          <w:p w14:paraId="0091B63D">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8.44±0.004</w:t>
            </w:r>
          </w:p>
        </w:tc>
        <w:tc>
          <w:tcPr>
            <w:tcW w:w="0" w:type="auto"/>
            <w:vAlign w:val="center"/>
          </w:tcPr>
          <w:p w14:paraId="1D90050D">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8.48±0.002</w:t>
            </w:r>
          </w:p>
        </w:tc>
        <w:tc>
          <w:tcPr>
            <w:tcW w:w="0" w:type="auto"/>
            <w:vAlign w:val="center"/>
          </w:tcPr>
          <w:p w14:paraId="22CF142B">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7.71±0.009</w:t>
            </w:r>
          </w:p>
        </w:tc>
        <w:tc>
          <w:tcPr>
            <w:tcW w:w="0" w:type="auto"/>
            <w:vAlign w:val="center"/>
          </w:tcPr>
          <w:p w14:paraId="227CE2C4">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8.24±0.007</w:t>
            </w:r>
          </w:p>
        </w:tc>
      </w:tr>
      <w:tr w14:paraId="5E23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69249DAD">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0" w:type="auto"/>
            <w:vAlign w:val="center"/>
          </w:tcPr>
          <w:p w14:paraId="4AE629F6">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Dl-Alanyl-glycine</w:t>
            </w:r>
          </w:p>
        </w:tc>
        <w:tc>
          <w:tcPr>
            <w:tcW w:w="0" w:type="auto"/>
            <w:vAlign w:val="center"/>
          </w:tcPr>
          <w:p w14:paraId="7865769D">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627494FD">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7.73±0.002</w:t>
            </w:r>
          </w:p>
        </w:tc>
        <w:tc>
          <w:tcPr>
            <w:tcW w:w="0" w:type="auto"/>
            <w:vAlign w:val="center"/>
          </w:tcPr>
          <w:p w14:paraId="592358FD">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7.6±0.004</w:t>
            </w:r>
          </w:p>
        </w:tc>
        <w:tc>
          <w:tcPr>
            <w:tcW w:w="0" w:type="auto"/>
            <w:vAlign w:val="center"/>
          </w:tcPr>
          <w:p w14:paraId="00DB9FD0">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7.66±0.003</w:t>
            </w:r>
          </w:p>
        </w:tc>
        <w:tc>
          <w:tcPr>
            <w:tcW w:w="0" w:type="auto"/>
            <w:vAlign w:val="center"/>
          </w:tcPr>
          <w:p w14:paraId="045C5285">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7.66±0.003</w:t>
            </w:r>
          </w:p>
        </w:tc>
        <w:tc>
          <w:tcPr>
            <w:tcW w:w="0" w:type="auto"/>
            <w:vAlign w:val="center"/>
          </w:tcPr>
          <w:p w14:paraId="69FB9F1C">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7.62±0.001</w:t>
            </w:r>
          </w:p>
        </w:tc>
      </w:tr>
      <w:tr w14:paraId="05BC9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0" w:type="auto"/>
            <w:vAlign w:val="center"/>
          </w:tcPr>
          <w:p w14:paraId="211CDEB3">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0" w:type="auto"/>
            <w:vAlign w:val="center"/>
          </w:tcPr>
          <w:p w14:paraId="4555218D">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Cycloleucine</w:t>
            </w:r>
          </w:p>
        </w:tc>
        <w:tc>
          <w:tcPr>
            <w:tcW w:w="0" w:type="auto"/>
            <w:vAlign w:val="center"/>
          </w:tcPr>
          <w:p w14:paraId="220C2C99">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2FD09A49">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7.78±0.002</w:t>
            </w:r>
          </w:p>
        </w:tc>
        <w:tc>
          <w:tcPr>
            <w:tcW w:w="0" w:type="auto"/>
            <w:vAlign w:val="center"/>
          </w:tcPr>
          <w:p w14:paraId="0164DE3A">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7.84±0.003</w:t>
            </w:r>
          </w:p>
        </w:tc>
        <w:tc>
          <w:tcPr>
            <w:tcW w:w="0" w:type="auto"/>
            <w:vAlign w:val="center"/>
          </w:tcPr>
          <w:p w14:paraId="2A0919F2">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7.72±0.004</w:t>
            </w:r>
          </w:p>
        </w:tc>
        <w:tc>
          <w:tcPr>
            <w:tcW w:w="0" w:type="auto"/>
            <w:vAlign w:val="center"/>
          </w:tcPr>
          <w:p w14:paraId="0BF828D8">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8.15±0.003</w:t>
            </w:r>
          </w:p>
        </w:tc>
        <w:tc>
          <w:tcPr>
            <w:tcW w:w="0" w:type="auto"/>
            <w:vAlign w:val="center"/>
          </w:tcPr>
          <w:p w14:paraId="7E33F0CC">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7.91±0.018</w:t>
            </w:r>
          </w:p>
        </w:tc>
      </w:tr>
      <w:tr w14:paraId="7ECB1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7E071156">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0" w:type="auto"/>
            <w:vAlign w:val="center"/>
          </w:tcPr>
          <w:p w14:paraId="3E68B313">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L-lysine</w:t>
            </w:r>
          </w:p>
        </w:tc>
        <w:tc>
          <w:tcPr>
            <w:tcW w:w="0" w:type="auto"/>
            <w:vAlign w:val="center"/>
          </w:tcPr>
          <w:p w14:paraId="29CD74AC">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1FAE946E">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8.47±0.004</w:t>
            </w:r>
          </w:p>
        </w:tc>
        <w:tc>
          <w:tcPr>
            <w:tcW w:w="0" w:type="auto"/>
            <w:vAlign w:val="center"/>
          </w:tcPr>
          <w:p w14:paraId="01598C08">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8.43±0.004</w:t>
            </w:r>
          </w:p>
        </w:tc>
        <w:tc>
          <w:tcPr>
            <w:tcW w:w="0" w:type="auto"/>
            <w:vAlign w:val="center"/>
          </w:tcPr>
          <w:p w14:paraId="658513FB">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8.45±0.002</w:t>
            </w:r>
          </w:p>
        </w:tc>
        <w:tc>
          <w:tcPr>
            <w:tcW w:w="0" w:type="auto"/>
            <w:vAlign w:val="center"/>
          </w:tcPr>
          <w:p w14:paraId="4B751E2F">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7.76±0.004</w:t>
            </w:r>
          </w:p>
        </w:tc>
        <w:tc>
          <w:tcPr>
            <w:tcW w:w="0" w:type="auto"/>
            <w:vAlign w:val="center"/>
          </w:tcPr>
          <w:p w14:paraId="6F519DC1">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8.26±0.005</w:t>
            </w:r>
          </w:p>
        </w:tc>
      </w:tr>
      <w:tr w14:paraId="3D307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1615DAE9">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0" w:type="auto"/>
            <w:vAlign w:val="center"/>
          </w:tcPr>
          <w:p w14:paraId="01466DA9">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beta-Alanine methyl ester</w:t>
            </w:r>
          </w:p>
        </w:tc>
        <w:tc>
          <w:tcPr>
            <w:tcW w:w="0" w:type="auto"/>
            <w:vAlign w:val="center"/>
          </w:tcPr>
          <w:p w14:paraId="791796C5">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21F9562B">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7.1±0.002</w:t>
            </w:r>
          </w:p>
        </w:tc>
        <w:tc>
          <w:tcPr>
            <w:tcW w:w="0" w:type="auto"/>
            <w:vAlign w:val="center"/>
          </w:tcPr>
          <w:p w14:paraId="536BFE9B">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7.34±0.009</w:t>
            </w:r>
          </w:p>
        </w:tc>
        <w:tc>
          <w:tcPr>
            <w:tcW w:w="0" w:type="auto"/>
            <w:vAlign w:val="center"/>
          </w:tcPr>
          <w:p w14:paraId="77DE8A9E">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7.37±0.003</w:t>
            </w:r>
          </w:p>
        </w:tc>
        <w:tc>
          <w:tcPr>
            <w:tcW w:w="0" w:type="auto"/>
            <w:vAlign w:val="center"/>
          </w:tcPr>
          <w:p w14:paraId="4B676439">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6.56±0.001</w:t>
            </w:r>
          </w:p>
        </w:tc>
        <w:tc>
          <w:tcPr>
            <w:tcW w:w="0" w:type="auto"/>
            <w:vAlign w:val="center"/>
          </w:tcPr>
          <w:p w14:paraId="7B8A8615">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7.46±0.014</w:t>
            </w:r>
          </w:p>
        </w:tc>
      </w:tr>
      <w:tr w14:paraId="62B79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763E45DF">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17</w:t>
            </w:r>
          </w:p>
        </w:tc>
        <w:tc>
          <w:tcPr>
            <w:tcW w:w="0" w:type="auto"/>
            <w:vAlign w:val="center"/>
          </w:tcPr>
          <w:p w14:paraId="3AF73183">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2-Aminoadipic acid</w:t>
            </w:r>
          </w:p>
        </w:tc>
        <w:tc>
          <w:tcPr>
            <w:tcW w:w="0" w:type="auto"/>
            <w:vAlign w:val="center"/>
          </w:tcPr>
          <w:p w14:paraId="74FA44D6">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09FE7968">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6.69±0.013</w:t>
            </w:r>
          </w:p>
        </w:tc>
        <w:tc>
          <w:tcPr>
            <w:tcW w:w="0" w:type="auto"/>
            <w:vAlign w:val="center"/>
          </w:tcPr>
          <w:p w14:paraId="250F5238">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7.06±0.009</w:t>
            </w:r>
          </w:p>
        </w:tc>
        <w:tc>
          <w:tcPr>
            <w:tcW w:w="0" w:type="auto"/>
            <w:vAlign w:val="center"/>
          </w:tcPr>
          <w:p w14:paraId="0D95BE5B">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6.92±0.015</w:t>
            </w:r>
          </w:p>
        </w:tc>
        <w:tc>
          <w:tcPr>
            <w:tcW w:w="0" w:type="auto"/>
            <w:vAlign w:val="center"/>
          </w:tcPr>
          <w:p w14:paraId="67527189">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7.47±0.006</w:t>
            </w:r>
          </w:p>
        </w:tc>
        <w:tc>
          <w:tcPr>
            <w:tcW w:w="0" w:type="auto"/>
            <w:vAlign w:val="center"/>
          </w:tcPr>
          <w:p w14:paraId="7A22B5A3">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7.1±0.004</w:t>
            </w:r>
          </w:p>
        </w:tc>
      </w:tr>
      <w:tr w14:paraId="039F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4FB3FD93">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0" w:type="auto"/>
            <w:vAlign w:val="center"/>
          </w:tcPr>
          <w:p w14:paraId="41A793A9">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N-Hydroxyl-tryptamine</w:t>
            </w:r>
          </w:p>
        </w:tc>
        <w:tc>
          <w:tcPr>
            <w:tcW w:w="0" w:type="auto"/>
            <w:vAlign w:val="center"/>
          </w:tcPr>
          <w:p w14:paraId="07D5155F">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6CAA8847">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7.67±0.003</w:t>
            </w:r>
          </w:p>
        </w:tc>
        <w:tc>
          <w:tcPr>
            <w:tcW w:w="0" w:type="auto"/>
            <w:vAlign w:val="center"/>
          </w:tcPr>
          <w:p w14:paraId="68382C40">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7.4±0.006</w:t>
            </w:r>
          </w:p>
        </w:tc>
        <w:tc>
          <w:tcPr>
            <w:tcW w:w="0" w:type="auto"/>
            <w:vAlign w:val="center"/>
          </w:tcPr>
          <w:p w14:paraId="2329B8D1">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7.38±0.007</w:t>
            </w:r>
          </w:p>
        </w:tc>
        <w:tc>
          <w:tcPr>
            <w:tcW w:w="0" w:type="auto"/>
            <w:vAlign w:val="center"/>
          </w:tcPr>
          <w:p w14:paraId="63AC5E6E">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7.03±0.01</w:t>
            </w:r>
          </w:p>
        </w:tc>
        <w:tc>
          <w:tcPr>
            <w:tcW w:w="0" w:type="auto"/>
            <w:vAlign w:val="center"/>
          </w:tcPr>
          <w:p w14:paraId="5526057B">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7.41±0.01</w:t>
            </w:r>
          </w:p>
        </w:tc>
      </w:tr>
      <w:tr w14:paraId="119F6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185BE68B">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0" w:type="auto"/>
            <w:vAlign w:val="center"/>
          </w:tcPr>
          <w:p w14:paraId="54DFCB3E">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2-Aminoisobutyric acid</w:t>
            </w:r>
          </w:p>
        </w:tc>
        <w:tc>
          <w:tcPr>
            <w:tcW w:w="0" w:type="auto"/>
            <w:vAlign w:val="center"/>
          </w:tcPr>
          <w:p w14:paraId="6456FAB5">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0E35C8D3">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7.93±0.012</w:t>
            </w:r>
          </w:p>
        </w:tc>
        <w:tc>
          <w:tcPr>
            <w:tcW w:w="0" w:type="auto"/>
            <w:vAlign w:val="center"/>
          </w:tcPr>
          <w:p w14:paraId="45AC511F">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7.86±0.001</w:t>
            </w:r>
          </w:p>
        </w:tc>
        <w:tc>
          <w:tcPr>
            <w:tcW w:w="0" w:type="auto"/>
            <w:vAlign w:val="center"/>
          </w:tcPr>
          <w:p w14:paraId="6415B321">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7.88±0.003</w:t>
            </w:r>
          </w:p>
        </w:tc>
        <w:tc>
          <w:tcPr>
            <w:tcW w:w="0" w:type="auto"/>
            <w:vAlign w:val="center"/>
          </w:tcPr>
          <w:p w14:paraId="1CD81E48">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7.64±0.005</w:t>
            </w:r>
          </w:p>
        </w:tc>
        <w:tc>
          <w:tcPr>
            <w:tcW w:w="0" w:type="auto"/>
            <w:vAlign w:val="center"/>
          </w:tcPr>
          <w:p w14:paraId="026D0711">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7.85±0.002</w:t>
            </w:r>
          </w:p>
        </w:tc>
      </w:tr>
      <w:tr w14:paraId="144F4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355578B4">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0" w:type="auto"/>
            <w:vAlign w:val="center"/>
          </w:tcPr>
          <w:p w14:paraId="2B08F616">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N-Methylalanine</w:t>
            </w:r>
          </w:p>
        </w:tc>
        <w:tc>
          <w:tcPr>
            <w:tcW w:w="0" w:type="auto"/>
            <w:vAlign w:val="center"/>
          </w:tcPr>
          <w:p w14:paraId="1C3BA60F">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09C67567">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7.17±0.006</w:t>
            </w:r>
          </w:p>
        </w:tc>
        <w:tc>
          <w:tcPr>
            <w:tcW w:w="0" w:type="auto"/>
            <w:vAlign w:val="center"/>
          </w:tcPr>
          <w:p w14:paraId="012992D9">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7.07±0.005</w:t>
            </w:r>
          </w:p>
        </w:tc>
        <w:tc>
          <w:tcPr>
            <w:tcW w:w="0" w:type="auto"/>
            <w:vAlign w:val="center"/>
          </w:tcPr>
          <w:p w14:paraId="52CC1F05">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7.1±0.002</w:t>
            </w:r>
          </w:p>
        </w:tc>
        <w:tc>
          <w:tcPr>
            <w:tcW w:w="0" w:type="auto"/>
            <w:vAlign w:val="center"/>
          </w:tcPr>
          <w:p w14:paraId="17C0EA37">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6.86±0.015</w:t>
            </w:r>
          </w:p>
        </w:tc>
        <w:tc>
          <w:tcPr>
            <w:tcW w:w="0" w:type="auto"/>
            <w:vAlign w:val="center"/>
          </w:tcPr>
          <w:p w14:paraId="765740D9">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7.07±0.005</w:t>
            </w:r>
          </w:p>
        </w:tc>
      </w:tr>
      <w:tr w14:paraId="240B5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69FD364F">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21</w:t>
            </w:r>
          </w:p>
        </w:tc>
        <w:tc>
          <w:tcPr>
            <w:tcW w:w="0" w:type="auto"/>
            <w:vAlign w:val="center"/>
          </w:tcPr>
          <w:p w14:paraId="4B283EA8">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D-Histidine</w:t>
            </w:r>
          </w:p>
        </w:tc>
        <w:tc>
          <w:tcPr>
            <w:tcW w:w="0" w:type="auto"/>
            <w:vAlign w:val="center"/>
          </w:tcPr>
          <w:p w14:paraId="7BC8DE2D">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085127F0">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7.52±0.01</w:t>
            </w:r>
          </w:p>
        </w:tc>
        <w:tc>
          <w:tcPr>
            <w:tcW w:w="0" w:type="auto"/>
            <w:vAlign w:val="center"/>
          </w:tcPr>
          <w:p w14:paraId="62ADD157">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7.3±0.003</w:t>
            </w:r>
          </w:p>
        </w:tc>
        <w:tc>
          <w:tcPr>
            <w:tcW w:w="0" w:type="auto"/>
            <w:vAlign w:val="center"/>
          </w:tcPr>
          <w:p w14:paraId="064B3DE4">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7.37±0.002</w:t>
            </w:r>
          </w:p>
        </w:tc>
        <w:tc>
          <w:tcPr>
            <w:tcW w:w="0" w:type="auto"/>
            <w:vAlign w:val="center"/>
          </w:tcPr>
          <w:p w14:paraId="0805F2E2">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6.85±0.002</w:t>
            </w:r>
          </w:p>
        </w:tc>
        <w:tc>
          <w:tcPr>
            <w:tcW w:w="0" w:type="auto"/>
            <w:vAlign w:val="center"/>
          </w:tcPr>
          <w:p w14:paraId="01A5E84F">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7.21±0.002</w:t>
            </w:r>
          </w:p>
        </w:tc>
      </w:tr>
      <w:tr w14:paraId="225B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5006A6D4">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22</w:t>
            </w:r>
          </w:p>
        </w:tc>
        <w:tc>
          <w:tcPr>
            <w:tcW w:w="0" w:type="auto"/>
            <w:vAlign w:val="center"/>
          </w:tcPr>
          <w:p w14:paraId="6E9CC79A">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Aspartic Acid</w:t>
            </w:r>
          </w:p>
        </w:tc>
        <w:tc>
          <w:tcPr>
            <w:tcW w:w="0" w:type="auto"/>
            <w:vAlign w:val="center"/>
          </w:tcPr>
          <w:p w14:paraId="4B7B693C">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499E33FD">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7.59±0.005</w:t>
            </w:r>
          </w:p>
        </w:tc>
        <w:tc>
          <w:tcPr>
            <w:tcW w:w="0" w:type="auto"/>
            <w:vAlign w:val="center"/>
          </w:tcPr>
          <w:p w14:paraId="22892577">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7.79±0.006</w:t>
            </w:r>
          </w:p>
        </w:tc>
        <w:tc>
          <w:tcPr>
            <w:tcW w:w="0" w:type="auto"/>
            <w:vAlign w:val="center"/>
          </w:tcPr>
          <w:p w14:paraId="308CE97B">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7.72±0.005</w:t>
            </w:r>
          </w:p>
        </w:tc>
        <w:tc>
          <w:tcPr>
            <w:tcW w:w="0" w:type="auto"/>
            <w:vAlign w:val="center"/>
          </w:tcPr>
          <w:p w14:paraId="7ABD1A71">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8.25±0.005</w:t>
            </w:r>
          </w:p>
        </w:tc>
        <w:tc>
          <w:tcPr>
            <w:tcW w:w="0" w:type="auto"/>
            <w:vAlign w:val="center"/>
          </w:tcPr>
          <w:p w14:paraId="73AA7C11">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7.93±0.004</w:t>
            </w:r>
          </w:p>
        </w:tc>
      </w:tr>
      <w:tr w14:paraId="78CE6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775C537F">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23</w:t>
            </w:r>
          </w:p>
        </w:tc>
        <w:tc>
          <w:tcPr>
            <w:tcW w:w="0" w:type="auto"/>
            <w:vAlign w:val="center"/>
          </w:tcPr>
          <w:p w14:paraId="564CFE90">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DL-o-Tyrosine</w:t>
            </w:r>
          </w:p>
        </w:tc>
        <w:tc>
          <w:tcPr>
            <w:tcW w:w="0" w:type="auto"/>
            <w:vAlign w:val="center"/>
          </w:tcPr>
          <w:p w14:paraId="1E548CA4">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728BF852">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7.44±0.008</w:t>
            </w:r>
          </w:p>
        </w:tc>
        <w:tc>
          <w:tcPr>
            <w:tcW w:w="0" w:type="auto"/>
            <w:vAlign w:val="center"/>
          </w:tcPr>
          <w:p w14:paraId="7393A606">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7.48±0.008</w:t>
            </w:r>
          </w:p>
        </w:tc>
        <w:tc>
          <w:tcPr>
            <w:tcW w:w="0" w:type="auto"/>
            <w:vAlign w:val="center"/>
          </w:tcPr>
          <w:p w14:paraId="3239AEB4">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7.4±0.01</w:t>
            </w:r>
          </w:p>
        </w:tc>
        <w:tc>
          <w:tcPr>
            <w:tcW w:w="0" w:type="auto"/>
            <w:vAlign w:val="center"/>
          </w:tcPr>
          <w:p w14:paraId="780B8F25">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6.8±0.006</w:t>
            </w:r>
          </w:p>
        </w:tc>
        <w:tc>
          <w:tcPr>
            <w:tcW w:w="0" w:type="auto"/>
            <w:vAlign w:val="center"/>
          </w:tcPr>
          <w:p w14:paraId="56640CE1">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7.4±0.009</w:t>
            </w:r>
          </w:p>
        </w:tc>
      </w:tr>
      <w:tr w14:paraId="2FCF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599F47E0">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0" w:type="auto"/>
            <w:vAlign w:val="center"/>
          </w:tcPr>
          <w:p w14:paraId="617A44F2">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L-Histidine</w:t>
            </w:r>
          </w:p>
        </w:tc>
        <w:tc>
          <w:tcPr>
            <w:tcW w:w="0" w:type="auto"/>
            <w:vAlign w:val="center"/>
          </w:tcPr>
          <w:p w14:paraId="744E6585">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58FCF1AF">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7.86±0.008</w:t>
            </w:r>
          </w:p>
        </w:tc>
        <w:tc>
          <w:tcPr>
            <w:tcW w:w="0" w:type="auto"/>
            <w:vAlign w:val="center"/>
          </w:tcPr>
          <w:p w14:paraId="11106941">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7.64±0.004</w:t>
            </w:r>
          </w:p>
        </w:tc>
        <w:tc>
          <w:tcPr>
            <w:tcW w:w="0" w:type="auto"/>
            <w:vAlign w:val="center"/>
          </w:tcPr>
          <w:p w14:paraId="7D8790F4">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7.67±0.012</w:t>
            </w:r>
          </w:p>
        </w:tc>
        <w:tc>
          <w:tcPr>
            <w:tcW w:w="0" w:type="auto"/>
            <w:vAlign w:val="center"/>
          </w:tcPr>
          <w:p w14:paraId="3C05B8EF">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7.17±0.007</w:t>
            </w:r>
          </w:p>
        </w:tc>
        <w:tc>
          <w:tcPr>
            <w:tcW w:w="0" w:type="auto"/>
            <w:vAlign w:val="center"/>
          </w:tcPr>
          <w:p w14:paraId="6A986EF5">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7.55±0.004</w:t>
            </w:r>
          </w:p>
        </w:tc>
      </w:tr>
      <w:tr w14:paraId="4147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4D0BAC57">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0" w:type="auto"/>
            <w:vAlign w:val="center"/>
          </w:tcPr>
          <w:p w14:paraId="344B3158">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L-threo-3-Methylaspartate</w:t>
            </w:r>
          </w:p>
        </w:tc>
        <w:tc>
          <w:tcPr>
            <w:tcW w:w="0" w:type="auto"/>
            <w:vAlign w:val="center"/>
          </w:tcPr>
          <w:p w14:paraId="3B02A17B">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18E8D6AE">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7.08±0.014</w:t>
            </w:r>
          </w:p>
        </w:tc>
        <w:tc>
          <w:tcPr>
            <w:tcW w:w="0" w:type="auto"/>
            <w:vAlign w:val="center"/>
          </w:tcPr>
          <w:p w14:paraId="038643FE">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7.29±0.009</w:t>
            </w:r>
          </w:p>
        </w:tc>
        <w:tc>
          <w:tcPr>
            <w:tcW w:w="0" w:type="auto"/>
            <w:vAlign w:val="center"/>
          </w:tcPr>
          <w:p w14:paraId="05FEEEEE">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7.15±0.014</w:t>
            </w:r>
          </w:p>
        </w:tc>
        <w:tc>
          <w:tcPr>
            <w:tcW w:w="0" w:type="auto"/>
            <w:vAlign w:val="center"/>
          </w:tcPr>
          <w:p w14:paraId="37293D67">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7.3±0.006</w:t>
            </w:r>
          </w:p>
        </w:tc>
        <w:tc>
          <w:tcPr>
            <w:tcW w:w="0" w:type="auto"/>
            <w:vAlign w:val="center"/>
          </w:tcPr>
          <w:p w14:paraId="40D65209">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7.29±0.004</w:t>
            </w:r>
          </w:p>
        </w:tc>
      </w:tr>
      <w:tr w14:paraId="1B4FE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0" w:type="auto"/>
            <w:vAlign w:val="center"/>
          </w:tcPr>
          <w:p w14:paraId="0776F385">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26</w:t>
            </w:r>
          </w:p>
        </w:tc>
        <w:tc>
          <w:tcPr>
            <w:tcW w:w="0" w:type="auto"/>
            <w:vAlign w:val="center"/>
          </w:tcPr>
          <w:p w14:paraId="07497ED4">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Iminodiacetic acid</w:t>
            </w:r>
          </w:p>
        </w:tc>
        <w:tc>
          <w:tcPr>
            <w:tcW w:w="0" w:type="auto"/>
            <w:vAlign w:val="center"/>
          </w:tcPr>
          <w:p w14:paraId="78051E21">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Amino Acid And Its Derivatives</w:t>
            </w:r>
          </w:p>
        </w:tc>
        <w:tc>
          <w:tcPr>
            <w:tcW w:w="0" w:type="auto"/>
            <w:vAlign w:val="center"/>
          </w:tcPr>
          <w:p w14:paraId="611ADAE4">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7.57±0.014</w:t>
            </w:r>
          </w:p>
        </w:tc>
        <w:tc>
          <w:tcPr>
            <w:tcW w:w="0" w:type="auto"/>
            <w:vAlign w:val="center"/>
          </w:tcPr>
          <w:p w14:paraId="28543969">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7.76±0.007</w:t>
            </w:r>
          </w:p>
        </w:tc>
        <w:tc>
          <w:tcPr>
            <w:tcW w:w="0" w:type="auto"/>
            <w:vAlign w:val="center"/>
          </w:tcPr>
          <w:p w14:paraId="1900863C">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7.72±0.002</w:t>
            </w:r>
          </w:p>
        </w:tc>
        <w:tc>
          <w:tcPr>
            <w:tcW w:w="0" w:type="auto"/>
            <w:vAlign w:val="center"/>
          </w:tcPr>
          <w:p w14:paraId="01824E60">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8.22±0.006</w:t>
            </w:r>
          </w:p>
        </w:tc>
        <w:tc>
          <w:tcPr>
            <w:tcW w:w="0" w:type="auto"/>
            <w:vAlign w:val="center"/>
          </w:tcPr>
          <w:p w14:paraId="12A4C2B9">
            <w:pPr>
              <w:keepNext w:val="0"/>
              <w:keepLines w:val="0"/>
              <w:widowControl/>
              <w:suppressLineNumbers w:val="0"/>
              <w:jc w:val="center"/>
              <w:textAlignment w:val="center"/>
              <w:rPr>
                <w:rFonts w:hint="default" w:ascii="Times New Roman" w:hAnsi="Times New Roman" w:eastAsia="宋体" w:cs="Times New Roman"/>
                <w:sz w:val="15"/>
                <w:szCs w:val="15"/>
                <w:vertAlign w:val="baseline"/>
              </w:rPr>
            </w:pPr>
            <w:r>
              <w:rPr>
                <w:rFonts w:hint="default" w:ascii="Times New Roman" w:hAnsi="Times New Roman" w:eastAsia="宋体" w:cs="Times New Roman"/>
                <w:i w:val="0"/>
                <w:iCs w:val="0"/>
                <w:color w:val="000000"/>
                <w:kern w:val="0"/>
                <w:sz w:val="15"/>
                <w:szCs w:val="15"/>
                <w:u w:val="none"/>
                <w:lang w:val="en-US" w:eastAsia="zh-CN" w:bidi="ar"/>
              </w:rPr>
              <w:t>7.9±0.006</w:t>
            </w:r>
          </w:p>
        </w:tc>
      </w:tr>
    </w:tbl>
    <w:p w14:paraId="5F013D57">
      <w:pPr>
        <w:rPr>
          <w:rFonts w:hint="default" w:ascii="Times New Roman" w:hAnsi="Times New Roman" w:eastAsia="宋体" w:cs="Times New Roman"/>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486CAA"/>
    <w:rsid w:val="081A44E2"/>
    <w:rsid w:val="5C800B4C"/>
    <w:rsid w:val="72486C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530</Words>
  <Characters>3607</Characters>
  <Lines>0</Lines>
  <Paragraphs>0</Paragraphs>
  <TotalTime>10</TotalTime>
  <ScaleCrop>false</ScaleCrop>
  <LinksUpToDate>false</LinksUpToDate>
  <CharactersWithSpaces>3920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2025-10-30T08:41:00Z</dcterms:created>
  <dc:creator>上官云熙</dc:creator>
  <cp:lastModifiedBy>上官云熙</cp:lastModifiedBy>
  <dcterms:modified xsi:type="dcterms:W3CDTF">2025-11-05T07:32:08Z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0228D75DFD1B4A328B119E12D2CF4FBC_11</vt:lpwstr>
  </property>
  <property fmtid="{D5CDD505-2E9C-101B-9397-08002B2CF9AE}" pid="4" name="KSOTemplateDocerSaveRecord">
    <vt:lpwstr>eyJoZGlkIjoiMjMzZTE4OWMwNjYzNDkwYmYyMThmMDZjNzA4MzQ2YWMiLCJ1c2VySWQiOiIyODkzMzkyNjMifQ==</vt:lpwstr>
  </property>
</Properties>
</file>