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9AE14" w14:textId="77777777" w:rsidR="00E2704F" w:rsidRDefault="009E6D1C" w:rsidP="009E6D1C">
      <w:pPr>
        <w:rPr>
          <w:rFonts w:ascii="Arial" w:hAnsi="Arial" w:cs="Arial"/>
          <w:b/>
          <w:bCs/>
        </w:rPr>
      </w:pPr>
      <w:r w:rsidRPr="009E6D1C">
        <w:rPr>
          <w:rFonts w:ascii="Arial" w:hAnsi="Arial" w:cs="Arial"/>
          <w:b/>
          <w:bCs/>
        </w:rPr>
        <w:t>Supplementary Table:</w:t>
      </w:r>
    </w:p>
    <w:p w14:paraId="2CB939E7" w14:textId="3BEB3AC9" w:rsidR="009E6D1C" w:rsidRPr="009E6D1C" w:rsidRDefault="00E2704F" w:rsidP="009E6D1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 1:</w:t>
      </w:r>
      <w:r w:rsidR="009E6D1C" w:rsidRPr="009E6D1C">
        <w:rPr>
          <w:rFonts w:ascii="Arial" w:hAnsi="Arial" w:cs="Arial"/>
          <w:b/>
          <w:bCs/>
        </w:rPr>
        <w:t xml:space="preserve"> Timeline of Patient Care for Acanthamoeba-Induced LETM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1"/>
        <w:gridCol w:w="7245"/>
      </w:tblGrid>
      <w:tr w:rsidR="009E6D1C" w:rsidRPr="009E6D1C" w14:paraId="29CBCF5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EF1EF8" w14:textId="77777777" w:rsidR="009E6D1C" w:rsidRPr="009E6D1C" w:rsidRDefault="009E6D1C" w:rsidP="009E6D1C">
            <w:pPr>
              <w:rPr>
                <w:rFonts w:ascii="Arial" w:hAnsi="Arial" w:cs="Arial"/>
                <w:b/>
                <w:bCs/>
              </w:rPr>
            </w:pPr>
            <w:r w:rsidRPr="009E6D1C">
              <w:rPr>
                <w:rFonts w:ascii="Arial" w:hAnsi="Arial" w:cs="Arial"/>
                <w:b/>
                <w:bCs/>
              </w:rPr>
              <w:t>Time Point</w:t>
            </w:r>
          </w:p>
        </w:tc>
        <w:tc>
          <w:tcPr>
            <w:tcW w:w="0" w:type="auto"/>
            <w:vAlign w:val="center"/>
            <w:hideMark/>
          </w:tcPr>
          <w:p w14:paraId="6883F7F1" w14:textId="77777777" w:rsidR="009E6D1C" w:rsidRPr="009E6D1C" w:rsidRDefault="009E6D1C" w:rsidP="009E6D1C">
            <w:pPr>
              <w:rPr>
                <w:rFonts w:ascii="Arial" w:hAnsi="Arial" w:cs="Arial"/>
                <w:b/>
                <w:bCs/>
              </w:rPr>
            </w:pPr>
            <w:r w:rsidRPr="009E6D1C">
              <w:rPr>
                <w:rFonts w:ascii="Arial" w:hAnsi="Arial" w:cs="Arial"/>
                <w:b/>
                <w:bCs/>
              </w:rPr>
              <w:t>Event</w:t>
            </w:r>
          </w:p>
        </w:tc>
      </w:tr>
      <w:tr w:rsidR="009E6D1C" w:rsidRPr="009E6D1C" w14:paraId="7C02C5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DD0615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>Week 0</w:t>
            </w:r>
            <w:r w:rsidRPr="009E6D1C">
              <w:rPr>
                <w:rFonts w:ascii="Arial" w:hAnsi="Arial" w:cs="Arial"/>
              </w:rPr>
              <w:t xml:space="preserve"> (26 weeks gestation)</w:t>
            </w:r>
          </w:p>
        </w:tc>
        <w:tc>
          <w:tcPr>
            <w:tcW w:w="0" w:type="auto"/>
            <w:vAlign w:val="center"/>
            <w:hideMark/>
          </w:tcPr>
          <w:p w14:paraId="5C3F1B2F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 xml:space="preserve">25-year-old primigravida </w:t>
            </w:r>
            <w:r>
              <w:rPr>
                <w:rFonts w:ascii="Arial" w:hAnsi="Arial" w:cs="Arial"/>
              </w:rPr>
              <w:t>admitted elsewhere with</w:t>
            </w:r>
            <w:r w:rsidRPr="009E6D1C">
              <w:rPr>
                <w:rFonts w:ascii="Arial" w:hAnsi="Arial" w:cs="Arial"/>
              </w:rPr>
              <w:t xml:space="preserve"> 2-week history of progressive bilateral lower limb weakness (grade II) and mild headache. No fever or bowel/bladder symptoms.</w:t>
            </w:r>
          </w:p>
        </w:tc>
      </w:tr>
      <w:tr w:rsidR="009E6D1C" w:rsidRPr="009E6D1C" w14:paraId="34E94F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6BEAC6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>Week 0–2</w:t>
            </w:r>
          </w:p>
        </w:tc>
        <w:tc>
          <w:tcPr>
            <w:tcW w:w="0" w:type="auto"/>
            <w:vAlign w:val="center"/>
            <w:hideMark/>
          </w:tcPr>
          <w:p w14:paraId="741A6D8A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>MRI spine shows LETM (D2-D4). Diagnosed as seronegative NMOSD; treated with IV methylprednisolone and immunoglobulin.</w:t>
            </w:r>
          </w:p>
        </w:tc>
      </w:tr>
      <w:tr w:rsidR="009E6D1C" w:rsidRPr="009E6D1C" w14:paraId="59D6F68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9BD1D1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>Week 2–6</w:t>
            </w:r>
          </w:p>
        </w:tc>
        <w:tc>
          <w:tcPr>
            <w:tcW w:w="0" w:type="auto"/>
            <w:vAlign w:val="center"/>
            <w:hideMark/>
          </w:tcPr>
          <w:p w14:paraId="75CD237A" w14:textId="77777777" w:rsidR="009E6D1C" w:rsidRPr="009E6D1C" w:rsidRDefault="0031742D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Referred to our centre.</w:t>
            </w:r>
            <w:r w:rsidRPr="009E6D1C">
              <w:rPr>
                <w:rFonts w:ascii="Arial" w:hAnsi="Arial" w:cs="Arial"/>
              </w:rPr>
              <w:t xml:space="preserve"> Weakness</w:t>
            </w:r>
            <w:r w:rsidR="009E6D1C" w:rsidRPr="009E6D1C">
              <w:rPr>
                <w:rFonts w:ascii="Arial" w:hAnsi="Arial" w:cs="Arial"/>
              </w:rPr>
              <w:t xml:space="preserve"> worsens (grade 0), with papilledema and lateral rectus palsy. CSF: lymphocytic pleocytosis (92 cells/cmm), hypoglycorrhachia (58 mg/dL), elevated protein (48 mg/dL), ICP 56 cm H</w:t>
            </w:r>
            <w:r w:rsidR="009E6D1C" w:rsidRPr="009E6D1C">
              <w:rPr>
                <w:rFonts w:ascii="Cambria Math" w:hAnsi="Cambria Math" w:cs="Cambria Math"/>
              </w:rPr>
              <w:t>₂</w:t>
            </w:r>
            <w:r w:rsidR="009E6D1C" w:rsidRPr="009E6D1C">
              <w:rPr>
                <w:rFonts w:ascii="Arial" w:hAnsi="Arial" w:cs="Arial"/>
              </w:rPr>
              <w:t>O. Four plasma exchange sessions performed.</w:t>
            </w:r>
          </w:p>
        </w:tc>
      </w:tr>
      <w:tr w:rsidR="009E6D1C" w:rsidRPr="009E6D1C" w14:paraId="54F3BA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BC98F3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>Week 8</w:t>
            </w:r>
            <w:r w:rsidRPr="009E6D1C">
              <w:rPr>
                <w:rFonts w:ascii="Arial" w:hAnsi="Arial" w:cs="Arial"/>
              </w:rPr>
              <w:t xml:space="preserve"> (34 weeks gestation)</w:t>
            </w:r>
          </w:p>
        </w:tc>
        <w:tc>
          <w:tcPr>
            <w:tcW w:w="0" w:type="auto"/>
            <w:vAlign w:val="center"/>
            <w:hideMark/>
          </w:tcPr>
          <w:p w14:paraId="2C445814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>Emergency LSCS for fetal bradycardia.</w:t>
            </w:r>
          </w:p>
        </w:tc>
      </w:tr>
      <w:tr w:rsidR="009E6D1C" w:rsidRPr="009E6D1C" w14:paraId="40B90C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8433ED" w14:textId="77777777" w:rsidR="00E2704F" w:rsidRDefault="009E6D1C" w:rsidP="009E6D1C">
            <w:pPr>
              <w:rPr>
                <w:rFonts w:ascii="Arial" w:hAnsi="Arial" w:cs="Arial"/>
                <w:b/>
                <w:bCs/>
              </w:rPr>
            </w:pPr>
            <w:r w:rsidRPr="009E6D1C">
              <w:rPr>
                <w:rFonts w:ascii="Arial" w:hAnsi="Arial" w:cs="Arial"/>
                <w:b/>
                <w:bCs/>
              </w:rPr>
              <w:t>Week 8 + 4 days</w:t>
            </w:r>
          </w:p>
          <w:p w14:paraId="25513106" w14:textId="2098AF27" w:rsidR="009E6D1C" w:rsidRPr="009E6D1C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(27/07/2025)</w:t>
            </w:r>
          </w:p>
        </w:tc>
        <w:tc>
          <w:tcPr>
            <w:tcW w:w="0" w:type="auto"/>
            <w:vAlign w:val="center"/>
            <w:hideMark/>
          </w:tcPr>
          <w:p w14:paraId="36D266A8" w14:textId="617D8770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>Transferred to Neurology ICU. Repeat MRI: diffuse cord enlargement (cervicomedullary to conus). CSF CBNAAT negative.</w:t>
            </w:r>
          </w:p>
        </w:tc>
      </w:tr>
      <w:tr w:rsidR="009E6D1C" w:rsidRPr="009E6D1C" w14:paraId="7267B5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292EC8" w14:textId="77777777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>Week 8 + 5–7 days</w:t>
            </w:r>
          </w:p>
        </w:tc>
        <w:tc>
          <w:tcPr>
            <w:tcW w:w="0" w:type="auto"/>
            <w:vAlign w:val="center"/>
            <w:hideMark/>
          </w:tcPr>
          <w:p w14:paraId="44F47CE2" w14:textId="621AE84A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 xml:space="preserve">CSF wet mount shows </w:t>
            </w:r>
            <w:r w:rsidR="00E26824">
              <w:rPr>
                <w:rFonts w:ascii="Arial" w:hAnsi="Arial" w:cs="Arial"/>
              </w:rPr>
              <w:t>motile</w:t>
            </w:r>
            <w:r w:rsidRPr="009E6D1C">
              <w:rPr>
                <w:rFonts w:ascii="Arial" w:hAnsi="Arial" w:cs="Arial"/>
              </w:rPr>
              <w:t xml:space="preserve"> trophozoites; PCR confirms</w:t>
            </w:r>
            <w:r w:rsidR="00E26824">
              <w:rPr>
                <w:rFonts w:ascii="Arial" w:hAnsi="Arial" w:cs="Arial"/>
              </w:rPr>
              <w:t xml:space="preserve"> </w:t>
            </w:r>
            <w:r w:rsidR="00E26824" w:rsidRPr="00E26824">
              <w:rPr>
                <w:rFonts w:ascii="Arial" w:hAnsi="Arial" w:cs="Arial"/>
                <w:i/>
                <w:iCs/>
              </w:rPr>
              <w:t xml:space="preserve">acanthamoeba </w:t>
            </w:r>
            <w:r w:rsidR="000E563A">
              <w:rPr>
                <w:rFonts w:ascii="Arial" w:hAnsi="Arial" w:cs="Arial"/>
              </w:rPr>
              <w:t>spp.</w:t>
            </w:r>
            <w:r w:rsidRPr="009E6D1C">
              <w:rPr>
                <w:rFonts w:ascii="Arial" w:hAnsi="Arial" w:cs="Arial"/>
              </w:rPr>
              <w:t xml:space="preserve"> Anti-amoebic therapy (amphotericin B, miltefosine, voriconazole, azithromycin, cotrimoxazole) started, adjusted for liver </w:t>
            </w:r>
            <w:r w:rsidR="00725580" w:rsidRPr="009E6D1C">
              <w:rPr>
                <w:rFonts w:ascii="Arial" w:hAnsi="Arial" w:cs="Arial"/>
              </w:rPr>
              <w:t>injury.</w:t>
            </w:r>
            <w:r w:rsidR="00725580">
              <w:rPr>
                <w:rFonts w:ascii="Arial" w:hAnsi="Arial" w:cs="Arial"/>
              </w:rPr>
              <w:t xml:space="preserve"> Breast feeding stopped.</w:t>
            </w:r>
          </w:p>
        </w:tc>
      </w:tr>
      <w:tr w:rsidR="009E6D1C" w:rsidRPr="009E6D1C" w14:paraId="02E630E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B85E8A" w14:textId="7B1F7219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 xml:space="preserve">Week </w:t>
            </w:r>
            <w:r w:rsidR="00E2704F">
              <w:rPr>
                <w:rFonts w:ascii="Arial" w:hAnsi="Arial" w:cs="Arial"/>
                <w:b/>
                <w:bCs/>
              </w:rPr>
              <w:t>9</w:t>
            </w:r>
            <w:r w:rsidRPr="009E6D1C">
              <w:rPr>
                <w:rFonts w:ascii="Arial" w:hAnsi="Arial" w:cs="Arial"/>
                <w:b/>
                <w:bCs/>
              </w:rPr>
              <w:t xml:space="preserve"> + 1–2 </w:t>
            </w:r>
            <w:r w:rsidR="00E2704F">
              <w:rPr>
                <w:rFonts w:ascii="Arial" w:hAnsi="Arial" w:cs="Arial"/>
                <w:b/>
                <w:bCs/>
              </w:rPr>
              <w:t>days</w:t>
            </w:r>
          </w:p>
        </w:tc>
        <w:tc>
          <w:tcPr>
            <w:tcW w:w="0" w:type="auto"/>
            <w:vAlign w:val="center"/>
            <w:hideMark/>
          </w:tcPr>
          <w:p w14:paraId="2F0F8ECE" w14:textId="686CE3DC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>Persistent high ICP (&gt;55 cm H</w:t>
            </w:r>
            <w:r w:rsidRPr="009E6D1C">
              <w:rPr>
                <w:rFonts w:ascii="Cambria Math" w:hAnsi="Cambria Math" w:cs="Cambria Math"/>
              </w:rPr>
              <w:t>₂</w:t>
            </w:r>
            <w:r w:rsidRPr="009E6D1C">
              <w:rPr>
                <w:rFonts w:ascii="Arial" w:hAnsi="Arial" w:cs="Arial"/>
              </w:rPr>
              <w:t xml:space="preserve">O) requires external ventricular drain. Intraventricular amphotericin B and antitubercular therapy initiated. CSF sugar &lt;20 mg/dL. </w:t>
            </w:r>
            <w:r w:rsidRPr="00E26824">
              <w:rPr>
                <w:rFonts w:ascii="Arial" w:hAnsi="Arial" w:cs="Arial"/>
                <w:i/>
                <w:iCs/>
              </w:rPr>
              <w:t>Aspergillus</w:t>
            </w:r>
            <w:r w:rsidRPr="009E6D1C">
              <w:rPr>
                <w:rFonts w:ascii="Arial" w:hAnsi="Arial" w:cs="Arial"/>
              </w:rPr>
              <w:t xml:space="preserve"> and </w:t>
            </w:r>
            <w:r w:rsidR="00E26824" w:rsidRPr="00E26824">
              <w:rPr>
                <w:rFonts w:ascii="Arial" w:hAnsi="Arial" w:cs="Arial"/>
                <w:i/>
                <w:iCs/>
              </w:rPr>
              <w:t>m</w:t>
            </w:r>
            <w:r w:rsidRPr="00E26824">
              <w:rPr>
                <w:rFonts w:ascii="Arial" w:hAnsi="Arial" w:cs="Arial"/>
                <w:i/>
                <w:iCs/>
              </w:rPr>
              <w:t xml:space="preserve">ycobacterium </w:t>
            </w:r>
            <w:r w:rsidR="00E26824" w:rsidRPr="00E26824">
              <w:rPr>
                <w:rFonts w:ascii="Arial" w:hAnsi="Arial" w:cs="Arial"/>
                <w:i/>
                <w:iCs/>
              </w:rPr>
              <w:t>tuberculosis</w:t>
            </w:r>
            <w:r w:rsidR="00E26824">
              <w:rPr>
                <w:rFonts w:ascii="Arial" w:hAnsi="Arial" w:cs="Arial"/>
              </w:rPr>
              <w:t xml:space="preserve"> </w:t>
            </w:r>
            <w:r w:rsidRPr="009E6D1C">
              <w:rPr>
                <w:rFonts w:ascii="Arial" w:hAnsi="Arial" w:cs="Arial"/>
              </w:rPr>
              <w:t xml:space="preserve">detected (CSF culture, CBNAAT). </w:t>
            </w:r>
          </w:p>
        </w:tc>
      </w:tr>
      <w:tr w:rsidR="009E6D1C" w:rsidRPr="009E6D1C" w14:paraId="2962A37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EFE7DC" w14:textId="71DAC68C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  <w:b/>
                <w:bCs/>
              </w:rPr>
              <w:t xml:space="preserve">Week </w:t>
            </w:r>
            <w:r w:rsidR="00E2704F">
              <w:rPr>
                <w:rFonts w:ascii="Arial" w:hAnsi="Arial" w:cs="Arial"/>
                <w:b/>
                <w:bCs/>
              </w:rPr>
              <w:t>9</w:t>
            </w:r>
            <w:r w:rsidRPr="009E6D1C">
              <w:rPr>
                <w:rFonts w:ascii="Arial" w:hAnsi="Arial" w:cs="Arial"/>
                <w:b/>
                <w:bCs/>
              </w:rPr>
              <w:t xml:space="preserve"> + 3–</w:t>
            </w:r>
            <w:r w:rsidR="00E2704F">
              <w:rPr>
                <w:rFonts w:ascii="Arial" w:hAnsi="Arial" w:cs="Arial"/>
                <w:b/>
                <w:bCs/>
              </w:rPr>
              <w:t>5</w:t>
            </w:r>
            <w:r w:rsidRPr="009E6D1C">
              <w:rPr>
                <w:rFonts w:ascii="Arial" w:hAnsi="Arial" w:cs="Arial"/>
                <w:b/>
                <w:bCs/>
              </w:rPr>
              <w:t xml:space="preserve"> </w:t>
            </w:r>
            <w:r w:rsidR="00E2704F">
              <w:rPr>
                <w:rFonts w:ascii="Arial" w:hAnsi="Arial" w:cs="Arial"/>
                <w:b/>
                <w:bCs/>
              </w:rPr>
              <w:t>days</w:t>
            </w:r>
          </w:p>
        </w:tc>
        <w:tc>
          <w:tcPr>
            <w:tcW w:w="0" w:type="auto"/>
            <w:vAlign w:val="center"/>
            <w:hideMark/>
          </w:tcPr>
          <w:p w14:paraId="359ED51E" w14:textId="2106C6FF" w:rsidR="009E6D1C" w:rsidRPr="009E6D1C" w:rsidRDefault="009E6D1C" w:rsidP="009E6D1C">
            <w:pPr>
              <w:rPr>
                <w:rFonts w:ascii="Arial" w:hAnsi="Arial" w:cs="Arial"/>
              </w:rPr>
            </w:pPr>
            <w:r w:rsidRPr="009E6D1C">
              <w:rPr>
                <w:rFonts w:ascii="Arial" w:hAnsi="Arial" w:cs="Arial"/>
              </w:rPr>
              <w:t>Persistent coma, ventilator dependence. Patient dies</w:t>
            </w:r>
            <w:r w:rsidR="00E2704F">
              <w:rPr>
                <w:rFonts w:ascii="Arial" w:hAnsi="Arial" w:cs="Arial"/>
              </w:rPr>
              <w:t xml:space="preserve"> 9</w:t>
            </w:r>
            <w:r w:rsidRPr="009E6D1C">
              <w:rPr>
                <w:rFonts w:ascii="Arial" w:hAnsi="Arial" w:cs="Arial"/>
              </w:rPr>
              <w:t xml:space="preserve"> weeks after symptom onset.</w:t>
            </w:r>
            <w:r w:rsidR="00725580" w:rsidRPr="009E6D1C">
              <w:rPr>
                <w:rFonts w:ascii="Arial" w:hAnsi="Arial" w:cs="Arial"/>
              </w:rPr>
              <w:t xml:space="preserve"> Household water </w:t>
            </w:r>
            <w:r w:rsidR="00E2704F">
              <w:rPr>
                <w:rFonts w:ascii="Arial" w:hAnsi="Arial" w:cs="Arial"/>
              </w:rPr>
              <w:t xml:space="preserve">tested </w:t>
            </w:r>
            <w:r w:rsidR="00725580" w:rsidRPr="009E6D1C">
              <w:rPr>
                <w:rFonts w:ascii="Arial" w:hAnsi="Arial" w:cs="Arial"/>
              </w:rPr>
              <w:t xml:space="preserve">PCR positive for </w:t>
            </w:r>
            <w:r w:rsidR="000E563A" w:rsidRPr="000E563A">
              <w:rPr>
                <w:rFonts w:ascii="Arial" w:hAnsi="Arial" w:cs="Arial"/>
                <w:i/>
                <w:iCs/>
              </w:rPr>
              <w:t>b</w:t>
            </w:r>
            <w:r w:rsidR="00E2704F" w:rsidRPr="000E563A">
              <w:rPr>
                <w:rFonts w:ascii="Arial" w:hAnsi="Arial" w:cs="Arial"/>
                <w:i/>
                <w:iCs/>
              </w:rPr>
              <w:t>alamuthia</w:t>
            </w:r>
            <w:r w:rsidR="00BF3275" w:rsidRPr="000E563A">
              <w:rPr>
                <w:rFonts w:ascii="Arial" w:hAnsi="Arial" w:cs="Arial"/>
                <w:i/>
                <w:iCs/>
              </w:rPr>
              <w:t xml:space="preserve"> </w:t>
            </w:r>
            <w:r w:rsidR="00BF3275">
              <w:rPr>
                <w:rFonts w:ascii="Arial" w:hAnsi="Arial" w:cs="Arial"/>
              </w:rPr>
              <w:t xml:space="preserve">and </w:t>
            </w:r>
            <w:r w:rsidR="000E563A" w:rsidRPr="000E563A">
              <w:rPr>
                <w:rFonts w:ascii="Arial" w:hAnsi="Arial" w:cs="Arial"/>
                <w:i/>
                <w:iCs/>
              </w:rPr>
              <w:t>paravahlkamp</w:t>
            </w:r>
            <w:r w:rsidR="00BF3275" w:rsidRPr="000E563A">
              <w:rPr>
                <w:rFonts w:ascii="Arial" w:hAnsi="Arial" w:cs="Arial"/>
                <w:i/>
                <w:iCs/>
              </w:rPr>
              <w:t>fia</w:t>
            </w:r>
          </w:p>
        </w:tc>
      </w:tr>
    </w:tbl>
    <w:p w14:paraId="48269FBE" w14:textId="77777777" w:rsidR="008D2A7F" w:rsidRDefault="008D2A7F" w:rsidP="009E6D1C"/>
    <w:p w14:paraId="5A99CC72" w14:textId="19247268" w:rsidR="00F12531" w:rsidRDefault="00F12531" w:rsidP="009E6D1C">
      <w:pPr>
        <w:rPr>
          <w:rFonts w:ascii="Arial" w:hAnsi="Arial" w:cs="Arial"/>
        </w:rPr>
      </w:pPr>
      <w:r w:rsidRPr="00F12531">
        <w:rPr>
          <w:rFonts w:ascii="Arial" w:hAnsi="Arial" w:cs="Arial"/>
        </w:rPr>
        <w:t xml:space="preserve">The </w:t>
      </w:r>
      <w:r w:rsidR="000E563A">
        <w:rPr>
          <w:rFonts w:ascii="Arial" w:hAnsi="Arial" w:cs="Arial"/>
        </w:rPr>
        <w:t xml:space="preserve">corresponding </w:t>
      </w:r>
      <w:r w:rsidRPr="00F12531">
        <w:rPr>
          <w:rFonts w:ascii="Arial" w:hAnsi="Arial" w:cs="Arial"/>
        </w:rPr>
        <w:t>author disclose that AI(Grok) was used to generate this timeline</w:t>
      </w:r>
      <w:r>
        <w:rPr>
          <w:rFonts w:ascii="Arial" w:hAnsi="Arial" w:cs="Arial"/>
        </w:rPr>
        <w:t xml:space="preserve"> using the prompt “create a timeline for this document to submit in Neurology journal”</w:t>
      </w:r>
    </w:p>
    <w:p w14:paraId="003D0C19" w14:textId="77777777" w:rsidR="00E2704F" w:rsidRDefault="00E2704F" w:rsidP="009E6D1C">
      <w:pPr>
        <w:rPr>
          <w:rFonts w:ascii="Arial" w:hAnsi="Arial" w:cs="Arial"/>
        </w:rPr>
      </w:pPr>
    </w:p>
    <w:p w14:paraId="167BD981" w14:textId="77777777" w:rsidR="00E2704F" w:rsidRDefault="00E2704F" w:rsidP="009E6D1C">
      <w:pPr>
        <w:rPr>
          <w:rFonts w:ascii="Arial" w:hAnsi="Arial" w:cs="Arial"/>
        </w:rPr>
      </w:pPr>
    </w:p>
    <w:p w14:paraId="0DF5E014" w14:textId="77777777" w:rsidR="00E2704F" w:rsidRDefault="00E2704F" w:rsidP="009E6D1C">
      <w:pPr>
        <w:rPr>
          <w:rFonts w:ascii="Arial" w:hAnsi="Arial" w:cs="Arial"/>
        </w:rPr>
      </w:pPr>
    </w:p>
    <w:p w14:paraId="604E5959" w14:textId="6833EE05" w:rsidR="00E2704F" w:rsidRPr="00E2704F" w:rsidRDefault="00E2704F" w:rsidP="009E6D1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 2: Serial CSF study report</w:t>
      </w:r>
    </w:p>
    <w:tbl>
      <w:tblPr>
        <w:tblStyle w:val="TableGrid"/>
        <w:tblW w:w="9206" w:type="dxa"/>
        <w:tblLook w:val="04A0" w:firstRow="1" w:lastRow="0" w:firstColumn="1" w:lastColumn="0" w:noHBand="0" w:noVBand="1"/>
      </w:tblPr>
      <w:tblGrid>
        <w:gridCol w:w="1977"/>
        <w:gridCol w:w="1477"/>
        <w:gridCol w:w="1477"/>
        <w:gridCol w:w="2431"/>
        <w:gridCol w:w="1844"/>
      </w:tblGrid>
      <w:tr w:rsidR="00E2704F" w14:paraId="54403608" w14:textId="77777777" w:rsidTr="00E2704F">
        <w:trPr>
          <w:trHeight w:val="347"/>
        </w:trPr>
        <w:tc>
          <w:tcPr>
            <w:tcW w:w="1845" w:type="dxa"/>
          </w:tcPr>
          <w:p w14:paraId="5795A69E" w14:textId="77777777" w:rsidR="00E2704F" w:rsidRDefault="00E2704F" w:rsidP="009E6D1C">
            <w:pPr>
              <w:rPr>
                <w:rFonts w:ascii="Arial" w:hAnsi="Arial" w:cs="Arial"/>
              </w:rPr>
            </w:pPr>
          </w:p>
        </w:tc>
        <w:tc>
          <w:tcPr>
            <w:tcW w:w="1543" w:type="dxa"/>
          </w:tcPr>
          <w:p w14:paraId="2325EBCB" w14:textId="0254F5EF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07/07/2025</w:t>
            </w:r>
          </w:p>
        </w:tc>
        <w:tc>
          <w:tcPr>
            <w:tcW w:w="1543" w:type="dxa"/>
          </w:tcPr>
          <w:p w14:paraId="00D38FE9" w14:textId="1DBB2CA2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19/07/2025</w:t>
            </w:r>
          </w:p>
        </w:tc>
        <w:tc>
          <w:tcPr>
            <w:tcW w:w="2431" w:type="dxa"/>
          </w:tcPr>
          <w:p w14:paraId="4F4483DB" w14:textId="11D79900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28/07/2025</w:t>
            </w:r>
          </w:p>
        </w:tc>
        <w:tc>
          <w:tcPr>
            <w:tcW w:w="1844" w:type="dxa"/>
          </w:tcPr>
          <w:p w14:paraId="12835AD4" w14:textId="0517B9A7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11/08/2025</w:t>
            </w:r>
          </w:p>
        </w:tc>
      </w:tr>
      <w:tr w:rsidR="00E2704F" w14:paraId="00605B81" w14:textId="77777777" w:rsidTr="00E2704F">
        <w:trPr>
          <w:trHeight w:val="347"/>
        </w:trPr>
        <w:tc>
          <w:tcPr>
            <w:tcW w:w="1845" w:type="dxa"/>
          </w:tcPr>
          <w:p w14:paraId="5F2528E5" w14:textId="0697049F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Location of the patient</w:t>
            </w:r>
          </w:p>
        </w:tc>
        <w:tc>
          <w:tcPr>
            <w:tcW w:w="1543" w:type="dxa"/>
          </w:tcPr>
          <w:p w14:paraId="2F9EB761" w14:textId="5E53DE10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Outside our hospital</w:t>
            </w:r>
          </w:p>
        </w:tc>
        <w:tc>
          <w:tcPr>
            <w:tcW w:w="1543" w:type="dxa"/>
          </w:tcPr>
          <w:p w14:paraId="76EDC413" w14:textId="015DF388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Outside our hospital</w:t>
            </w:r>
          </w:p>
        </w:tc>
        <w:tc>
          <w:tcPr>
            <w:tcW w:w="2431" w:type="dxa"/>
          </w:tcPr>
          <w:p w14:paraId="771AFB3E" w14:textId="77777777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Neurology ICU,</w:t>
            </w:r>
          </w:p>
          <w:p w14:paraId="1A8803D1" w14:textId="6B67C0EB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Government Medical College, Thiruvananthapuram</w:t>
            </w:r>
          </w:p>
        </w:tc>
        <w:tc>
          <w:tcPr>
            <w:tcW w:w="1844" w:type="dxa"/>
          </w:tcPr>
          <w:p w14:paraId="6F072697" w14:textId="4031D9E5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EVD sample</w:t>
            </w:r>
          </w:p>
        </w:tc>
      </w:tr>
      <w:tr w:rsidR="00E2704F" w14:paraId="54655F62" w14:textId="77777777" w:rsidTr="00E2704F">
        <w:trPr>
          <w:trHeight w:val="695"/>
        </w:trPr>
        <w:tc>
          <w:tcPr>
            <w:tcW w:w="1845" w:type="dxa"/>
          </w:tcPr>
          <w:p w14:paraId="5F47145E" w14:textId="77777777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 xml:space="preserve">Opening Pressure </w:t>
            </w:r>
          </w:p>
          <w:p w14:paraId="0CA46613" w14:textId="7DF29B91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(cm of H2O)</w:t>
            </w:r>
          </w:p>
        </w:tc>
        <w:tc>
          <w:tcPr>
            <w:tcW w:w="1543" w:type="dxa"/>
          </w:tcPr>
          <w:p w14:paraId="19ECA3D2" w14:textId="53969DD6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543" w:type="dxa"/>
          </w:tcPr>
          <w:p w14:paraId="26557C9E" w14:textId="543206B7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2431" w:type="dxa"/>
          </w:tcPr>
          <w:p w14:paraId="389A7E42" w14:textId="28F16651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</w:t>
            </w:r>
          </w:p>
        </w:tc>
        <w:tc>
          <w:tcPr>
            <w:tcW w:w="1844" w:type="dxa"/>
          </w:tcPr>
          <w:p w14:paraId="19EA810C" w14:textId="4CAF0EE5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…..</w:t>
            </w:r>
          </w:p>
        </w:tc>
      </w:tr>
      <w:tr w:rsidR="00E2704F" w14:paraId="0E8F2657" w14:textId="77777777" w:rsidTr="00E2704F">
        <w:trPr>
          <w:trHeight w:val="695"/>
        </w:trPr>
        <w:tc>
          <w:tcPr>
            <w:tcW w:w="1845" w:type="dxa"/>
          </w:tcPr>
          <w:p w14:paraId="3E65A188" w14:textId="4EA1E496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Total Cell count/cmm</w:t>
            </w:r>
          </w:p>
        </w:tc>
        <w:tc>
          <w:tcPr>
            <w:tcW w:w="1543" w:type="dxa"/>
          </w:tcPr>
          <w:p w14:paraId="5BF2A2F7" w14:textId="7381E853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</w:t>
            </w:r>
          </w:p>
        </w:tc>
        <w:tc>
          <w:tcPr>
            <w:tcW w:w="1543" w:type="dxa"/>
          </w:tcPr>
          <w:p w14:paraId="0662BF4A" w14:textId="755AB066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</w:t>
            </w:r>
          </w:p>
        </w:tc>
        <w:tc>
          <w:tcPr>
            <w:tcW w:w="2431" w:type="dxa"/>
          </w:tcPr>
          <w:p w14:paraId="15514065" w14:textId="6AB9704B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1844" w:type="dxa"/>
          </w:tcPr>
          <w:p w14:paraId="6920133E" w14:textId="2D1872B9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146</w:t>
            </w:r>
          </w:p>
        </w:tc>
      </w:tr>
      <w:tr w:rsidR="00E2704F" w14:paraId="6985EBEE" w14:textId="77777777" w:rsidTr="00E2704F">
        <w:trPr>
          <w:trHeight w:val="332"/>
        </w:trPr>
        <w:tc>
          <w:tcPr>
            <w:tcW w:w="1845" w:type="dxa"/>
          </w:tcPr>
          <w:p w14:paraId="24BE91E7" w14:textId="13195F17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DC</w:t>
            </w:r>
          </w:p>
        </w:tc>
        <w:tc>
          <w:tcPr>
            <w:tcW w:w="1543" w:type="dxa"/>
          </w:tcPr>
          <w:p w14:paraId="3DF00A88" w14:textId="5998D01B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L100P0</w:t>
            </w:r>
          </w:p>
        </w:tc>
        <w:tc>
          <w:tcPr>
            <w:tcW w:w="1543" w:type="dxa"/>
          </w:tcPr>
          <w:p w14:paraId="3CD0E56A" w14:textId="38E025E3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L100P0</w:t>
            </w:r>
          </w:p>
        </w:tc>
        <w:tc>
          <w:tcPr>
            <w:tcW w:w="2431" w:type="dxa"/>
          </w:tcPr>
          <w:p w14:paraId="34FDDD77" w14:textId="330BD5BA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L99P1</w:t>
            </w:r>
          </w:p>
        </w:tc>
        <w:tc>
          <w:tcPr>
            <w:tcW w:w="1844" w:type="dxa"/>
          </w:tcPr>
          <w:p w14:paraId="0A25DC6D" w14:textId="69242442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P38L62</w:t>
            </w:r>
          </w:p>
        </w:tc>
      </w:tr>
      <w:tr w:rsidR="00E2704F" w14:paraId="2002D442" w14:textId="77777777" w:rsidTr="00E2704F">
        <w:trPr>
          <w:trHeight w:val="347"/>
        </w:trPr>
        <w:tc>
          <w:tcPr>
            <w:tcW w:w="1845" w:type="dxa"/>
          </w:tcPr>
          <w:p w14:paraId="51B8FB5A" w14:textId="16242B8D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Glucose (mg/dl)</w:t>
            </w:r>
          </w:p>
        </w:tc>
        <w:tc>
          <w:tcPr>
            <w:tcW w:w="1543" w:type="dxa"/>
          </w:tcPr>
          <w:p w14:paraId="408F8922" w14:textId="5108227B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</w:t>
            </w:r>
          </w:p>
        </w:tc>
        <w:tc>
          <w:tcPr>
            <w:tcW w:w="1543" w:type="dxa"/>
          </w:tcPr>
          <w:p w14:paraId="5D8CA43B" w14:textId="2DEB5A50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2431" w:type="dxa"/>
          </w:tcPr>
          <w:p w14:paraId="77856530" w14:textId="3E0BD549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844" w:type="dxa"/>
          </w:tcPr>
          <w:p w14:paraId="5387E902" w14:textId="4F30A4E7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21.8</w:t>
            </w:r>
          </w:p>
        </w:tc>
      </w:tr>
      <w:tr w:rsidR="00E2704F" w14:paraId="078BB959" w14:textId="77777777" w:rsidTr="00E2704F">
        <w:trPr>
          <w:trHeight w:val="347"/>
        </w:trPr>
        <w:tc>
          <w:tcPr>
            <w:tcW w:w="1845" w:type="dxa"/>
          </w:tcPr>
          <w:p w14:paraId="5B96FA61" w14:textId="0EADB54C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Protein(mg/dl)</w:t>
            </w:r>
          </w:p>
        </w:tc>
        <w:tc>
          <w:tcPr>
            <w:tcW w:w="1543" w:type="dxa"/>
          </w:tcPr>
          <w:p w14:paraId="4A10432A" w14:textId="5273BCE1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1543" w:type="dxa"/>
          </w:tcPr>
          <w:p w14:paraId="6CED799F" w14:textId="46B4F140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188</w:t>
            </w:r>
          </w:p>
        </w:tc>
        <w:tc>
          <w:tcPr>
            <w:tcW w:w="2431" w:type="dxa"/>
          </w:tcPr>
          <w:p w14:paraId="6D5FC105" w14:textId="583DC5FE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83</w:t>
            </w:r>
          </w:p>
        </w:tc>
        <w:tc>
          <w:tcPr>
            <w:tcW w:w="1844" w:type="dxa"/>
          </w:tcPr>
          <w:p w14:paraId="0D7CCB30" w14:textId="71464470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245</w:t>
            </w:r>
          </w:p>
        </w:tc>
      </w:tr>
      <w:tr w:rsidR="00E2704F" w14:paraId="1F162D6B" w14:textId="77777777" w:rsidTr="00E2704F">
        <w:trPr>
          <w:trHeight w:val="347"/>
        </w:trPr>
        <w:tc>
          <w:tcPr>
            <w:tcW w:w="1845" w:type="dxa"/>
          </w:tcPr>
          <w:p w14:paraId="7858D76B" w14:textId="1C84B430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Film Array</w:t>
            </w:r>
          </w:p>
        </w:tc>
        <w:tc>
          <w:tcPr>
            <w:tcW w:w="1543" w:type="dxa"/>
          </w:tcPr>
          <w:p w14:paraId="034D0CA0" w14:textId="54A5F87D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1543" w:type="dxa"/>
          </w:tcPr>
          <w:p w14:paraId="3DEA0734" w14:textId="7E3AAA2C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2431" w:type="dxa"/>
          </w:tcPr>
          <w:p w14:paraId="56232EC2" w14:textId="51032F79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1EC5A34B" w14:textId="58410877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01AAE4F5" w14:textId="77777777" w:rsidTr="00E2704F">
        <w:trPr>
          <w:trHeight w:val="347"/>
        </w:trPr>
        <w:tc>
          <w:tcPr>
            <w:tcW w:w="1845" w:type="dxa"/>
          </w:tcPr>
          <w:p w14:paraId="014C1BBA" w14:textId="46DAAF31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CRAG</w:t>
            </w:r>
          </w:p>
        </w:tc>
        <w:tc>
          <w:tcPr>
            <w:tcW w:w="1543" w:type="dxa"/>
          </w:tcPr>
          <w:p w14:paraId="5FD057EE" w14:textId="720A3D3A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</w:t>
            </w:r>
          </w:p>
        </w:tc>
        <w:tc>
          <w:tcPr>
            <w:tcW w:w="1543" w:type="dxa"/>
          </w:tcPr>
          <w:p w14:paraId="56CA297E" w14:textId="68F4CD63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………..</w:t>
            </w:r>
          </w:p>
        </w:tc>
        <w:tc>
          <w:tcPr>
            <w:tcW w:w="2431" w:type="dxa"/>
          </w:tcPr>
          <w:p w14:paraId="24A69886" w14:textId="19427B40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263606AD" w14:textId="2C8493EE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</w:t>
            </w:r>
          </w:p>
        </w:tc>
      </w:tr>
      <w:tr w:rsidR="00E2704F" w14:paraId="555E6F1D" w14:textId="77777777" w:rsidTr="00E2704F">
        <w:trPr>
          <w:trHeight w:val="347"/>
        </w:trPr>
        <w:tc>
          <w:tcPr>
            <w:tcW w:w="1845" w:type="dxa"/>
          </w:tcPr>
          <w:p w14:paraId="0F024CD0" w14:textId="4E002507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Gram Stain</w:t>
            </w:r>
          </w:p>
        </w:tc>
        <w:tc>
          <w:tcPr>
            <w:tcW w:w="1543" w:type="dxa"/>
          </w:tcPr>
          <w:p w14:paraId="66498779" w14:textId="08817DA7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2DDF2AD7" w14:textId="0C5C97B2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657B3393" w14:textId="1582728B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42767474" w14:textId="4CA1771F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60A7DD64" w14:textId="77777777" w:rsidTr="00E2704F">
        <w:trPr>
          <w:trHeight w:val="347"/>
        </w:trPr>
        <w:tc>
          <w:tcPr>
            <w:tcW w:w="1845" w:type="dxa"/>
          </w:tcPr>
          <w:p w14:paraId="0224D5E6" w14:textId="72250EA0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KOH Stain</w:t>
            </w:r>
          </w:p>
        </w:tc>
        <w:tc>
          <w:tcPr>
            <w:tcW w:w="1543" w:type="dxa"/>
          </w:tcPr>
          <w:p w14:paraId="5A2E8476" w14:textId="1B7C726F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459C8DA4" w14:textId="0CE7020F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21F2B734" w14:textId="36698386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Yeast cells</w:t>
            </w:r>
          </w:p>
        </w:tc>
        <w:tc>
          <w:tcPr>
            <w:tcW w:w="1844" w:type="dxa"/>
          </w:tcPr>
          <w:p w14:paraId="776B0B92" w14:textId="301B5DD0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224B9081" w14:textId="77777777" w:rsidTr="00E2704F">
        <w:trPr>
          <w:trHeight w:val="347"/>
        </w:trPr>
        <w:tc>
          <w:tcPr>
            <w:tcW w:w="1845" w:type="dxa"/>
          </w:tcPr>
          <w:p w14:paraId="7B005524" w14:textId="5D7676B9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AFB Satin</w:t>
            </w:r>
          </w:p>
        </w:tc>
        <w:tc>
          <w:tcPr>
            <w:tcW w:w="1543" w:type="dxa"/>
          </w:tcPr>
          <w:p w14:paraId="56CF3AD1" w14:textId="55B7E5F5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67103DC3" w14:textId="5558FB44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751E59DF" w14:textId="29EC170F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286ABFC4" w14:textId="5A400DAA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6F66AADD" w14:textId="77777777" w:rsidTr="00E2704F">
        <w:trPr>
          <w:trHeight w:val="347"/>
        </w:trPr>
        <w:tc>
          <w:tcPr>
            <w:tcW w:w="1845" w:type="dxa"/>
          </w:tcPr>
          <w:p w14:paraId="1D6A98F9" w14:textId="0EB619F0" w:rsidR="00E2704F" w:rsidRPr="00E2704F" w:rsidRDefault="00E2704F" w:rsidP="009E6D1C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CBNAAT</w:t>
            </w:r>
          </w:p>
        </w:tc>
        <w:tc>
          <w:tcPr>
            <w:tcW w:w="1543" w:type="dxa"/>
          </w:tcPr>
          <w:p w14:paraId="1D7B3B56" w14:textId="4689100B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1BA01289" w14:textId="58DD4782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66F3BF66" w14:textId="0D2A51FD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30029DA6" w14:textId="031C860C" w:rsidR="00E2704F" w:rsidRDefault="00E2704F" w:rsidP="009E6D1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10C37EB4" w14:textId="77777777" w:rsidTr="00E2704F">
        <w:trPr>
          <w:trHeight w:val="347"/>
        </w:trPr>
        <w:tc>
          <w:tcPr>
            <w:tcW w:w="1845" w:type="dxa"/>
          </w:tcPr>
          <w:p w14:paraId="0D2E7756" w14:textId="0E65AFB9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VDRL</w:t>
            </w:r>
          </w:p>
        </w:tc>
        <w:tc>
          <w:tcPr>
            <w:tcW w:w="1543" w:type="dxa"/>
          </w:tcPr>
          <w:p w14:paraId="4AA4E593" w14:textId="17AD4272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33080F3F" w14:textId="625F9222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573DAB5E" w14:textId="05B32888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73E419ED" w14:textId="12C063D9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038E91E5" w14:textId="77777777" w:rsidTr="00E2704F">
        <w:trPr>
          <w:trHeight w:val="347"/>
        </w:trPr>
        <w:tc>
          <w:tcPr>
            <w:tcW w:w="1845" w:type="dxa"/>
          </w:tcPr>
          <w:p w14:paraId="2DD70287" w14:textId="04FEF962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NMO and MOG antibody, OCB</w:t>
            </w:r>
          </w:p>
        </w:tc>
        <w:tc>
          <w:tcPr>
            <w:tcW w:w="1543" w:type="dxa"/>
          </w:tcPr>
          <w:p w14:paraId="2C88BA9E" w14:textId="1F53D7ED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146BF8C2" w14:textId="2DA1D495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2431" w:type="dxa"/>
          </w:tcPr>
          <w:p w14:paraId="0D32F2E6" w14:textId="17DEBF6C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………….</w:t>
            </w:r>
          </w:p>
        </w:tc>
        <w:tc>
          <w:tcPr>
            <w:tcW w:w="1844" w:type="dxa"/>
          </w:tcPr>
          <w:p w14:paraId="769D172A" w14:textId="7B909226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…………..</w:t>
            </w:r>
          </w:p>
        </w:tc>
      </w:tr>
      <w:tr w:rsidR="00E2704F" w14:paraId="4394DC76" w14:textId="77777777" w:rsidTr="00E2704F">
        <w:trPr>
          <w:trHeight w:val="347"/>
        </w:trPr>
        <w:tc>
          <w:tcPr>
            <w:tcW w:w="1845" w:type="dxa"/>
          </w:tcPr>
          <w:p w14:paraId="19296798" w14:textId="704BCA18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Wet Mount</w:t>
            </w:r>
          </w:p>
        </w:tc>
        <w:tc>
          <w:tcPr>
            <w:tcW w:w="1543" w:type="dxa"/>
          </w:tcPr>
          <w:p w14:paraId="6477E1B9" w14:textId="011237DD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1543" w:type="dxa"/>
          </w:tcPr>
          <w:p w14:paraId="661B5630" w14:textId="32D25786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2431" w:type="dxa"/>
          </w:tcPr>
          <w:p w14:paraId="41C6636D" w14:textId="39ABD15F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Motile Trophozoites</w:t>
            </w:r>
          </w:p>
        </w:tc>
        <w:tc>
          <w:tcPr>
            <w:tcW w:w="1844" w:type="dxa"/>
          </w:tcPr>
          <w:p w14:paraId="72E12D54" w14:textId="6EF14905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Motile Trophozoites</w:t>
            </w:r>
          </w:p>
        </w:tc>
      </w:tr>
      <w:tr w:rsidR="00E2704F" w14:paraId="1804C0A0" w14:textId="77777777" w:rsidTr="00E2704F">
        <w:trPr>
          <w:trHeight w:val="347"/>
        </w:trPr>
        <w:tc>
          <w:tcPr>
            <w:tcW w:w="1845" w:type="dxa"/>
          </w:tcPr>
          <w:p w14:paraId="73B38F54" w14:textId="0D68FC76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18s r RNA gene specific PCR</w:t>
            </w:r>
          </w:p>
        </w:tc>
        <w:tc>
          <w:tcPr>
            <w:tcW w:w="1543" w:type="dxa"/>
          </w:tcPr>
          <w:p w14:paraId="4A8E8692" w14:textId="1913B9A8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1543" w:type="dxa"/>
          </w:tcPr>
          <w:p w14:paraId="58CD6F05" w14:textId="401DA2E6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sent</w:t>
            </w:r>
          </w:p>
        </w:tc>
        <w:tc>
          <w:tcPr>
            <w:tcW w:w="2431" w:type="dxa"/>
          </w:tcPr>
          <w:p w14:paraId="5C2906CE" w14:textId="1DBD1C57" w:rsidR="00E2704F" w:rsidRPr="00F741FC" w:rsidRDefault="00F741FC" w:rsidP="00E2704F">
            <w:pPr>
              <w:rPr>
                <w:rFonts w:ascii="Arial" w:hAnsi="Arial" w:cs="Arial"/>
                <w:i/>
                <w:iCs/>
              </w:rPr>
            </w:pPr>
            <w:r w:rsidRPr="00F741FC">
              <w:rPr>
                <w:rFonts w:ascii="Arial" w:hAnsi="Arial" w:cs="Arial"/>
                <w:i/>
                <w:iCs/>
              </w:rPr>
              <w:t>acanthamoeba spp.</w:t>
            </w:r>
          </w:p>
        </w:tc>
        <w:tc>
          <w:tcPr>
            <w:tcW w:w="1844" w:type="dxa"/>
          </w:tcPr>
          <w:p w14:paraId="2CF6ED92" w14:textId="227BC6D6" w:rsidR="00E2704F" w:rsidRPr="00F741FC" w:rsidRDefault="00F741FC" w:rsidP="00E2704F">
            <w:pPr>
              <w:rPr>
                <w:rFonts w:ascii="Arial" w:hAnsi="Arial" w:cs="Arial"/>
                <w:i/>
                <w:iCs/>
              </w:rPr>
            </w:pPr>
            <w:r w:rsidRPr="00F741FC">
              <w:rPr>
                <w:rFonts w:ascii="Arial" w:hAnsi="Arial" w:cs="Arial"/>
                <w:i/>
                <w:iCs/>
              </w:rPr>
              <w:t>acanthamoeba spp.</w:t>
            </w:r>
          </w:p>
        </w:tc>
      </w:tr>
      <w:tr w:rsidR="00E2704F" w14:paraId="46592A6E" w14:textId="77777777" w:rsidTr="00E2704F">
        <w:trPr>
          <w:trHeight w:val="347"/>
        </w:trPr>
        <w:tc>
          <w:tcPr>
            <w:tcW w:w="1845" w:type="dxa"/>
          </w:tcPr>
          <w:p w14:paraId="11F3DD42" w14:textId="0E3D1C8B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Bacterial Culture</w:t>
            </w:r>
          </w:p>
        </w:tc>
        <w:tc>
          <w:tcPr>
            <w:tcW w:w="1543" w:type="dxa"/>
          </w:tcPr>
          <w:p w14:paraId="537BF907" w14:textId="2FD787F2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543" w:type="dxa"/>
          </w:tcPr>
          <w:p w14:paraId="560D6964" w14:textId="5C5FE4B8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5B911817" w14:textId="1448A664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1844" w:type="dxa"/>
          </w:tcPr>
          <w:p w14:paraId="6856005F" w14:textId="5D0B7C38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</w:tr>
      <w:tr w:rsidR="00E2704F" w14:paraId="54263D63" w14:textId="77777777" w:rsidTr="00E2704F">
        <w:trPr>
          <w:trHeight w:val="347"/>
        </w:trPr>
        <w:tc>
          <w:tcPr>
            <w:tcW w:w="1845" w:type="dxa"/>
          </w:tcPr>
          <w:p w14:paraId="1B2A806F" w14:textId="3B5CD3B6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Mycobacterium Culture</w:t>
            </w:r>
          </w:p>
        </w:tc>
        <w:tc>
          <w:tcPr>
            <w:tcW w:w="1543" w:type="dxa"/>
          </w:tcPr>
          <w:p w14:paraId="488DD02E" w14:textId="040913E6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……..</w:t>
            </w:r>
          </w:p>
        </w:tc>
        <w:tc>
          <w:tcPr>
            <w:tcW w:w="1543" w:type="dxa"/>
          </w:tcPr>
          <w:p w14:paraId="037854D9" w14:textId="68903ED4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0E6CDEFD" w14:textId="77777777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Rifampicin sensitive </w:t>
            </w:r>
          </w:p>
          <w:p w14:paraId="3A5BBE08" w14:textId="4ED932AB" w:rsidR="00E2704F" w:rsidRPr="00F741FC" w:rsidRDefault="00F741FC" w:rsidP="00E2704F">
            <w:pPr>
              <w:rPr>
                <w:rFonts w:ascii="Arial" w:hAnsi="Arial" w:cs="Arial"/>
                <w:i/>
                <w:iCs/>
              </w:rPr>
            </w:pPr>
            <w:r w:rsidRPr="00F741FC">
              <w:rPr>
                <w:rFonts w:ascii="Arial" w:hAnsi="Arial" w:cs="Arial"/>
                <w:i/>
                <w:iCs/>
              </w:rPr>
              <w:t>mycobacterium tuberculosis</w:t>
            </w:r>
          </w:p>
        </w:tc>
        <w:tc>
          <w:tcPr>
            <w:tcW w:w="1844" w:type="dxa"/>
          </w:tcPr>
          <w:p w14:paraId="6B419AAF" w14:textId="77777777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Rifampicin sensitive </w:t>
            </w:r>
          </w:p>
          <w:p w14:paraId="6C961165" w14:textId="0FF5817C" w:rsidR="00E2704F" w:rsidRPr="00F741FC" w:rsidRDefault="00F741FC" w:rsidP="00E2704F">
            <w:pPr>
              <w:rPr>
                <w:rFonts w:ascii="Arial" w:hAnsi="Arial" w:cs="Arial"/>
                <w:i/>
                <w:iCs/>
              </w:rPr>
            </w:pPr>
            <w:r w:rsidRPr="00F741FC">
              <w:rPr>
                <w:rFonts w:ascii="Arial" w:hAnsi="Arial" w:cs="Arial"/>
                <w:i/>
                <w:iCs/>
              </w:rPr>
              <w:t>mycobacterium tuberculosis</w:t>
            </w:r>
          </w:p>
        </w:tc>
      </w:tr>
      <w:tr w:rsidR="00E2704F" w14:paraId="4A9B170C" w14:textId="77777777" w:rsidTr="00E2704F">
        <w:trPr>
          <w:trHeight w:val="347"/>
        </w:trPr>
        <w:tc>
          <w:tcPr>
            <w:tcW w:w="1845" w:type="dxa"/>
          </w:tcPr>
          <w:p w14:paraId="3C49F3DA" w14:textId="21BFA2D4" w:rsidR="00E2704F" w:rsidRPr="00E2704F" w:rsidRDefault="00E2704F" w:rsidP="00E2704F">
            <w:pPr>
              <w:rPr>
                <w:rFonts w:ascii="Arial" w:hAnsi="Arial" w:cs="Arial"/>
                <w:b/>
                <w:bCs/>
              </w:rPr>
            </w:pPr>
            <w:r w:rsidRPr="00E2704F">
              <w:rPr>
                <w:rFonts w:ascii="Arial" w:hAnsi="Arial" w:cs="Arial"/>
                <w:b/>
                <w:bCs/>
              </w:rPr>
              <w:t>Fungal Culture</w:t>
            </w:r>
          </w:p>
        </w:tc>
        <w:tc>
          <w:tcPr>
            <w:tcW w:w="1543" w:type="dxa"/>
          </w:tcPr>
          <w:p w14:paraId="7C1CB4F4" w14:textId="3567DA0A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……….</w:t>
            </w:r>
          </w:p>
        </w:tc>
        <w:tc>
          <w:tcPr>
            <w:tcW w:w="1543" w:type="dxa"/>
          </w:tcPr>
          <w:p w14:paraId="7456EEC5" w14:textId="76C04A7B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Negative</w:t>
            </w:r>
          </w:p>
        </w:tc>
        <w:tc>
          <w:tcPr>
            <w:tcW w:w="2431" w:type="dxa"/>
          </w:tcPr>
          <w:p w14:paraId="7C369DB3" w14:textId="2294A730" w:rsidR="00E2704F" w:rsidRPr="00F741FC" w:rsidRDefault="00F741FC" w:rsidP="00E2704F">
            <w:pPr>
              <w:rPr>
                <w:rFonts w:ascii="Arial" w:hAnsi="Arial" w:cs="Arial"/>
                <w:i/>
                <w:iCs/>
              </w:rPr>
            </w:pPr>
            <w:r w:rsidRPr="00F741FC">
              <w:rPr>
                <w:rFonts w:ascii="Arial" w:hAnsi="Arial" w:cs="Arial"/>
                <w:i/>
                <w:iCs/>
              </w:rPr>
              <w:t xml:space="preserve">aspergillus </w:t>
            </w:r>
          </w:p>
          <w:p w14:paraId="4612FEC4" w14:textId="42240DEA" w:rsidR="00E2704F" w:rsidRDefault="00E2704F" w:rsidP="00E2704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(? Species of Environmental origin)</w:t>
            </w:r>
          </w:p>
        </w:tc>
        <w:tc>
          <w:tcPr>
            <w:tcW w:w="1844" w:type="dxa"/>
          </w:tcPr>
          <w:p w14:paraId="61C48123" w14:textId="77777777" w:rsidR="00E2704F" w:rsidRDefault="00E2704F" w:rsidP="00E2704F">
            <w:pPr>
              <w:rPr>
                <w:rFonts w:ascii="Arial" w:hAnsi="Arial" w:cs="Arial"/>
              </w:rPr>
            </w:pPr>
          </w:p>
        </w:tc>
      </w:tr>
    </w:tbl>
    <w:p w14:paraId="37DAC203" w14:textId="77777777" w:rsidR="00E2704F" w:rsidRDefault="00E2704F" w:rsidP="009E6D1C">
      <w:pPr>
        <w:rPr>
          <w:rFonts w:ascii="Arial" w:hAnsi="Arial" w:cs="Arial"/>
        </w:rPr>
      </w:pPr>
    </w:p>
    <w:p w14:paraId="5EFE289F" w14:textId="77777777" w:rsidR="00E2704F" w:rsidRDefault="00E2704F" w:rsidP="009E6D1C">
      <w:pPr>
        <w:rPr>
          <w:rFonts w:ascii="Arial" w:hAnsi="Arial" w:cs="Arial"/>
        </w:rPr>
      </w:pPr>
    </w:p>
    <w:p w14:paraId="1DF5FC53" w14:textId="04040125" w:rsidR="00E2704F" w:rsidRPr="00E2704F" w:rsidRDefault="00E2704F" w:rsidP="00E2704F">
      <w:pPr>
        <w:rPr>
          <w:rFonts w:ascii="Arial" w:hAnsi="Arial" w:cs="Arial"/>
          <w:b/>
          <w:bCs/>
        </w:rPr>
      </w:pPr>
      <w:r w:rsidRPr="00E2704F">
        <w:rPr>
          <w:rFonts w:ascii="Arial" w:hAnsi="Arial" w:cs="Arial"/>
          <w:b/>
          <w:bCs/>
        </w:rPr>
        <w:lastRenderedPageBreak/>
        <w:t>Fig 3: Line probe assay (indirect LPA) demonstrating Drug sensitive MTB</w:t>
      </w:r>
    </w:p>
    <w:p w14:paraId="0B4B5900" w14:textId="619E3B3E" w:rsidR="00E2704F" w:rsidRDefault="00E2704F" w:rsidP="00E2704F">
      <w:pPr>
        <w:rPr>
          <w:rFonts w:ascii="Arial" w:hAnsi="Arial" w:cs="Arial"/>
        </w:rPr>
      </w:pPr>
      <w:r w:rsidRPr="00E2704F">
        <w:rPr>
          <w:rFonts w:ascii="Arial" w:hAnsi="Arial" w:cs="Arial"/>
        </w:rPr>
        <w:t>First line LPA: MTB detected, no resistance detected in rpoB, K</w:t>
      </w:r>
      <w:r>
        <w:rPr>
          <w:rFonts w:ascii="Arial" w:hAnsi="Arial" w:cs="Arial"/>
        </w:rPr>
        <w:t>, KatG</w:t>
      </w:r>
      <w:r w:rsidRPr="00E2704F">
        <w:rPr>
          <w:rFonts w:ascii="Arial" w:hAnsi="Arial" w:cs="Arial"/>
        </w:rPr>
        <w:t>, inh A genes.</w:t>
      </w:r>
    </w:p>
    <w:p w14:paraId="4B7DCC19" w14:textId="398D2414" w:rsidR="00E2704F" w:rsidRPr="00F12531" w:rsidRDefault="00E2704F" w:rsidP="009E6D1C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6ADD93F" wp14:editId="1ED00473">
            <wp:extent cx="782027" cy="6142673"/>
            <wp:effectExtent l="5715" t="0" r="5080" b="5080"/>
            <wp:docPr id="1439378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37886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 flipH="1" flipV="1">
                      <a:off x="0" y="0"/>
                      <a:ext cx="787211" cy="6183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704F" w:rsidRPr="00F125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D1C"/>
    <w:rsid w:val="000A226A"/>
    <w:rsid w:val="000E563A"/>
    <w:rsid w:val="00176001"/>
    <w:rsid w:val="003014A2"/>
    <w:rsid w:val="0031742D"/>
    <w:rsid w:val="003F0553"/>
    <w:rsid w:val="00441EA3"/>
    <w:rsid w:val="0052072E"/>
    <w:rsid w:val="00725580"/>
    <w:rsid w:val="00825199"/>
    <w:rsid w:val="008D2A7F"/>
    <w:rsid w:val="009E6D1C"/>
    <w:rsid w:val="00A41ED5"/>
    <w:rsid w:val="00BF3275"/>
    <w:rsid w:val="00E26824"/>
    <w:rsid w:val="00E2704F"/>
    <w:rsid w:val="00EE7B34"/>
    <w:rsid w:val="00F12531"/>
    <w:rsid w:val="00F7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509C"/>
  <w15:chartTrackingRefBased/>
  <w15:docId w15:val="{FE62AB11-7E5F-45F7-B323-6853F562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6D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6D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6D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D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D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D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D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D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D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D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6D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6D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6D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D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D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D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D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D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6D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6D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D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6D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6D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6D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6D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6D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D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D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6D1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27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remya prakash</dc:creator>
  <cp:keywords/>
  <dc:description/>
  <cp:lastModifiedBy>remya prakash</cp:lastModifiedBy>
  <cp:revision>6</cp:revision>
  <cp:lastPrinted>2025-10-16T15:38:00Z</cp:lastPrinted>
  <dcterms:created xsi:type="dcterms:W3CDTF">2025-09-30T17:45:00Z</dcterms:created>
  <dcterms:modified xsi:type="dcterms:W3CDTF">2025-11-18T01:03:00Z</dcterms:modified>
</cp:coreProperties>
</file>