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0CFE68" w14:textId="394E445B" w:rsidR="007017B4" w:rsidRPr="007017B4" w:rsidRDefault="007017B4" w:rsidP="007017B4">
      <w:pPr>
        <w:pStyle w:val="Title"/>
      </w:pPr>
      <w:r w:rsidRPr="007017B4">
        <w:t>Supporting Information for:</w:t>
      </w:r>
    </w:p>
    <w:p w14:paraId="70FE51B5" w14:textId="67918503" w:rsidR="008234BA" w:rsidRDefault="008234BA" w:rsidP="008234BA">
      <w:pPr>
        <w:pStyle w:val="03AuthorAffiliation"/>
        <w:jc w:val="center"/>
        <w:rPr>
          <w:rFonts w:cs="Times New Roman"/>
          <w:b/>
          <w:bCs/>
          <w:i w:val="0"/>
          <w:sz w:val="32"/>
          <w:szCs w:val="32"/>
        </w:rPr>
      </w:pPr>
      <w:r w:rsidRPr="008234BA">
        <w:rPr>
          <w:rFonts w:cs="Times New Roman"/>
          <w:b/>
          <w:bCs/>
          <w:i w:val="0"/>
          <w:sz w:val="32"/>
          <w:szCs w:val="32"/>
        </w:rPr>
        <w:t>Turn-key super-resolution mapping of cell receptor force orientation and magnitude using a commercial structured illumination microscope</w:t>
      </w:r>
    </w:p>
    <w:p w14:paraId="54A8B275" w14:textId="77777777" w:rsidR="008234BA" w:rsidRPr="008234BA" w:rsidRDefault="008234BA" w:rsidP="008234BA"/>
    <w:p w14:paraId="0CD02754" w14:textId="1ED8F381" w:rsidR="007017B4" w:rsidRDefault="008234BA" w:rsidP="007017B4">
      <w:pPr>
        <w:pStyle w:val="03AuthorAffiliation"/>
        <w:rPr>
          <w:sz w:val="24"/>
          <w:szCs w:val="28"/>
          <w:vertAlign w:val="superscript"/>
        </w:rPr>
      </w:pPr>
      <w:r w:rsidRPr="00A108D1">
        <w:rPr>
          <w:sz w:val="24"/>
          <w:szCs w:val="28"/>
        </w:rPr>
        <w:t>Aaron Blanchard</w:t>
      </w:r>
      <w:r w:rsidRPr="00A108D1">
        <w:rPr>
          <w:sz w:val="24"/>
          <w:szCs w:val="28"/>
          <w:vertAlign w:val="superscript"/>
        </w:rPr>
        <w:t>1</w:t>
      </w:r>
      <w:r w:rsidRPr="00A108D1">
        <w:rPr>
          <w:sz w:val="24"/>
          <w:szCs w:val="28"/>
        </w:rPr>
        <w:t>, Dale J. Combs</w:t>
      </w:r>
      <w:r w:rsidRPr="00A108D1">
        <w:rPr>
          <w:sz w:val="24"/>
          <w:szCs w:val="28"/>
          <w:vertAlign w:val="superscript"/>
        </w:rPr>
        <w:t>2</w:t>
      </w:r>
      <w:r w:rsidRPr="00A108D1">
        <w:rPr>
          <w:sz w:val="24"/>
          <w:szCs w:val="28"/>
        </w:rPr>
        <w:t>, Joshua M. Brockman</w:t>
      </w:r>
      <w:r w:rsidRPr="00A108D1">
        <w:rPr>
          <w:sz w:val="24"/>
          <w:szCs w:val="28"/>
          <w:vertAlign w:val="superscript"/>
        </w:rPr>
        <w:t>1</w:t>
      </w:r>
      <w:r w:rsidRPr="00705E41">
        <w:rPr>
          <w:sz w:val="24"/>
          <w:szCs w:val="28"/>
        </w:rPr>
        <w:t>,</w:t>
      </w:r>
      <w:r w:rsidRPr="00A108D1">
        <w:rPr>
          <w:sz w:val="24"/>
          <w:szCs w:val="28"/>
        </w:rPr>
        <w:t xml:space="preserve"> Anna V. Kellner</w:t>
      </w:r>
      <w:r w:rsidRPr="00A108D1">
        <w:rPr>
          <w:sz w:val="24"/>
          <w:szCs w:val="28"/>
          <w:vertAlign w:val="superscript"/>
        </w:rPr>
        <w:t>1</w:t>
      </w:r>
      <w:r w:rsidRPr="00A108D1">
        <w:rPr>
          <w:sz w:val="24"/>
          <w:szCs w:val="28"/>
        </w:rPr>
        <w:t>, Roxanne Glazier</w:t>
      </w:r>
      <w:r w:rsidRPr="00A108D1">
        <w:rPr>
          <w:sz w:val="24"/>
          <w:szCs w:val="28"/>
          <w:vertAlign w:val="superscript"/>
        </w:rPr>
        <w:t>1</w:t>
      </w:r>
      <w:r w:rsidRPr="00A108D1">
        <w:rPr>
          <w:sz w:val="24"/>
          <w:szCs w:val="28"/>
        </w:rPr>
        <w:t>, Hanquan Su</w:t>
      </w:r>
      <w:r w:rsidRPr="00A108D1">
        <w:rPr>
          <w:sz w:val="24"/>
          <w:szCs w:val="28"/>
          <w:vertAlign w:val="superscript"/>
        </w:rPr>
        <w:t>2</w:t>
      </w:r>
      <w:r w:rsidRPr="00A108D1">
        <w:rPr>
          <w:sz w:val="24"/>
          <w:szCs w:val="28"/>
        </w:rPr>
        <w:t>,</w:t>
      </w:r>
      <w:r w:rsidR="006A479E">
        <w:rPr>
          <w:sz w:val="24"/>
          <w:szCs w:val="28"/>
        </w:rPr>
        <w:t xml:space="preserve"> </w:t>
      </w:r>
      <w:r w:rsidR="006A479E" w:rsidRPr="00A108D1">
        <w:rPr>
          <w:sz w:val="24"/>
          <w:szCs w:val="28"/>
        </w:rPr>
        <w:t>Rachel</w:t>
      </w:r>
      <w:r w:rsidR="006A479E">
        <w:rPr>
          <w:sz w:val="24"/>
          <w:szCs w:val="28"/>
        </w:rPr>
        <w:t xml:space="preserve"> L.</w:t>
      </w:r>
      <w:r w:rsidR="006A479E" w:rsidRPr="00A108D1">
        <w:rPr>
          <w:sz w:val="24"/>
          <w:szCs w:val="28"/>
        </w:rPr>
        <w:t xml:space="preserve"> Bender</w:t>
      </w:r>
      <w:r w:rsidR="006A479E" w:rsidRPr="00A108D1">
        <w:rPr>
          <w:sz w:val="24"/>
          <w:szCs w:val="28"/>
          <w:vertAlign w:val="superscript"/>
        </w:rPr>
        <w:t>2</w:t>
      </w:r>
      <w:r w:rsidR="006A479E" w:rsidRPr="006A479E">
        <w:rPr>
          <w:sz w:val="24"/>
          <w:szCs w:val="28"/>
        </w:rPr>
        <w:t>,</w:t>
      </w:r>
      <w:r w:rsidRPr="00A108D1">
        <w:rPr>
          <w:sz w:val="24"/>
          <w:szCs w:val="28"/>
        </w:rPr>
        <w:t xml:space="preserve"> Alisina Bazrafshan</w:t>
      </w:r>
      <w:r w:rsidRPr="00A108D1">
        <w:rPr>
          <w:sz w:val="24"/>
          <w:szCs w:val="28"/>
          <w:vertAlign w:val="superscript"/>
        </w:rPr>
        <w:t>2</w:t>
      </w:r>
      <w:r w:rsidRPr="00A108D1">
        <w:rPr>
          <w:sz w:val="24"/>
          <w:szCs w:val="28"/>
        </w:rPr>
        <w:t>,</w:t>
      </w:r>
      <w:r>
        <w:rPr>
          <w:sz w:val="24"/>
          <w:szCs w:val="28"/>
        </w:rPr>
        <w:t xml:space="preserve"> Wenchun Chen</w:t>
      </w:r>
      <w:r w:rsidRPr="00A108D1">
        <w:rPr>
          <w:sz w:val="24"/>
          <w:szCs w:val="28"/>
          <w:vertAlign w:val="superscript"/>
        </w:rPr>
        <w:t>3,4</w:t>
      </w:r>
      <w:r>
        <w:rPr>
          <w:sz w:val="24"/>
          <w:szCs w:val="28"/>
        </w:rPr>
        <w:t>,</w:t>
      </w:r>
      <w:r w:rsidRPr="00A108D1">
        <w:rPr>
          <w:sz w:val="24"/>
          <w:szCs w:val="28"/>
        </w:rPr>
        <w:t xml:space="preserve"> </w:t>
      </w:r>
      <w:r w:rsidR="000F45E3">
        <w:rPr>
          <w:sz w:val="24"/>
          <w:szCs w:val="28"/>
        </w:rPr>
        <w:t xml:space="preserve">M. </w:t>
      </w:r>
      <w:r w:rsidRPr="00A108D1">
        <w:rPr>
          <w:sz w:val="24"/>
          <w:szCs w:val="28"/>
        </w:rPr>
        <w:t>Edward Qu</w:t>
      </w:r>
      <w:r w:rsidR="000F45E3">
        <w:rPr>
          <w:sz w:val="24"/>
          <w:szCs w:val="28"/>
        </w:rPr>
        <w:t>a</w:t>
      </w:r>
      <w:r w:rsidRPr="00A108D1">
        <w:rPr>
          <w:sz w:val="24"/>
          <w:szCs w:val="28"/>
        </w:rPr>
        <w:t>ch</w:t>
      </w:r>
      <w:r w:rsidRPr="00A108D1">
        <w:rPr>
          <w:sz w:val="24"/>
          <w:szCs w:val="28"/>
          <w:vertAlign w:val="superscript"/>
        </w:rPr>
        <w:t>3,4</w:t>
      </w:r>
      <w:r w:rsidRPr="00A108D1">
        <w:rPr>
          <w:sz w:val="24"/>
          <w:szCs w:val="28"/>
        </w:rPr>
        <w:t>, Renhao Li</w:t>
      </w:r>
      <w:r w:rsidRPr="00A108D1">
        <w:rPr>
          <w:sz w:val="24"/>
          <w:szCs w:val="28"/>
          <w:vertAlign w:val="superscript"/>
        </w:rPr>
        <w:t>3,4</w:t>
      </w:r>
      <w:r w:rsidRPr="00A108D1">
        <w:rPr>
          <w:sz w:val="24"/>
          <w:szCs w:val="28"/>
        </w:rPr>
        <w:t>, Alexa</w:t>
      </w:r>
      <w:r w:rsidR="009F4D3A">
        <w:rPr>
          <w:sz w:val="24"/>
          <w:szCs w:val="28"/>
        </w:rPr>
        <w:t xml:space="preserve"> L.</w:t>
      </w:r>
      <w:r w:rsidRPr="00A108D1">
        <w:rPr>
          <w:sz w:val="24"/>
          <w:szCs w:val="28"/>
        </w:rPr>
        <w:t xml:space="preserve"> Mattheyses</w:t>
      </w:r>
      <w:r w:rsidRPr="00A108D1">
        <w:rPr>
          <w:sz w:val="24"/>
          <w:szCs w:val="28"/>
          <w:vertAlign w:val="superscript"/>
        </w:rPr>
        <w:t>5</w:t>
      </w:r>
      <w:r w:rsidRPr="00A108D1">
        <w:rPr>
          <w:sz w:val="24"/>
          <w:szCs w:val="28"/>
        </w:rPr>
        <w:t>,</w:t>
      </w:r>
      <w:r w:rsidRPr="00A108D1">
        <w:rPr>
          <w:b/>
          <w:bCs/>
          <w:sz w:val="24"/>
          <w:szCs w:val="28"/>
        </w:rPr>
        <w:t xml:space="preserve"> </w:t>
      </w:r>
      <w:r w:rsidRPr="00A108D1">
        <w:rPr>
          <w:sz w:val="24"/>
          <w:szCs w:val="28"/>
        </w:rPr>
        <w:t>&amp; Khalid Salaita</w:t>
      </w:r>
      <w:r w:rsidRPr="00A108D1">
        <w:rPr>
          <w:sz w:val="24"/>
          <w:szCs w:val="28"/>
          <w:vertAlign w:val="superscript"/>
        </w:rPr>
        <w:t>1,2</w:t>
      </w:r>
    </w:p>
    <w:p w14:paraId="2EDF7696" w14:textId="77777777" w:rsidR="008234BA" w:rsidRPr="008234BA" w:rsidRDefault="008234BA" w:rsidP="008234BA">
      <w:pPr>
        <w:ind w:firstLine="0"/>
      </w:pPr>
    </w:p>
    <w:p w14:paraId="28818A46" w14:textId="77777777" w:rsidR="007017B4" w:rsidRPr="00A108D1" w:rsidRDefault="007017B4" w:rsidP="007017B4">
      <w:pPr>
        <w:pStyle w:val="03AuthorAffiliation"/>
        <w:rPr>
          <w:i w:val="0"/>
          <w:iCs/>
          <w:sz w:val="20"/>
          <w:szCs w:val="20"/>
        </w:rPr>
      </w:pPr>
      <w:r w:rsidRPr="00A108D1">
        <w:rPr>
          <w:i w:val="0"/>
          <w:iCs/>
          <w:sz w:val="20"/>
          <w:szCs w:val="20"/>
          <w:vertAlign w:val="superscript"/>
        </w:rPr>
        <w:t>1</w:t>
      </w:r>
      <w:r w:rsidRPr="00A108D1">
        <w:rPr>
          <w:i w:val="0"/>
          <w:iCs/>
          <w:sz w:val="20"/>
          <w:szCs w:val="20"/>
        </w:rPr>
        <w:t xml:space="preserve">Wallace H. Coulter Department of Biomedical Engineering, Georgia Institute of Technology and Emory University, Atlanta, Georgia 30322, USA </w:t>
      </w:r>
    </w:p>
    <w:p w14:paraId="0CA26138" w14:textId="77777777" w:rsidR="007017B4" w:rsidRPr="00A108D1" w:rsidRDefault="007017B4" w:rsidP="007017B4">
      <w:pPr>
        <w:pStyle w:val="03AuthorAffiliation"/>
        <w:rPr>
          <w:i w:val="0"/>
          <w:iCs/>
          <w:sz w:val="20"/>
          <w:szCs w:val="20"/>
        </w:rPr>
      </w:pPr>
      <w:r w:rsidRPr="00A108D1">
        <w:rPr>
          <w:i w:val="0"/>
          <w:iCs/>
          <w:sz w:val="20"/>
          <w:szCs w:val="20"/>
          <w:vertAlign w:val="superscript"/>
        </w:rPr>
        <w:t>2</w:t>
      </w:r>
      <w:r w:rsidRPr="00A108D1">
        <w:rPr>
          <w:i w:val="0"/>
          <w:iCs/>
          <w:sz w:val="20"/>
          <w:szCs w:val="20"/>
        </w:rPr>
        <w:t>Department of Chemistry, Emory University, 1515 Dickey Drive, Atlanta, Georgia 30322, USA</w:t>
      </w:r>
    </w:p>
    <w:p w14:paraId="4C786740" w14:textId="77777777" w:rsidR="007017B4" w:rsidRPr="00A108D1" w:rsidRDefault="007017B4" w:rsidP="007017B4">
      <w:pPr>
        <w:pStyle w:val="03AuthorAffiliation"/>
        <w:rPr>
          <w:i w:val="0"/>
          <w:iCs/>
          <w:sz w:val="20"/>
          <w:szCs w:val="20"/>
        </w:rPr>
      </w:pPr>
      <w:r w:rsidRPr="00A108D1">
        <w:rPr>
          <w:i w:val="0"/>
          <w:iCs/>
          <w:sz w:val="20"/>
          <w:szCs w:val="20"/>
          <w:vertAlign w:val="superscript"/>
        </w:rPr>
        <w:t>3</w:t>
      </w:r>
      <w:r w:rsidRPr="00A108D1">
        <w:rPr>
          <w:i w:val="0"/>
          <w:iCs/>
          <w:sz w:val="20"/>
          <w:szCs w:val="20"/>
        </w:rPr>
        <w:t>Aflac Cancer and Blood Disorders Center, Children's Healthcare of Atlanta,</w:t>
      </w:r>
    </w:p>
    <w:p w14:paraId="421DEE26" w14:textId="77777777" w:rsidR="007017B4" w:rsidRPr="00A108D1" w:rsidRDefault="007017B4" w:rsidP="007017B4">
      <w:pPr>
        <w:pStyle w:val="03AuthorAffiliation"/>
        <w:rPr>
          <w:i w:val="0"/>
          <w:iCs/>
          <w:sz w:val="20"/>
          <w:szCs w:val="20"/>
        </w:rPr>
      </w:pPr>
      <w:r w:rsidRPr="00A108D1">
        <w:rPr>
          <w:i w:val="0"/>
          <w:iCs/>
          <w:sz w:val="20"/>
          <w:szCs w:val="20"/>
          <w:vertAlign w:val="superscript"/>
        </w:rPr>
        <w:t>4</w:t>
      </w:r>
      <w:r w:rsidRPr="00A108D1">
        <w:rPr>
          <w:i w:val="0"/>
          <w:iCs/>
          <w:sz w:val="20"/>
          <w:szCs w:val="20"/>
        </w:rPr>
        <w:t>Department of Pediatrics, Emory University School of Medicine</w:t>
      </w:r>
    </w:p>
    <w:p w14:paraId="1145F0DD" w14:textId="77777777" w:rsidR="007017B4" w:rsidRPr="00A108D1" w:rsidRDefault="007017B4" w:rsidP="007017B4">
      <w:pPr>
        <w:pStyle w:val="03AuthorAffiliation"/>
        <w:rPr>
          <w:i w:val="0"/>
          <w:iCs/>
          <w:sz w:val="20"/>
          <w:szCs w:val="20"/>
        </w:rPr>
      </w:pPr>
      <w:r w:rsidRPr="00A108D1">
        <w:rPr>
          <w:i w:val="0"/>
          <w:iCs/>
          <w:sz w:val="20"/>
          <w:szCs w:val="20"/>
          <w:vertAlign w:val="superscript"/>
        </w:rPr>
        <w:t>5</w:t>
      </w:r>
      <w:r w:rsidRPr="00A108D1">
        <w:rPr>
          <w:i w:val="0"/>
          <w:iCs/>
          <w:sz w:val="20"/>
          <w:szCs w:val="20"/>
        </w:rPr>
        <w:t>Department of Cell, Developmental, and Integrative Biology, University of Alabama at Birmingham, Birmingham, Alabama, 35294, USA</w:t>
      </w:r>
    </w:p>
    <w:p w14:paraId="43360595" w14:textId="1085F8CE" w:rsidR="007017B4" w:rsidRPr="00A108D1" w:rsidRDefault="007017B4" w:rsidP="007017B4">
      <w:pPr>
        <w:ind w:firstLine="0"/>
      </w:pPr>
      <w:r w:rsidRPr="00A108D1">
        <w:rPr>
          <w:vertAlign w:val="superscript"/>
        </w:rPr>
        <w:t>*</w:t>
      </w:r>
      <w:r w:rsidRPr="00A108D1">
        <w:t>Address correspondence to: k</w:t>
      </w:r>
      <w:r w:rsidR="002F5396">
        <w:t>.</w:t>
      </w:r>
      <w:r w:rsidRPr="00A108D1">
        <w:t>salaita@emory.edu</w:t>
      </w:r>
    </w:p>
    <w:p w14:paraId="4853D9FE" w14:textId="53DEAF01" w:rsidR="0005402D" w:rsidRDefault="0005402D" w:rsidP="0005402D">
      <w:pPr>
        <w:ind w:firstLine="0"/>
      </w:pPr>
      <w:bookmarkStart w:id="0" w:name="_Toc47832191"/>
    </w:p>
    <w:sdt>
      <w:sdtPr>
        <w:rPr>
          <w:rFonts w:ascii="Times New Roman" w:eastAsiaTheme="minorEastAsia" w:hAnsi="Times New Roman" w:cs="Times New Roman"/>
          <w:b/>
          <w:bCs/>
          <w:color w:val="auto"/>
          <w:sz w:val="22"/>
          <w:szCs w:val="22"/>
        </w:rPr>
        <w:id w:val="649340087"/>
        <w:docPartObj>
          <w:docPartGallery w:val="Table of Contents"/>
          <w:docPartUnique/>
        </w:docPartObj>
      </w:sdtPr>
      <w:sdtEndPr>
        <w:rPr>
          <w:noProof/>
        </w:rPr>
      </w:sdtEndPr>
      <w:sdtContent>
        <w:p w14:paraId="6E0497E5" w14:textId="31579575" w:rsidR="0005402D" w:rsidRDefault="0005402D">
          <w:pPr>
            <w:pStyle w:val="TOCHeading"/>
            <w:rPr>
              <w:rFonts w:ascii="Times New Roman" w:hAnsi="Times New Roman" w:cs="Times New Roman"/>
              <w:b/>
              <w:bCs/>
              <w:color w:val="auto"/>
            </w:rPr>
          </w:pPr>
          <w:r w:rsidRPr="008E4A68">
            <w:rPr>
              <w:rFonts w:ascii="Times New Roman" w:hAnsi="Times New Roman" w:cs="Times New Roman"/>
              <w:b/>
              <w:bCs/>
              <w:color w:val="auto"/>
            </w:rPr>
            <w:t>Contents</w:t>
          </w:r>
        </w:p>
        <w:p w14:paraId="080D8598" w14:textId="77777777" w:rsidR="008E4A68" w:rsidRPr="008E4A68" w:rsidRDefault="008E4A68" w:rsidP="008E4A68"/>
        <w:p w14:paraId="5A3FD8CA" w14:textId="7DA3B155" w:rsidR="00BD6925" w:rsidRDefault="0005402D">
          <w:pPr>
            <w:pStyle w:val="TOC1"/>
            <w:tabs>
              <w:tab w:val="left" w:pos="1100"/>
              <w:tab w:val="right" w:leader="dot" w:pos="9350"/>
            </w:tabs>
            <w:rPr>
              <w:rFonts w:asciiTheme="minorHAnsi" w:hAnsiTheme="minorHAnsi" w:cstheme="minorBidi"/>
              <w:noProof/>
            </w:rPr>
          </w:pPr>
          <w:r>
            <w:fldChar w:fldCharType="begin"/>
          </w:r>
          <w:r>
            <w:instrText xml:space="preserve"> TOC \o "1-3" \h \z \u </w:instrText>
          </w:r>
          <w:r>
            <w:fldChar w:fldCharType="separate"/>
          </w:r>
          <w:hyperlink w:anchor="_Toc51022521" w:history="1">
            <w:r w:rsidR="00BD6925" w:rsidRPr="00076972">
              <w:rPr>
                <w:rStyle w:val="Hyperlink"/>
                <w:noProof/>
              </w:rPr>
              <w:t>I.</w:t>
            </w:r>
            <w:r w:rsidR="00BD6925">
              <w:rPr>
                <w:rFonts w:asciiTheme="minorHAnsi" w:hAnsiTheme="minorHAnsi" w:cstheme="minorBidi"/>
                <w:noProof/>
              </w:rPr>
              <w:tab/>
            </w:r>
            <w:r w:rsidR="00BD6925" w:rsidRPr="00076972">
              <w:rPr>
                <w:rStyle w:val="Hyperlink"/>
                <w:noProof/>
              </w:rPr>
              <w:t>Materials and Methods</w:t>
            </w:r>
            <w:r w:rsidR="00BD6925">
              <w:rPr>
                <w:noProof/>
                <w:webHidden/>
              </w:rPr>
              <w:tab/>
            </w:r>
            <w:r w:rsidR="00BD6925">
              <w:rPr>
                <w:noProof/>
                <w:webHidden/>
              </w:rPr>
              <w:fldChar w:fldCharType="begin"/>
            </w:r>
            <w:r w:rsidR="00BD6925">
              <w:rPr>
                <w:noProof/>
                <w:webHidden/>
              </w:rPr>
              <w:instrText xml:space="preserve"> PAGEREF _Toc51022521 \h </w:instrText>
            </w:r>
            <w:r w:rsidR="00BD6925">
              <w:rPr>
                <w:noProof/>
                <w:webHidden/>
              </w:rPr>
            </w:r>
            <w:r w:rsidR="00BD6925">
              <w:rPr>
                <w:noProof/>
                <w:webHidden/>
              </w:rPr>
              <w:fldChar w:fldCharType="separate"/>
            </w:r>
            <w:r w:rsidR="00BD6925">
              <w:rPr>
                <w:noProof/>
                <w:webHidden/>
              </w:rPr>
              <w:t>3</w:t>
            </w:r>
            <w:r w:rsidR="00BD6925">
              <w:rPr>
                <w:noProof/>
                <w:webHidden/>
              </w:rPr>
              <w:fldChar w:fldCharType="end"/>
            </w:r>
          </w:hyperlink>
        </w:p>
        <w:p w14:paraId="5E6CB3D8" w14:textId="7F6C4920" w:rsidR="00BD6925" w:rsidRDefault="00F6521F">
          <w:pPr>
            <w:pStyle w:val="TOC2"/>
            <w:tabs>
              <w:tab w:val="right" w:leader="dot" w:pos="9350"/>
            </w:tabs>
            <w:rPr>
              <w:rFonts w:asciiTheme="minorHAnsi" w:hAnsiTheme="minorHAnsi" w:cstheme="minorBidi"/>
              <w:noProof/>
            </w:rPr>
          </w:pPr>
          <w:hyperlink w:anchor="_Toc51022522" w:history="1">
            <w:r w:rsidR="00BD6925" w:rsidRPr="00076972">
              <w:rPr>
                <w:rStyle w:val="Hyperlink"/>
                <w:noProof/>
              </w:rPr>
              <w:t>Materials</w:t>
            </w:r>
            <w:r w:rsidR="00BD6925">
              <w:rPr>
                <w:noProof/>
                <w:webHidden/>
              </w:rPr>
              <w:tab/>
            </w:r>
            <w:r w:rsidR="00BD6925">
              <w:rPr>
                <w:noProof/>
                <w:webHidden/>
              </w:rPr>
              <w:fldChar w:fldCharType="begin"/>
            </w:r>
            <w:r w:rsidR="00BD6925">
              <w:rPr>
                <w:noProof/>
                <w:webHidden/>
              </w:rPr>
              <w:instrText xml:space="preserve"> PAGEREF _Toc51022522 \h </w:instrText>
            </w:r>
            <w:r w:rsidR="00BD6925">
              <w:rPr>
                <w:noProof/>
                <w:webHidden/>
              </w:rPr>
            </w:r>
            <w:r w:rsidR="00BD6925">
              <w:rPr>
                <w:noProof/>
                <w:webHidden/>
              </w:rPr>
              <w:fldChar w:fldCharType="separate"/>
            </w:r>
            <w:r w:rsidR="00BD6925">
              <w:rPr>
                <w:noProof/>
                <w:webHidden/>
              </w:rPr>
              <w:t>3</w:t>
            </w:r>
            <w:r w:rsidR="00BD6925">
              <w:rPr>
                <w:noProof/>
                <w:webHidden/>
              </w:rPr>
              <w:fldChar w:fldCharType="end"/>
            </w:r>
          </w:hyperlink>
        </w:p>
        <w:p w14:paraId="0B3C45FB" w14:textId="568FBF4D" w:rsidR="00BD6925" w:rsidRDefault="00F6521F">
          <w:pPr>
            <w:pStyle w:val="TOC2"/>
            <w:tabs>
              <w:tab w:val="right" w:leader="dot" w:pos="9350"/>
            </w:tabs>
            <w:rPr>
              <w:rFonts w:asciiTheme="minorHAnsi" w:hAnsiTheme="minorHAnsi" w:cstheme="minorBidi"/>
              <w:noProof/>
            </w:rPr>
          </w:pPr>
          <w:hyperlink w:anchor="_Toc51022523" w:history="1">
            <w:r w:rsidR="00BD6925" w:rsidRPr="00076972">
              <w:rPr>
                <w:rStyle w:val="Hyperlink"/>
                <w:noProof/>
              </w:rPr>
              <w:t>Preparation of supported lipid bilayer (SLB) functionalized microparticles.</w:t>
            </w:r>
            <w:r w:rsidR="00BD6925">
              <w:rPr>
                <w:noProof/>
                <w:webHidden/>
              </w:rPr>
              <w:tab/>
            </w:r>
            <w:r w:rsidR="00BD6925">
              <w:rPr>
                <w:noProof/>
                <w:webHidden/>
              </w:rPr>
              <w:fldChar w:fldCharType="begin"/>
            </w:r>
            <w:r w:rsidR="00BD6925">
              <w:rPr>
                <w:noProof/>
                <w:webHidden/>
              </w:rPr>
              <w:instrText xml:space="preserve"> PAGEREF _Toc51022523 \h </w:instrText>
            </w:r>
            <w:r w:rsidR="00BD6925">
              <w:rPr>
                <w:noProof/>
                <w:webHidden/>
              </w:rPr>
            </w:r>
            <w:r w:rsidR="00BD6925">
              <w:rPr>
                <w:noProof/>
                <w:webHidden/>
              </w:rPr>
              <w:fldChar w:fldCharType="separate"/>
            </w:r>
            <w:r w:rsidR="00BD6925">
              <w:rPr>
                <w:noProof/>
                <w:webHidden/>
              </w:rPr>
              <w:t>3</w:t>
            </w:r>
            <w:r w:rsidR="00BD6925">
              <w:rPr>
                <w:noProof/>
                <w:webHidden/>
              </w:rPr>
              <w:fldChar w:fldCharType="end"/>
            </w:r>
          </w:hyperlink>
        </w:p>
        <w:p w14:paraId="22555FDD" w14:textId="04E1940E" w:rsidR="00BD6925" w:rsidRDefault="00F6521F">
          <w:pPr>
            <w:pStyle w:val="TOC2"/>
            <w:tabs>
              <w:tab w:val="right" w:leader="dot" w:pos="9350"/>
            </w:tabs>
            <w:rPr>
              <w:rFonts w:asciiTheme="minorHAnsi" w:hAnsiTheme="minorHAnsi" w:cstheme="minorBidi"/>
              <w:noProof/>
            </w:rPr>
          </w:pPr>
          <w:hyperlink w:anchor="_Toc51022524" w:history="1">
            <w:r w:rsidR="00BD6925" w:rsidRPr="00076972">
              <w:rPr>
                <w:rStyle w:val="Hyperlink"/>
                <w:noProof/>
              </w:rPr>
              <w:t>Isolation and handling of platelets</w:t>
            </w:r>
            <w:r w:rsidR="00BD6925">
              <w:rPr>
                <w:noProof/>
                <w:webHidden/>
              </w:rPr>
              <w:tab/>
            </w:r>
            <w:r w:rsidR="00BD6925">
              <w:rPr>
                <w:noProof/>
                <w:webHidden/>
              </w:rPr>
              <w:fldChar w:fldCharType="begin"/>
            </w:r>
            <w:r w:rsidR="00BD6925">
              <w:rPr>
                <w:noProof/>
                <w:webHidden/>
              </w:rPr>
              <w:instrText xml:space="preserve"> PAGEREF _Toc51022524 \h </w:instrText>
            </w:r>
            <w:r w:rsidR="00BD6925">
              <w:rPr>
                <w:noProof/>
                <w:webHidden/>
              </w:rPr>
            </w:r>
            <w:r w:rsidR="00BD6925">
              <w:rPr>
                <w:noProof/>
                <w:webHidden/>
              </w:rPr>
              <w:fldChar w:fldCharType="separate"/>
            </w:r>
            <w:r w:rsidR="00BD6925">
              <w:rPr>
                <w:noProof/>
                <w:webHidden/>
              </w:rPr>
              <w:t>3</w:t>
            </w:r>
            <w:r w:rsidR="00BD6925">
              <w:rPr>
                <w:noProof/>
                <w:webHidden/>
              </w:rPr>
              <w:fldChar w:fldCharType="end"/>
            </w:r>
          </w:hyperlink>
        </w:p>
        <w:p w14:paraId="404B652C" w14:textId="3CD2E814" w:rsidR="00BD6925" w:rsidRDefault="00F6521F">
          <w:pPr>
            <w:pStyle w:val="TOC2"/>
            <w:tabs>
              <w:tab w:val="right" w:leader="dot" w:pos="9350"/>
            </w:tabs>
            <w:rPr>
              <w:rFonts w:asciiTheme="minorHAnsi" w:hAnsiTheme="minorHAnsi" w:cstheme="minorBidi"/>
              <w:noProof/>
            </w:rPr>
          </w:pPr>
          <w:hyperlink w:anchor="_Toc51022525" w:history="1">
            <w:r w:rsidR="00BD6925" w:rsidRPr="00076972">
              <w:rPr>
                <w:rStyle w:val="Hyperlink"/>
                <w:noProof/>
              </w:rPr>
              <w:t>Culture and handling of 3T3 fibroblast cells</w:t>
            </w:r>
            <w:r w:rsidR="00BD6925">
              <w:rPr>
                <w:noProof/>
                <w:webHidden/>
              </w:rPr>
              <w:tab/>
            </w:r>
            <w:r w:rsidR="00BD6925">
              <w:rPr>
                <w:noProof/>
                <w:webHidden/>
              </w:rPr>
              <w:fldChar w:fldCharType="begin"/>
            </w:r>
            <w:r w:rsidR="00BD6925">
              <w:rPr>
                <w:noProof/>
                <w:webHidden/>
              </w:rPr>
              <w:instrText xml:space="preserve"> PAGEREF _Toc51022525 \h </w:instrText>
            </w:r>
            <w:r w:rsidR="00BD6925">
              <w:rPr>
                <w:noProof/>
                <w:webHidden/>
              </w:rPr>
            </w:r>
            <w:r w:rsidR="00BD6925">
              <w:rPr>
                <w:noProof/>
                <w:webHidden/>
              </w:rPr>
              <w:fldChar w:fldCharType="separate"/>
            </w:r>
            <w:r w:rsidR="00BD6925">
              <w:rPr>
                <w:noProof/>
                <w:webHidden/>
              </w:rPr>
              <w:t>3</w:t>
            </w:r>
            <w:r w:rsidR="00BD6925">
              <w:rPr>
                <w:noProof/>
                <w:webHidden/>
              </w:rPr>
              <w:fldChar w:fldCharType="end"/>
            </w:r>
          </w:hyperlink>
        </w:p>
        <w:p w14:paraId="27751231" w14:textId="0ECC9ED4" w:rsidR="00BD6925" w:rsidRDefault="00F6521F">
          <w:pPr>
            <w:pStyle w:val="TOC2"/>
            <w:tabs>
              <w:tab w:val="right" w:leader="dot" w:pos="9350"/>
            </w:tabs>
            <w:rPr>
              <w:rFonts w:asciiTheme="minorHAnsi" w:hAnsiTheme="minorHAnsi" w:cstheme="minorBidi"/>
              <w:noProof/>
            </w:rPr>
          </w:pPr>
          <w:hyperlink w:anchor="_Toc51022526" w:history="1">
            <w:r w:rsidR="00BD6925" w:rsidRPr="00076972">
              <w:rPr>
                <w:rStyle w:val="Hyperlink"/>
                <w:noProof/>
              </w:rPr>
              <w:t>Surface preparation</w:t>
            </w:r>
            <w:r w:rsidR="00BD6925">
              <w:rPr>
                <w:noProof/>
                <w:webHidden/>
              </w:rPr>
              <w:tab/>
            </w:r>
            <w:r w:rsidR="00BD6925">
              <w:rPr>
                <w:noProof/>
                <w:webHidden/>
              </w:rPr>
              <w:fldChar w:fldCharType="begin"/>
            </w:r>
            <w:r w:rsidR="00BD6925">
              <w:rPr>
                <w:noProof/>
                <w:webHidden/>
              </w:rPr>
              <w:instrText xml:space="preserve"> PAGEREF _Toc51022526 \h </w:instrText>
            </w:r>
            <w:r w:rsidR="00BD6925">
              <w:rPr>
                <w:noProof/>
                <w:webHidden/>
              </w:rPr>
            </w:r>
            <w:r w:rsidR="00BD6925">
              <w:rPr>
                <w:noProof/>
                <w:webHidden/>
              </w:rPr>
              <w:fldChar w:fldCharType="separate"/>
            </w:r>
            <w:r w:rsidR="00BD6925">
              <w:rPr>
                <w:noProof/>
                <w:webHidden/>
              </w:rPr>
              <w:t>4</w:t>
            </w:r>
            <w:r w:rsidR="00BD6925">
              <w:rPr>
                <w:noProof/>
                <w:webHidden/>
              </w:rPr>
              <w:fldChar w:fldCharType="end"/>
            </w:r>
          </w:hyperlink>
        </w:p>
        <w:p w14:paraId="5147A709" w14:textId="20A12B6D" w:rsidR="00BD6925" w:rsidRDefault="00F6521F">
          <w:pPr>
            <w:pStyle w:val="TOC2"/>
            <w:tabs>
              <w:tab w:val="right" w:leader="dot" w:pos="9350"/>
            </w:tabs>
            <w:rPr>
              <w:rFonts w:asciiTheme="minorHAnsi" w:hAnsiTheme="minorHAnsi" w:cstheme="minorBidi"/>
              <w:noProof/>
            </w:rPr>
          </w:pPr>
          <w:hyperlink w:anchor="_Toc51022527" w:history="1">
            <w:r w:rsidR="00BD6925" w:rsidRPr="00076972">
              <w:rPr>
                <w:rStyle w:val="Hyperlink"/>
                <w:noProof/>
              </w:rPr>
              <w:t>DNA strand hybridization</w:t>
            </w:r>
            <w:r w:rsidR="00BD6925">
              <w:rPr>
                <w:noProof/>
                <w:webHidden/>
              </w:rPr>
              <w:tab/>
            </w:r>
            <w:r w:rsidR="00BD6925">
              <w:rPr>
                <w:noProof/>
                <w:webHidden/>
              </w:rPr>
              <w:fldChar w:fldCharType="begin"/>
            </w:r>
            <w:r w:rsidR="00BD6925">
              <w:rPr>
                <w:noProof/>
                <w:webHidden/>
              </w:rPr>
              <w:instrText xml:space="preserve"> PAGEREF _Toc51022527 \h </w:instrText>
            </w:r>
            <w:r w:rsidR="00BD6925">
              <w:rPr>
                <w:noProof/>
                <w:webHidden/>
              </w:rPr>
            </w:r>
            <w:r w:rsidR="00BD6925">
              <w:rPr>
                <w:noProof/>
                <w:webHidden/>
              </w:rPr>
              <w:fldChar w:fldCharType="separate"/>
            </w:r>
            <w:r w:rsidR="00BD6925">
              <w:rPr>
                <w:noProof/>
                <w:webHidden/>
              </w:rPr>
              <w:t>4</w:t>
            </w:r>
            <w:r w:rsidR="00BD6925">
              <w:rPr>
                <w:noProof/>
                <w:webHidden/>
              </w:rPr>
              <w:fldChar w:fldCharType="end"/>
            </w:r>
          </w:hyperlink>
        </w:p>
        <w:p w14:paraId="44DFD7D1" w14:textId="28ACDBAD" w:rsidR="00BD6925" w:rsidRDefault="00F6521F">
          <w:pPr>
            <w:pStyle w:val="TOC2"/>
            <w:tabs>
              <w:tab w:val="right" w:leader="dot" w:pos="9350"/>
            </w:tabs>
            <w:rPr>
              <w:rFonts w:asciiTheme="minorHAnsi" w:hAnsiTheme="minorHAnsi" w:cstheme="minorBidi"/>
              <w:noProof/>
            </w:rPr>
          </w:pPr>
          <w:hyperlink w:anchor="_Toc51022528" w:history="1">
            <w:r w:rsidR="00BD6925" w:rsidRPr="00076972">
              <w:rPr>
                <w:rStyle w:val="Hyperlink"/>
                <w:noProof/>
              </w:rPr>
              <w:t>Structured illumination microscopy (SIM)</w:t>
            </w:r>
            <w:r w:rsidR="00BD6925">
              <w:rPr>
                <w:noProof/>
                <w:webHidden/>
              </w:rPr>
              <w:tab/>
            </w:r>
            <w:r w:rsidR="00BD6925">
              <w:rPr>
                <w:noProof/>
                <w:webHidden/>
              </w:rPr>
              <w:fldChar w:fldCharType="begin"/>
            </w:r>
            <w:r w:rsidR="00BD6925">
              <w:rPr>
                <w:noProof/>
                <w:webHidden/>
              </w:rPr>
              <w:instrText xml:space="preserve"> PAGEREF _Toc51022528 \h </w:instrText>
            </w:r>
            <w:r w:rsidR="00BD6925">
              <w:rPr>
                <w:noProof/>
                <w:webHidden/>
              </w:rPr>
            </w:r>
            <w:r w:rsidR="00BD6925">
              <w:rPr>
                <w:noProof/>
                <w:webHidden/>
              </w:rPr>
              <w:fldChar w:fldCharType="separate"/>
            </w:r>
            <w:r w:rsidR="00BD6925">
              <w:rPr>
                <w:noProof/>
                <w:webHidden/>
              </w:rPr>
              <w:t>4</w:t>
            </w:r>
            <w:r w:rsidR="00BD6925">
              <w:rPr>
                <w:noProof/>
                <w:webHidden/>
              </w:rPr>
              <w:fldChar w:fldCharType="end"/>
            </w:r>
          </w:hyperlink>
        </w:p>
        <w:p w14:paraId="5A6734B5" w14:textId="1648334D" w:rsidR="00BD6925" w:rsidRDefault="00F6521F">
          <w:pPr>
            <w:pStyle w:val="TOC2"/>
            <w:tabs>
              <w:tab w:val="right" w:leader="dot" w:pos="9350"/>
            </w:tabs>
            <w:rPr>
              <w:rFonts w:asciiTheme="minorHAnsi" w:hAnsiTheme="minorHAnsi" w:cstheme="minorBidi"/>
              <w:noProof/>
            </w:rPr>
          </w:pPr>
          <w:hyperlink w:anchor="_Toc51022529" w:history="1">
            <w:r w:rsidR="00BD6925" w:rsidRPr="00076972">
              <w:rPr>
                <w:rStyle w:val="Hyperlink"/>
                <w:noProof/>
              </w:rPr>
              <w:t>Standard resolution image processing</w:t>
            </w:r>
            <w:r w:rsidR="00BD6925">
              <w:rPr>
                <w:noProof/>
                <w:webHidden/>
              </w:rPr>
              <w:tab/>
            </w:r>
            <w:r w:rsidR="00BD6925">
              <w:rPr>
                <w:noProof/>
                <w:webHidden/>
              </w:rPr>
              <w:fldChar w:fldCharType="begin"/>
            </w:r>
            <w:r w:rsidR="00BD6925">
              <w:rPr>
                <w:noProof/>
                <w:webHidden/>
              </w:rPr>
              <w:instrText xml:space="preserve"> PAGEREF _Toc51022529 \h </w:instrText>
            </w:r>
            <w:r w:rsidR="00BD6925">
              <w:rPr>
                <w:noProof/>
                <w:webHidden/>
              </w:rPr>
            </w:r>
            <w:r w:rsidR="00BD6925">
              <w:rPr>
                <w:noProof/>
                <w:webHidden/>
              </w:rPr>
              <w:fldChar w:fldCharType="separate"/>
            </w:r>
            <w:r w:rsidR="00BD6925">
              <w:rPr>
                <w:noProof/>
                <w:webHidden/>
              </w:rPr>
              <w:t>4</w:t>
            </w:r>
            <w:r w:rsidR="00BD6925">
              <w:rPr>
                <w:noProof/>
                <w:webHidden/>
              </w:rPr>
              <w:fldChar w:fldCharType="end"/>
            </w:r>
          </w:hyperlink>
        </w:p>
        <w:p w14:paraId="445DDE0B" w14:textId="2221AD3E" w:rsidR="00BD6925" w:rsidRDefault="00F6521F">
          <w:pPr>
            <w:pStyle w:val="TOC2"/>
            <w:tabs>
              <w:tab w:val="right" w:leader="dot" w:pos="9350"/>
            </w:tabs>
            <w:rPr>
              <w:rFonts w:asciiTheme="minorHAnsi" w:hAnsiTheme="minorHAnsi" w:cstheme="minorBidi"/>
              <w:noProof/>
            </w:rPr>
          </w:pPr>
          <w:hyperlink w:anchor="_Toc51022530" w:history="1">
            <w:r w:rsidR="00BD6925" w:rsidRPr="00076972">
              <w:rPr>
                <w:rStyle w:val="Hyperlink"/>
                <w:noProof/>
              </w:rPr>
              <w:t>Preparation of illumination profile correction images</w:t>
            </w:r>
            <w:r w:rsidR="00BD6925">
              <w:rPr>
                <w:noProof/>
                <w:webHidden/>
              </w:rPr>
              <w:tab/>
            </w:r>
            <w:r w:rsidR="00BD6925">
              <w:rPr>
                <w:noProof/>
                <w:webHidden/>
              </w:rPr>
              <w:fldChar w:fldCharType="begin"/>
            </w:r>
            <w:r w:rsidR="00BD6925">
              <w:rPr>
                <w:noProof/>
                <w:webHidden/>
              </w:rPr>
              <w:instrText xml:space="preserve"> PAGEREF _Toc51022530 \h </w:instrText>
            </w:r>
            <w:r w:rsidR="00BD6925">
              <w:rPr>
                <w:noProof/>
                <w:webHidden/>
              </w:rPr>
            </w:r>
            <w:r w:rsidR="00BD6925">
              <w:rPr>
                <w:noProof/>
                <w:webHidden/>
              </w:rPr>
              <w:fldChar w:fldCharType="separate"/>
            </w:r>
            <w:r w:rsidR="00BD6925">
              <w:rPr>
                <w:noProof/>
                <w:webHidden/>
              </w:rPr>
              <w:t>5</w:t>
            </w:r>
            <w:r w:rsidR="00BD6925">
              <w:rPr>
                <w:noProof/>
                <w:webHidden/>
              </w:rPr>
              <w:fldChar w:fldCharType="end"/>
            </w:r>
          </w:hyperlink>
        </w:p>
        <w:p w14:paraId="601C211D" w14:textId="4BCD126D" w:rsidR="00BD6925" w:rsidRDefault="00F6521F">
          <w:pPr>
            <w:pStyle w:val="TOC2"/>
            <w:tabs>
              <w:tab w:val="right" w:leader="dot" w:pos="9350"/>
            </w:tabs>
            <w:rPr>
              <w:rFonts w:asciiTheme="minorHAnsi" w:hAnsiTheme="minorHAnsi" w:cstheme="minorBidi"/>
              <w:noProof/>
            </w:rPr>
          </w:pPr>
          <w:hyperlink w:anchor="_Toc51022531" w:history="1">
            <w:r w:rsidR="00BD6925" w:rsidRPr="00076972">
              <w:rPr>
                <w:rStyle w:val="Hyperlink"/>
                <w:noProof/>
              </w:rPr>
              <w:t>Super</w:t>
            </w:r>
            <w:r w:rsidR="009F4D3A">
              <w:rPr>
                <w:rStyle w:val="Hyperlink"/>
                <w:noProof/>
              </w:rPr>
              <w:t>-</w:t>
            </w:r>
            <w:r w:rsidR="00BD6925" w:rsidRPr="00076972">
              <w:rPr>
                <w:rStyle w:val="Hyperlink"/>
                <w:noProof/>
              </w:rPr>
              <w:t>resolution image processing</w:t>
            </w:r>
            <w:r w:rsidR="00BD6925">
              <w:rPr>
                <w:noProof/>
                <w:webHidden/>
              </w:rPr>
              <w:tab/>
            </w:r>
            <w:r w:rsidR="00BD6925">
              <w:rPr>
                <w:noProof/>
                <w:webHidden/>
              </w:rPr>
              <w:fldChar w:fldCharType="begin"/>
            </w:r>
            <w:r w:rsidR="00BD6925">
              <w:rPr>
                <w:noProof/>
                <w:webHidden/>
              </w:rPr>
              <w:instrText xml:space="preserve"> PAGEREF _Toc51022531 \h </w:instrText>
            </w:r>
            <w:r w:rsidR="00BD6925">
              <w:rPr>
                <w:noProof/>
                <w:webHidden/>
              </w:rPr>
            </w:r>
            <w:r w:rsidR="00BD6925">
              <w:rPr>
                <w:noProof/>
                <w:webHidden/>
              </w:rPr>
              <w:fldChar w:fldCharType="separate"/>
            </w:r>
            <w:r w:rsidR="00BD6925">
              <w:rPr>
                <w:noProof/>
                <w:webHidden/>
              </w:rPr>
              <w:t>5</w:t>
            </w:r>
            <w:r w:rsidR="00BD6925">
              <w:rPr>
                <w:noProof/>
                <w:webHidden/>
              </w:rPr>
              <w:fldChar w:fldCharType="end"/>
            </w:r>
          </w:hyperlink>
        </w:p>
        <w:p w14:paraId="322F3C90" w14:textId="7C877890" w:rsidR="00BD6925" w:rsidRDefault="00F6521F">
          <w:pPr>
            <w:pStyle w:val="TOC2"/>
            <w:tabs>
              <w:tab w:val="right" w:leader="dot" w:pos="9350"/>
            </w:tabs>
            <w:rPr>
              <w:rFonts w:asciiTheme="minorHAnsi" w:hAnsiTheme="minorHAnsi" w:cstheme="minorBidi"/>
              <w:noProof/>
            </w:rPr>
          </w:pPr>
          <w:hyperlink w:anchor="_Toc51022532" w:history="1">
            <w:r w:rsidR="00BD6925" w:rsidRPr="00076972">
              <w:rPr>
                <w:rStyle w:val="Hyperlink"/>
                <w:noProof/>
              </w:rPr>
              <w:t>Timelapse processing</w:t>
            </w:r>
            <w:r w:rsidR="00BD6925">
              <w:rPr>
                <w:noProof/>
                <w:webHidden/>
              </w:rPr>
              <w:tab/>
            </w:r>
            <w:r w:rsidR="00BD6925">
              <w:rPr>
                <w:noProof/>
                <w:webHidden/>
              </w:rPr>
              <w:fldChar w:fldCharType="begin"/>
            </w:r>
            <w:r w:rsidR="00BD6925">
              <w:rPr>
                <w:noProof/>
                <w:webHidden/>
              </w:rPr>
              <w:instrText xml:space="preserve"> PAGEREF _Toc51022532 \h </w:instrText>
            </w:r>
            <w:r w:rsidR="00BD6925">
              <w:rPr>
                <w:noProof/>
                <w:webHidden/>
              </w:rPr>
            </w:r>
            <w:r w:rsidR="00BD6925">
              <w:rPr>
                <w:noProof/>
                <w:webHidden/>
              </w:rPr>
              <w:fldChar w:fldCharType="separate"/>
            </w:r>
            <w:r w:rsidR="00BD6925">
              <w:rPr>
                <w:noProof/>
                <w:webHidden/>
              </w:rPr>
              <w:t>6</w:t>
            </w:r>
            <w:r w:rsidR="00BD6925">
              <w:rPr>
                <w:noProof/>
                <w:webHidden/>
              </w:rPr>
              <w:fldChar w:fldCharType="end"/>
            </w:r>
          </w:hyperlink>
        </w:p>
        <w:p w14:paraId="593330C9" w14:textId="38A2D691" w:rsidR="00BD6925" w:rsidRDefault="00F6521F">
          <w:pPr>
            <w:pStyle w:val="TOC2"/>
            <w:tabs>
              <w:tab w:val="right" w:leader="dot" w:pos="9350"/>
            </w:tabs>
            <w:rPr>
              <w:rFonts w:asciiTheme="minorHAnsi" w:hAnsiTheme="minorHAnsi" w:cstheme="minorBidi"/>
              <w:noProof/>
            </w:rPr>
          </w:pPr>
          <w:hyperlink w:anchor="_Toc51022533" w:history="1">
            <w:r w:rsidR="00BD6925" w:rsidRPr="00076972">
              <w:rPr>
                <w:rStyle w:val="Hyperlink"/>
                <w:noProof/>
              </w:rPr>
              <w:t>Primary T cell isolation and use</w:t>
            </w:r>
            <w:r w:rsidR="00BD6925">
              <w:rPr>
                <w:noProof/>
                <w:webHidden/>
              </w:rPr>
              <w:tab/>
            </w:r>
            <w:r w:rsidR="00BD6925">
              <w:rPr>
                <w:noProof/>
                <w:webHidden/>
              </w:rPr>
              <w:fldChar w:fldCharType="begin"/>
            </w:r>
            <w:r w:rsidR="00BD6925">
              <w:rPr>
                <w:noProof/>
                <w:webHidden/>
              </w:rPr>
              <w:instrText xml:space="preserve"> PAGEREF _Toc51022533 \h </w:instrText>
            </w:r>
            <w:r w:rsidR="00BD6925">
              <w:rPr>
                <w:noProof/>
                <w:webHidden/>
              </w:rPr>
            </w:r>
            <w:r w:rsidR="00BD6925">
              <w:rPr>
                <w:noProof/>
                <w:webHidden/>
              </w:rPr>
              <w:fldChar w:fldCharType="separate"/>
            </w:r>
            <w:r w:rsidR="00BD6925">
              <w:rPr>
                <w:noProof/>
                <w:webHidden/>
              </w:rPr>
              <w:t>6</w:t>
            </w:r>
            <w:r w:rsidR="00BD6925">
              <w:rPr>
                <w:noProof/>
                <w:webHidden/>
              </w:rPr>
              <w:fldChar w:fldCharType="end"/>
            </w:r>
          </w:hyperlink>
        </w:p>
        <w:p w14:paraId="1BE36C02" w14:textId="4F5B9066" w:rsidR="00BD6925" w:rsidRDefault="00F6521F">
          <w:pPr>
            <w:pStyle w:val="TOC2"/>
            <w:tabs>
              <w:tab w:val="right" w:leader="dot" w:pos="9350"/>
            </w:tabs>
            <w:rPr>
              <w:rFonts w:asciiTheme="minorHAnsi" w:hAnsiTheme="minorHAnsi" w:cstheme="minorBidi"/>
              <w:noProof/>
            </w:rPr>
          </w:pPr>
          <w:hyperlink w:anchor="_Toc51022534" w:history="1">
            <w:r w:rsidR="00BD6925" w:rsidRPr="00076972">
              <w:rPr>
                <w:rStyle w:val="Hyperlink"/>
                <w:noProof/>
              </w:rPr>
              <w:t>Gold nanoparticle surface preparation</w:t>
            </w:r>
            <w:r w:rsidR="00BD6925">
              <w:rPr>
                <w:noProof/>
                <w:webHidden/>
              </w:rPr>
              <w:tab/>
            </w:r>
            <w:r w:rsidR="00BD6925">
              <w:rPr>
                <w:noProof/>
                <w:webHidden/>
              </w:rPr>
              <w:fldChar w:fldCharType="begin"/>
            </w:r>
            <w:r w:rsidR="00BD6925">
              <w:rPr>
                <w:noProof/>
                <w:webHidden/>
              </w:rPr>
              <w:instrText xml:space="preserve"> PAGEREF _Toc51022534 \h </w:instrText>
            </w:r>
            <w:r w:rsidR="00BD6925">
              <w:rPr>
                <w:noProof/>
                <w:webHidden/>
              </w:rPr>
            </w:r>
            <w:r w:rsidR="00BD6925">
              <w:rPr>
                <w:noProof/>
                <w:webHidden/>
              </w:rPr>
              <w:fldChar w:fldCharType="separate"/>
            </w:r>
            <w:r w:rsidR="00BD6925">
              <w:rPr>
                <w:noProof/>
                <w:webHidden/>
              </w:rPr>
              <w:t>6</w:t>
            </w:r>
            <w:r w:rsidR="00BD6925">
              <w:rPr>
                <w:noProof/>
                <w:webHidden/>
              </w:rPr>
              <w:fldChar w:fldCharType="end"/>
            </w:r>
          </w:hyperlink>
        </w:p>
        <w:p w14:paraId="7EB34C29" w14:textId="7B015C16" w:rsidR="00BD6925" w:rsidRDefault="00F6521F">
          <w:pPr>
            <w:pStyle w:val="TOC1"/>
            <w:tabs>
              <w:tab w:val="left" w:pos="1320"/>
              <w:tab w:val="right" w:leader="dot" w:pos="9350"/>
            </w:tabs>
            <w:rPr>
              <w:rFonts w:asciiTheme="minorHAnsi" w:hAnsiTheme="minorHAnsi" w:cstheme="minorBidi"/>
              <w:noProof/>
            </w:rPr>
          </w:pPr>
          <w:hyperlink w:anchor="_Toc51022535" w:history="1">
            <w:r w:rsidR="00BD6925" w:rsidRPr="00076972">
              <w:rPr>
                <w:rStyle w:val="Hyperlink"/>
                <w:noProof/>
              </w:rPr>
              <w:t>II.</w:t>
            </w:r>
            <w:r w:rsidR="00BD6925">
              <w:rPr>
                <w:rFonts w:asciiTheme="minorHAnsi" w:hAnsiTheme="minorHAnsi" w:cstheme="minorBidi"/>
                <w:noProof/>
              </w:rPr>
              <w:tab/>
            </w:r>
            <w:r w:rsidR="00BD6925" w:rsidRPr="00076972">
              <w:rPr>
                <w:rStyle w:val="Hyperlink"/>
                <w:noProof/>
              </w:rPr>
              <w:t>Supplemental Figures</w:t>
            </w:r>
            <w:r w:rsidR="00BD6925">
              <w:rPr>
                <w:noProof/>
                <w:webHidden/>
              </w:rPr>
              <w:tab/>
            </w:r>
            <w:r w:rsidR="00BD6925">
              <w:rPr>
                <w:noProof/>
                <w:webHidden/>
              </w:rPr>
              <w:fldChar w:fldCharType="begin"/>
            </w:r>
            <w:r w:rsidR="00BD6925">
              <w:rPr>
                <w:noProof/>
                <w:webHidden/>
              </w:rPr>
              <w:instrText xml:space="preserve"> PAGEREF _Toc51022535 \h </w:instrText>
            </w:r>
            <w:r w:rsidR="00BD6925">
              <w:rPr>
                <w:noProof/>
                <w:webHidden/>
              </w:rPr>
            </w:r>
            <w:r w:rsidR="00BD6925">
              <w:rPr>
                <w:noProof/>
                <w:webHidden/>
              </w:rPr>
              <w:fldChar w:fldCharType="separate"/>
            </w:r>
            <w:r w:rsidR="00BD6925">
              <w:rPr>
                <w:noProof/>
                <w:webHidden/>
              </w:rPr>
              <w:t>8</w:t>
            </w:r>
            <w:r w:rsidR="00BD6925">
              <w:rPr>
                <w:noProof/>
                <w:webHidden/>
              </w:rPr>
              <w:fldChar w:fldCharType="end"/>
            </w:r>
          </w:hyperlink>
        </w:p>
        <w:p w14:paraId="3F7DAD04" w14:textId="05007AE8" w:rsidR="00BD6925" w:rsidRDefault="00F6521F">
          <w:pPr>
            <w:pStyle w:val="TOC2"/>
            <w:tabs>
              <w:tab w:val="right" w:leader="dot" w:pos="9350"/>
            </w:tabs>
            <w:rPr>
              <w:rFonts w:asciiTheme="minorHAnsi" w:hAnsiTheme="minorHAnsi" w:cstheme="minorBidi"/>
              <w:noProof/>
            </w:rPr>
          </w:pPr>
          <w:hyperlink w:anchor="_Toc51022536" w:history="1">
            <w:r w:rsidR="00BD6925" w:rsidRPr="00076972">
              <w:rPr>
                <w:rStyle w:val="Hyperlink"/>
                <w:noProof/>
              </w:rPr>
              <w:t>Figure S1: Analysis of DiI-doped SLB-coated microspheres imaged using SIM microscope.</w:t>
            </w:r>
            <w:r w:rsidR="00BD6925">
              <w:rPr>
                <w:noProof/>
                <w:webHidden/>
              </w:rPr>
              <w:tab/>
            </w:r>
            <w:r w:rsidR="00BD6925">
              <w:rPr>
                <w:noProof/>
                <w:webHidden/>
              </w:rPr>
              <w:fldChar w:fldCharType="begin"/>
            </w:r>
            <w:r w:rsidR="00BD6925">
              <w:rPr>
                <w:noProof/>
                <w:webHidden/>
              </w:rPr>
              <w:instrText xml:space="preserve"> PAGEREF _Toc51022536 \h </w:instrText>
            </w:r>
            <w:r w:rsidR="00BD6925">
              <w:rPr>
                <w:noProof/>
                <w:webHidden/>
              </w:rPr>
            </w:r>
            <w:r w:rsidR="00BD6925">
              <w:rPr>
                <w:noProof/>
                <w:webHidden/>
              </w:rPr>
              <w:fldChar w:fldCharType="separate"/>
            </w:r>
            <w:r w:rsidR="00BD6925">
              <w:rPr>
                <w:noProof/>
                <w:webHidden/>
              </w:rPr>
              <w:t>8</w:t>
            </w:r>
            <w:r w:rsidR="00BD6925">
              <w:rPr>
                <w:noProof/>
                <w:webHidden/>
              </w:rPr>
              <w:fldChar w:fldCharType="end"/>
            </w:r>
          </w:hyperlink>
        </w:p>
        <w:p w14:paraId="5363507D" w14:textId="6A91F06C" w:rsidR="00BD6925" w:rsidRDefault="00F6521F">
          <w:pPr>
            <w:pStyle w:val="TOC2"/>
            <w:tabs>
              <w:tab w:val="right" w:leader="dot" w:pos="9350"/>
            </w:tabs>
            <w:rPr>
              <w:rFonts w:asciiTheme="minorHAnsi" w:hAnsiTheme="minorHAnsi" w:cstheme="minorBidi"/>
              <w:noProof/>
            </w:rPr>
          </w:pPr>
          <w:hyperlink w:anchor="_Toc51022537" w:history="1">
            <w:r w:rsidR="00BD6925" w:rsidRPr="00076972">
              <w:rPr>
                <w:rStyle w:val="Hyperlink"/>
                <w:noProof/>
              </w:rPr>
              <w:t>Figure S2: Azimuthal angle maps of 15 representative platelets.</w:t>
            </w:r>
            <w:r w:rsidR="00BD6925">
              <w:rPr>
                <w:noProof/>
                <w:webHidden/>
              </w:rPr>
              <w:tab/>
            </w:r>
            <w:r w:rsidR="00BD6925">
              <w:rPr>
                <w:noProof/>
                <w:webHidden/>
              </w:rPr>
              <w:fldChar w:fldCharType="begin"/>
            </w:r>
            <w:r w:rsidR="00BD6925">
              <w:rPr>
                <w:noProof/>
                <w:webHidden/>
              </w:rPr>
              <w:instrText xml:space="preserve"> PAGEREF _Toc51022537 \h </w:instrText>
            </w:r>
            <w:r w:rsidR="00BD6925">
              <w:rPr>
                <w:noProof/>
                <w:webHidden/>
              </w:rPr>
            </w:r>
            <w:r w:rsidR="00BD6925">
              <w:rPr>
                <w:noProof/>
                <w:webHidden/>
              </w:rPr>
              <w:fldChar w:fldCharType="separate"/>
            </w:r>
            <w:r w:rsidR="00BD6925">
              <w:rPr>
                <w:noProof/>
                <w:webHidden/>
              </w:rPr>
              <w:t>10</w:t>
            </w:r>
            <w:r w:rsidR="00BD6925">
              <w:rPr>
                <w:noProof/>
                <w:webHidden/>
              </w:rPr>
              <w:fldChar w:fldCharType="end"/>
            </w:r>
          </w:hyperlink>
        </w:p>
        <w:p w14:paraId="2413A3AD" w14:textId="726C5989" w:rsidR="00BD6925" w:rsidRDefault="00F6521F" w:rsidP="00BD6925">
          <w:pPr>
            <w:pStyle w:val="TOC2"/>
            <w:tabs>
              <w:tab w:val="right" w:leader="dot" w:pos="9350"/>
            </w:tabs>
            <w:ind w:left="940" w:firstLine="0"/>
            <w:rPr>
              <w:rFonts w:asciiTheme="minorHAnsi" w:hAnsiTheme="minorHAnsi" w:cstheme="minorBidi"/>
              <w:noProof/>
            </w:rPr>
          </w:pPr>
          <w:hyperlink w:anchor="_Toc51022538" w:history="1">
            <w:r w:rsidR="00BD6925" w:rsidRPr="00076972">
              <w:rPr>
                <w:rStyle w:val="Hyperlink"/>
                <w:noProof/>
              </w:rPr>
              <w:t>Figure S3: Reproduction of previous finding that platelets exhibit two distinct zones of force orientation.</w:t>
            </w:r>
            <w:r w:rsidR="00BD6925">
              <w:rPr>
                <w:noProof/>
                <w:webHidden/>
              </w:rPr>
              <w:tab/>
            </w:r>
            <w:r w:rsidR="00BD6925">
              <w:rPr>
                <w:noProof/>
                <w:webHidden/>
              </w:rPr>
              <w:fldChar w:fldCharType="begin"/>
            </w:r>
            <w:r w:rsidR="00BD6925">
              <w:rPr>
                <w:noProof/>
                <w:webHidden/>
              </w:rPr>
              <w:instrText xml:space="preserve"> PAGEREF _Toc51022538 \h </w:instrText>
            </w:r>
            <w:r w:rsidR="00BD6925">
              <w:rPr>
                <w:noProof/>
                <w:webHidden/>
              </w:rPr>
            </w:r>
            <w:r w:rsidR="00BD6925">
              <w:rPr>
                <w:noProof/>
                <w:webHidden/>
              </w:rPr>
              <w:fldChar w:fldCharType="separate"/>
            </w:r>
            <w:r w:rsidR="00BD6925">
              <w:rPr>
                <w:noProof/>
                <w:webHidden/>
              </w:rPr>
              <w:t>11</w:t>
            </w:r>
            <w:r w:rsidR="00BD6925">
              <w:rPr>
                <w:noProof/>
                <w:webHidden/>
              </w:rPr>
              <w:fldChar w:fldCharType="end"/>
            </w:r>
          </w:hyperlink>
        </w:p>
        <w:p w14:paraId="207AFCA4" w14:textId="2641E3ED" w:rsidR="00BD6925" w:rsidRDefault="00F6521F">
          <w:pPr>
            <w:pStyle w:val="TOC2"/>
            <w:tabs>
              <w:tab w:val="right" w:leader="dot" w:pos="9350"/>
            </w:tabs>
            <w:rPr>
              <w:rFonts w:asciiTheme="minorHAnsi" w:hAnsiTheme="minorHAnsi" w:cstheme="minorBidi"/>
              <w:noProof/>
            </w:rPr>
          </w:pPr>
          <w:hyperlink w:anchor="_Toc51022539" w:history="1">
            <w:r w:rsidR="00BD6925" w:rsidRPr="00076972">
              <w:rPr>
                <w:rStyle w:val="Hyperlink"/>
                <w:noProof/>
              </w:rPr>
              <w:t>Figure S4: Results of Monte Carlo simulations of force orientation measurement.</w:t>
            </w:r>
            <w:r w:rsidR="00BD6925">
              <w:rPr>
                <w:noProof/>
                <w:webHidden/>
              </w:rPr>
              <w:tab/>
            </w:r>
            <w:r w:rsidR="00BD6925">
              <w:rPr>
                <w:noProof/>
                <w:webHidden/>
              </w:rPr>
              <w:fldChar w:fldCharType="begin"/>
            </w:r>
            <w:r w:rsidR="00BD6925">
              <w:rPr>
                <w:noProof/>
                <w:webHidden/>
              </w:rPr>
              <w:instrText xml:space="preserve"> PAGEREF _Toc51022539 \h </w:instrText>
            </w:r>
            <w:r w:rsidR="00BD6925">
              <w:rPr>
                <w:noProof/>
                <w:webHidden/>
              </w:rPr>
            </w:r>
            <w:r w:rsidR="00BD6925">
              <w:rPr>
                <w:noProof/>
                <w:webHidden/>
              </w:rPr>
              <w:fldChar w:fldCharType="separate"/>
            </w:r>
            <w:r w:rsidR="00BD6925">
              <w:rPr>
                <w:noProof/>
                <w:webHidden/>
              </w:rPr>
              <w:t>12</w:t>
            </w:r>
            <w:r w:rsidR="00BD6925">
              <w:rPr>
                <w:noProof/>
                <w:webHidden/>
              </w:rPr>
              <w:fldChar w:fldCharType="end"/>
            </w:r>
          </w:hyperlink>
        </w:p>
        <w:p w14:paraId="293ADC6C" w14:textId="18AC9102" w:rsidR="00BD6925" w:rsidRDefault="00F6521F">
          <w:pPr>
            <w:pStyle w:val="TOC2"/>
            <w:tabs>
              <w:tab w:val="right" w:leader="dot" w:pos="9350"/>
            </w:tabs>
            <w:rPr>
              <w:rFonts w:asciiTheme="minorHAnsi" w:hAnsiTheme="minorHAnsi" w:cstheme="minorBidi"/>
              <w:noProof/>
            </w:rPr>
          </w:pPr>
          <w:hyperlink w:anchor="_Toc51022540" w:history="1">
            <w:r w:rsidR="00BD6925" w:rsidRPr="00076972">
              <w:rPr>
                <w:rStyle w:val="Hyperlink"/>
                <w:noProof/>
              </w:rPr>
              <w:t>Figure S5: Extended analysis of Monte Carlo simulation results.</w:t>
            </w:r>
            <w:r w:rsidR="00BD6925">
              <w:rPr>
                <w:noProof/>
                <w:webHidden/>
              </w:rPr>
              <w:tab/>
            </w:r>
            <w:r w:rsidR="00BD6925">
              <w:rPr>
                <w:noProof/>
                <w:webHidden/>
              </w:rPr>
              <w:fldChar w:fldCharType="begin"/>
            </w:r>
            <w:r w:rsidR="00BD6925">
              <w:rPr>
                <w:noProof/>
                <w:webHidden/>
              </w:rPr>
              <w:instrText xml:space="preserve"> PAGEREF _Toc51022540 \h </w:instrText>
            </w:r>
            <w:r w:rsidR="00BD6925">
              <w:rPr>
                <w:noProof/>
                <w:webHidden/>
              </w:rPr>
            </w:r>
            <w:r w:rsidR="00BD6925">
              <w:rPr>
                <w:noProof/>
                <w:webHidden/>
              </w:rPr>
              <w:fldChar w:fldCharType="separate"/>
            </w:r>
            <w:r w:rsidR="00BD6925">
              <w:rPr>
                <w:noProof/>
                <w:webHidden/>
              </w:rPr>
              <w:t>13</w:t>
            </w:r>
            <w:r w:rsidR="00BD6925">
              <w:rPr>
                <w:noProof/>
                <w:webHidden/>
              </w:rPr>
              <w:fldChar w:fldCharType="end"/>
            </w:r>
          </w:hyperlink>
        </w:p>
        <w:p w14:paraId="5226E197" w14:textId="13C5127D" w:rsidR="00BD6925" w:rsidRDefault="00F6521F">
          <w:pPr>
            <w:pStyle w:val="TOC2"/>
            <w:tabs>
              <w:tab w:val="right" w:leader="dot" w:pos="9350"/>
            </w:tabs>
            <w:rPr>
              <w:rFonts w:asciiTheme="minorHAnsi" w:hAnsiTheme="minorHAnsi" w:cstheme="minorBidi"/>
              <w:noProof/>
            </w:rPr>
          </w:pPr>
          <w:hyperlink w:anchor="_Toc51022541" w:history="1">
            <w:r w:rsidR="00BD6925" w:rsidRPr="00076972">
              <w:rPr>
                <w:rStyle w:val="Hyperlink"/>
                <w:noProof/>
              </w:rPr>
              <w:t xml:space="preserve">Figure S6: Dependence of measured </w:t>
            </w:r>
            <m:oMath>
              <m:r>
                <w:rPr>
                  <w:rStyle w:val="Hyperlink"/>
                  <w:rFonts w:ascii="Cambria Math" w:hAnsi="Cambria Math"/>
                  <w:noProof/>
                </w:rPr>
                <m:t>⟨θ⟩</m:t>
              </m:r>
            </m:oMath>
            <w:r w:rsidR="00BD6925" w:rsidRPr="00076972">
              <w:rPr>
                <w:rStyle w:val="Hyperlink"/>
                <w:noProof/>
              </w:rPr>
              <w:t xml:space="preserve"> on measured </w:t>
            </w:r>
            <m:oMath>
              <m:r>
                <w:rPr>
                  <w:rStyle w:val="Hyperlink"/>
                  <w:rFonts w:ascii="Cambria Math" w:hAnsi="Cambria Math"/>
                  <w:noProof/>
                </w:rPr>
                <m:t>ϕ</m:t>
              </m:r>
            </m:oMath>
            <w:r w:rsidR="00BD6925" w:rsidRPr="00076972">
              <w:rPr>
                <w:rStyle w:val="Hyperlink"/>
                <w:noProof/>
              </w:rPr>
              <w:t xml:space="preserve"> values.</w:t>
            </w:r>
            <w:r w:rsidR="00BD6925">
              <w:rPr>
                <w:noProof/>
                <w:webHidden/>
              </w:rPr>
              <w:tab/>
            </w:r>
            <w:r w:rsidR="00BD6925">
              <w:rPr>
                <w:noProof/>
                <w:webHidden/>
              </w:rPr>
              <w:fldChar w:fldCharType="begin"/>
            </w:r>
            <w:r w:rsidR="00BD6925">
              <w:rPr>
                <w:noProof/>
                <w:webHidden/>
              </w:rPr>
              <w:instrText xml:space="preserve"> PAGEREF _Toc51022541 \h </w:instrText>
            </w:r>
            <w:r w:rsidR="00BD6925">
              <w:rPr>
                <w:noProof/>
                <w:webHidden/>
              </w:rPr>
            </w:r>
            <w:r w:rsidR="00BD6925">
              <w:rPr>
                <w:noProof/>
                <w:webHidden/>
              </w:rPr>
              <w:fldChar w:fldCharType="separate"/>
            </w:r>
            <w:r w:rsidR="00BD6925">
              <w:rPr>
                <w:noProof/>
                <w:webHidden/>
              </w:rPr>
              <w:t>14</w:t>
            </w:r>
            <w:r w:rsidR="00BD6925">
              <w:rPr>
                <w:noProof/>
                <w:webHidden/>
              </w:rPr>
              <w:fldChar w:fldCharType="end"/>
            </w:r>
          </w:hyperlink>
        </w:p>
        <w:p w14:paraId="38A94D33" w14:textId="3570BFC2" w:rsidR="00BD6925" w:rsidRDefault="00F6521F">
          <w:pPr>
            <w:pStyle w:val="TOC2"/>
            <w:tabs>
              <w:tab w:val="right" w:leader="dot" w:pos="9350"/>
            </w:tabs>
            <w:rPr>
              <w:rFonts w:asciiTheme="minorHAnsi" w:hAnsiTheme="minorHAnsi" w:cstheme="minorBidi"/>
              <w:noProof/>
            </w:rPr>
          </w:pPr>
          <w:hyperlink w:anchor="_Toc51022542" w:history="1">
            <w:r w:rsidR="00BD6925" w:rsidRPr="00076972">
              <w:rPr>
                <w:rStyle w:val="Hyperlink"/>
                <w:noProof/>
              </w:rPr>
              <w:t>Figure S7: Quantification of tension area</w:t>
            </w:r>
            <w:r w:rsidR="00BD6925">
              <w:rPr>
                <w:noProof/>
                <w:webHidden/>
              </w:rPr>
              <w:tab/>
            </w:r>
            <w:r w:rsidR="00BD6925">
              <w:rPr>
                <w:noProof/>
                <w:webHidden/>
              </w:rPr>
              <w:fldChar w:fldCharType="begin"/>
            </w:r>
            <w:r w:rsidR="00BD6925">
              <w:rPr>
                <w:noProof/>
                <w:webHidden/>
              </w:rPr>
              <w:instrText xml:space="preserve"> PAGEREF _Toc51022542 \h </w:instrText>
            </w:r>
            <w:r w:rsidR="00BD6925">
              <w:rPr>
                <w:noProof/>
                <w:webHidden/>
              </w:rPr>
            </w:r>
            <w:r w:rsidR="00BD6925">
              <w:rPr>
                <w:noProof/>
                <w:webHidden/>
              </w:rPr>
              <w:fldChar w:fldCharType="separate"/>
            </w:r>
            <w:r w:rsidR="00BD6925">
              <w:rPr>
                <w:noProof/>
                <w:webHidden/>
              </w:rPr>
              <w:t>15</w:t>
            </w:r>
            <w:r w:rsidR="00BD6925">
              <w:rPr>
                <w:noProof/>
                <w:webHidden/>
              </w:rPr>
              <w:fldChar w:fldCharType="end"/>
            </w:r>
          </w:hyperlink>
        </w:p>
        <w:p w14:paraId="52037438" w14:textId="0B42E26B" w:rsidR="00BD6925" w:rsidRDefault="00F6521F">
          <w:pPr>
            <w:pStyle w:val="TOC2"/>
            <w:tabs>
              <w:tab w:val="right" w:leader="dot" w:pos="9350"/>
            </w:tabs>
            <w:rPr>
              <w:rFonts w:asciiTheme="minorHAnsi" w:hAnsiTheme="minorHAnsi" w:cstheme="minorBidi"/>
              <w:noProof/>
            </w:rPr>
          </w:pPr>
          <w:hyperlink w:anchor="_Toc51022543" w:history="1">
            <w:r w:rsidR="00BD6925" w:rsidRPr="00076972">
              <w:rPr>
                <w:rStyle w:val="Hyperlink"/>
                <w:noProof/>
              </w:rPr>
              <w:t>Figure S8: Quantification of the alignment parameter and primary axis of contraction</w:t>
            </w:r>
            <w:r w:rsidR="00BD6925">
              <w:rPr>
                <w:noProof/>
                <w:webHidden/>
              </w:rPr>
              <w:tab/>
            </w:r>
            <w:r w:rsidR="00BD6925">
              <w:rPr>
                <w:noProof/>
                <w:webHidden/>
              </w:rPr>
              <w:fldChar w:fldCharType="begin"/>
            </w:r>
            <w:r w:rsidR="00BD6925">
              <w:rPr>
                <w:noProof/>
                <w:webHidden/>
              </w:rPr>
              <w:instrText xml:space="preserve"> PAGEREF _Toc51022543 \h </w:instrText>
            </w:r>
            <w:r w:rsidR="00BD6925">
              <w:rPr>
                <w:noProof/>
                <w:webHidden/>
              </w:rPr>
            </w:r>
            <w:r w:rsidR="00BD6925">
              <w:rPr>
                <w:noProof/>
                <w:webHidden/>
              </w:rPr>
              <w:fldChar w:fldCharType="separate"/>
            </w:r>
            <w:r w:rsidR="00BD6925">
              <w:rPr>
                <w:noProof/>
                <w:webHidden/>
              </w:rPr>
              <w:t>16</w:t>
            </w:r>
            <w:r w:rsidR="00BD6925">
              <w:rPr>
                <w:noProof/>
                <w:webHidden/>
              </w:rPr>
              <w:fldChar w:fldCharType="end"/>
            </w:r>
          </w:hyperlink>
        </w:p>
        <w:p w14:paraId="698E6840" w14:textId="5CE331C8" w:rsidR="00BD6925" w:rsidRDefault="00F6521F">
          <w:pPr>
            <w:pStyle w:val="TOC2"/>
            <w:tabs>
              <w:tab w:val="right" w:leader="dot" w:pos="9350"/>
            </w:tabs>
            <w:rPr>
              <w:rFonts w:asciiTheme="minorHAnsi" w:hAnsiTheme="minorHAnsi" w:cstheme="minorBidi"/>
              <w:noProof/>
            </w:rPr>
          </w:pPr>
          <w:hyperlink w:anchor="_Toc51022544" w:history="1">
            <w:r w:rsidR="00BD6925" w:rsidRPr="00076972">
              <w:rPr>
                <w:rStyle w:val="Hyperlink"/>
                <w:noProof/>
              </w:rPr>
              <w:t>Figure S9: Quantification of the alignment parameter and primary axis of contraction</w:t>
            </w:r>
            <w:r w:rsidR="00BD6925">
              <w:rPr>
                <w:noProof/>
                <w:webHidden/>
              </w:rPr>
              <w:tab/>
            </w:r>
            <w:r w:rsidR="00BD6925">
              <w:rPr>
                <w:noProof/>
                <w:webHidden/>
              </w:rPr>
              <w:fldChar w:fldCharType="begin"/>
            </w:r>
            <w:r w:rsidR="00BD6925">
              <w:rPr>
                <w:noProof/>
                <w:webHidden/>
              </w:rPr>
              <w:instrText xml:space="preserve"> PAGEREF _Toc51022544 \h </w:instrText>
            </w:r>
            <w:r w:rsidR="00BD6925">
              <w:rPr>
                <w:noProof/>
                <w:webHidden/>
              </w:rPr>
            </w:r>
            <w:r w:rsidR="00BD6925">
              <w:rPr>
                <w:noProof/>
                <w:webHidden/>
              </w:rPr>
              <w:fldChar w:fldCharType="separate"/>
            </w:r>
            <w:r w:rsidR="00BD6925">
              <w:rPr>
                <w:noProof/>
                <w:webHidden/>
              </w:rPr>
              <w:t>17</w:t>
            </w:r>
            <w:r w:rsidR="00BD6925">
              <w:rPr>
                <w:noProof/>
                <w:webHidden/>
              </w:rPr>
              <w:fldChar w:fldCharType="end"/>
            </w:r>
          </w:hyperlink>
        </w:p>
        <w:p w14:paraId="17424C46" w14:textId="157DE0D4" w:rsidR="00BD6925" w:rsidRDefault="00F6521F" w:rsidP="00BD6925">
          <w:pPr>
            <w:pStyle w:val="TOC2"/>
            <w:tabs>
              <w:tab w:val="right" w:leader="dot" w:pos="9350"/>
            </w:tabs>
            <w:ind w:left="940" w:firstLine="0"/>
            <w:rPr>
              <w:rFonts w:asciiTheme="minorHAnsi" w:hAnsiTheme="minorHAnsi" w:cstheme="minorBidi"/>
              <w:noProof/>
            </w:rPr>
          </w:pPr>
          <w:hyperlink w:anchor="_Toc51022545" w:history="1">
            <w:r w:rsidR="00BD6925" w:rsidRPr="00076972">
              <w:rPr>
                <w:rStyle w:val="Hyperlink"/>
                <w:noProof/>
              </w:rPr>
              <w:t>Figure S10: Simulated photobleaching suggests that increasing alignment is likely not a photobleaching-induced artifact.</w:t>
            </w:r>
            <w:r w:rsidR="00BD6925">
              <w:rPr>
                <w:noProof/>
                <w:webHidden/>
              </w:rPr>
              <w:tab/>
            </w:r>
            <w:r w:rsidR="00BD6925">
              <w:rPr>
                <w:noProof/>
                <w:webHidden/>
              </w:rPr>
              <w:fldChar w:fldCharType="begin"/>
            </w:r>
            <w:r w:rsidR="00BD6925">
              <w:rPr>
                <w:noProof/>
                <w:webHidden/>
              </w:rPr>
              <w:instrText xml:space="preserve"> PAGEREF _Toc51022545 \h </w:instrText>
            </w:r>
            <w:r w:rsidR="00BD6925">
              <w:rPr>
                <w:noProof/>
                <w:webHidden/>
              </w:rPr>
            </w:r>
            <w:r w:rsidR="00BD6925">
              <w:rPr>
                <w:noProof/>
                <w:webHidden/>
              </w:rPr>
              <w:fldChar w:fldCharType="separate"/>
            </w:r>
            <w:r w:rsidR="00BD6925">
              <w:rPr>
                <w:noProof/>
                <w:webHidden/>
              </w:rPr>
              <w:t>18</w:t>
            </w:r>
            <w:r w:rsidR="00BD6925">
              <w:rPr>
                <w:noProof/>
                <w:webHidden/>
              </w:rPr>
              <w:fldChar w:fldCharType="end"/>
            </w:r>
          </w:hyperlink>
        </w:p>
        <w:p w14:paraId="6574D7EB" w14:textId="241C9D7D" w:rsidR="00BD6925" w:rsidRDefault="00F6521F">
          <w:pPr>
            <w:pStyle w:val="TOC2"/>
            <w:tabs>
              <w:tab w:val="right" w:leader="dot" w:pos="9350"/>
            </w:tabs>
            <w:rPr>
              <w:rFonts w:asciiTheme="minorHAnsi" w:hAnsiTheme="minorHAnsi" w:cstheme="minorBidi"/>
              <w:noProof/>
            </w:rPr>
          </w:pPr>
          <w:hyperlink w:anchor="_Toc51022546" w:history="1">
            <w:r w:rsidR="00BD6925" w:rsidRPr="00076972">
              <w:rPr>
                <w:rStyle w:val="Hyperlink"/>
                <w:noProof/>
              </w:rPr>
              <w:t>Figure S11: Measurement of experimental photobleaching and expected effect on results</w:t>
            </w:r>
            <w:r w:rsidR="00BD6925">
              <w:rPr>
                <w:noProof/>
                <w:webHidden/>
              </w:rPr>
              <w:tab/>
            </w:r>
            <w:r w:rsidR="00BD6925">
              <w:rPr>
                <w:noProof/>
                <w:webHidden/>
              </w:rPr>
              <w:fldChar w:fldCharType="begin"/>
            </w:r>
            <w:r w:rsidR="00BD6925">
              <w:rPr>
                <w:noProof/>
                <w:webHidden/>
              </w:rPr>
              <w:instrText xml:space="preserve"> PAGEREF _Toc51022546 \h </w:instrText>
            </w:r>
            <w:r w:rsidR="00BD6925">
              <w:rPr>
                <w:noProof/>
                <w:webHidden/>
              </w:rPr>
            </w:r>
            <w:r w:rsidR="00BD6925">
              <w:rPr>
                <w:noProof/>
                <w:webHidden/>
              </w:rPr>
              <w:fldChar w:fldCharType="separate"/>
            </w:r>
            <w:r w:rsidR="00BD6925">
              <w:rPr>
                <w:noProof/>
                <w:webHidden/>
              </w:rPr>
              <w:t>19</w:t>
            </w:r>
            <w:r w:rsidR="00BD6925">
              <w:rPr>
                <w:noProof/>
                <w:webHidden/>
              </w:rPr>
              <w:fldChar w:fldCharType="end"/>
            </w:r>
          </w:hyperlink>
        </w:p>
        <w:p w14:paraId="4E8C3EF1" w14:textId="24615D13" w:rsidR="00BD6925" w:rsidRDefault="00F6521F" w:rsidP="00BD6925">
          <w:pPr>
            <w:pStyle w:val="TOC2"/>
            <w:tabs>
              <w:tab w:val="right" w:leader="dot" w:pos="9350"/>
            </w:tabs>
            <w:ind w:left="940" w:firstLine="0"/>
            <w:rPr>
              <w:rFonts w:asciiTheme="minorHAnsi" w:hAnsiTheme="minorHAnsi" w:cstheme="minorBidi"/>
              <w:noProof/>
            </w:rPr>
          </w:pPr>
          <w:hyperlink w:anchor="_Toc51022547" w:history="1">
            <w:r w:rsidR="00BD6925" w:rsidRPr="00076972">
              <w:rPr>
                <w:rStyle w:val="Hyperlink"/>
                <w:noProof/>
              </w:rPr>
              <w:t>Figure S12: Comparison of SIM-MFM signal produced by T-cell receptor and platelet integrin forces</w:t>
            </w:r>
            <w:r w:rsidR="00BD6925">
              <w:rPr>
                <w:noProof/>
                <w:webHidden/>
              </w:rPr>
              <w:tab/>
            </w:r>
            <w:r w:rsidR="00BD6925">
              <w:rPr>
                <w:noProof/>
                <w:webHidden/>
              </w:rPr>
              <w:fldChar w:fldCharType="begin"/>
            </w:r>
            <w:r w:rsidR="00BD6925">
              <w:rPr>
                <w:noProof/>
                <w:webHidden/>
              </w:rPr>
              <w:instrText xml:space="preserve"> PAGEREF _Toc51022547 \h </w:instrText>
            </w:r>
            <w:r w:rsidR="00BD6925">
              <w:rPr>
                <w:noProof/>
                <w:webHidden/>
              </w:rPr>
            </w:r>
            <w:r w:rsidR="00BD6925">
              <w:rPr>
                <w:noProof/>
                <w:webHidden/>
              </w:rPr>
              <w:fldChar w:fldCharType="separate"/>
            </w:r>
            <w:r w:rsidR="00BD6925">
              <w:rPr>
                <w:noProof/>
                <w:webHidden/>
              </w:rPr>
              <w:t>21</w:t>
            </w:r>
            <w:r w:rsidR="00BD6925">
              <w:rPr>
                <w:noProof/>
                <w:webHidden/>
              </w:rPr>
              <w:fldChar w:fldCharType="end"/>
            </w:r>
          </w:hyperlink>
        </w:p>
        <w:p w14:paraId="755784F4" w14:textId="3AF40EF1" w:rsidR="00BD6925" w:rsidRDefault="00F6521F">
          <w:pPr>
            <w:pStyle w:val="TOC1"/>
            <w:tabs>
              <w:tab w:val="left" w:pos="1320"/>
              <w:tab w:val="right" w:leader="dot" w:pos="9350"/>
            </w:tabs>
            <w:rPr>
              <w:rFonts w:asciiTheme="minorHAnsi" w:hAnsiTheme="minorHAnsi" w:cstheme="minorBidi"/>
              <w:noProof/>
            </w:rPr>
          </w:pPr>
          <w:hyperlink w:anchor="_Toc51022548" w:history="1">
            <w:r w:rsidR="00BD6925" w:rsidRPr="00076972">
              <w:rPr>
                <w:rStyle w:val="Hyperlink"/>
                <w:noProof/>
              </w:rPr>
              <w:t>III.</w:t>
            </w:r>
            <w:r w:rsidR="00BD6925">
              <w:rPr>
                <w:rFonts w:asciiTheme="minorHAnsi" w:hAnsiTheme="minorHAnsi" w:cstheme="minorBidi"/>
                <w:noProof/>
              </w:rPr>
              <w:tab/>
            </w:r>
            <w:r w:rsidR="00BD6925" w:rsidRPr="00076972">
              <w:rPr>
                <w:rStyle w:val="Hyperlink"/>
                <w:noProof/>
              </w:rPr>
              <w:t>Table S1 – Oligonucleotide sequences</w:t>
            </w:r>
            <w:r w:rsidR="00BD6925">
              <w:rPr>
                <w:noProof/>
                <w:webHidden/>
              </w:rPr>
              <w:tab/>
            </w:r>
            <w:r w:rsidR="00BD6925">
              <w:rPr>
                <w:noProof/>
                <w:webHidden/>
              </w:rPr>
              <w:fldChar w:fldCharType="begin"/>
            </w:r>
            <w:r w:rsidR="00BD6925">
              <w:rPr>
                <w:noProof/>
                <w:webHidden/>
              </w:rPr>
              <w:instrText xml:space="preserve"> PAGEREF _Toc51022548 \h </w:instrText>
            </w:r>
            <w:r w:rsidR="00BD6925">
              <w:rPr>
                <w:noProof/>
                <w:webHidden/>
              </w:rPr>
            </w:r>
            <w:r w:rsidR="00BD6925">
              <w:rPr>
                <w:noProof/>
                <w:webHidden/>
              </w:rPr>
              <w:fldChar w:fldCharType="separate"/>
            </w:r>
            <w:r w:rsidR="00BD6925">
              <w:rPr>
                <w:noProof/>
                <w:webHidden/>
              </w:rPr>
              <w:t>23</w:t>
            </w:r>
            <w:r w:rsidR="00BD6925">
              <w:rPr>
                <w:noProof/>
                <w:webHidden/>
              </w:rPr>
              <w:fldChar w:fldCharType="end"/>
            </w:r>
          </w:hyperlink>
        </w:p>
        <w:p w14:paraId="399489F0" w14:textId="04A3FAB8" w:rsidR="00BD6925" w:rsidRDefault="00F6521F">
          <w:pPr>
            <w:pStyle w:val="TOC1"/>
            <w:tabs>
              <w:tab w:val="left" w:pos="1320"/>
              <w:tab w:val="right" w:leader="dot" w:pos="9350"/>
            </w:tabs>
            <w:rPr>
              <w:rFonts w:asciiTheme="minorHAnsi" w:hAnsiTheme="minorHAnsi" w:cstheme="minorBidi"/>
              <w:noProof/>
            </w:rPr>
          </w:pPr>
          <w:hyperlink w:anchor="_Toc51022549" w:history="1">
            <w:r w:rsidR="00BD6925" w:rsidRPr="00076972">
              <w:rPr>
                <w:rStyle w:val="Hyperlink"/>
                <w:noProof/>
              </w:rPr>
              <w:t>IV.</w:t>
            </w:r>
            <w:r w:rsidR="00BD6925">
              <w:rPr>
                <w:rFonts w:asciiTheme="minorHAnsi" w:hAnsiTheme="minorHAnsi" w:cstheme="minorBidi"/>
                <w:noProof/>
              </w:rPr>
              <w:tab/>
            </w:r>
            <w:r w:rsidR="00BD6925" w:rsidRPr="00076972">
              <w:rPr>
                <w:rStyle w:val="Hyperlink"/>
                <w:noProof/>
              </w:rPr>
              <w:t>Supplemental Note 1 – Derivation of equations for analytical orientation measurement</w:t>
            </w:r>
            <w:r w:rsidR="00BD6925">
              <w:rPr>
                <w:noProof/>
                <w:webHidden/>
              </w:rPr>
              <w:tab/>
            </w:r>
            <w:r w:rsidR="00BD6925">
              <w:rPr>
                <w:noProof/>
                <w:webHidden/>
              </w:rPr>
              <w:fldChar w:fldCharType="begin"/>
            </w:r>
            <w:r w:rsidR="00BD6925">
              <w:rPr>
                <w:noProof/>
                <w:webHidden/>
              </w:rPr>
              <w:instrText xml:space="preserve"> PAGEREF _Toc51022549 \h </w:instrText>
            </w:r>
            <w:r w:rsidR="00BD6925">
              <w:rPr>
                <w:noProof/>
                <w:webHidden/>
              </w:rPr>
            </w:r>
            <w:r w:rsidR="00BD6925">
              <w:rPr>
                <w:noProof/>
                <w:webHidden/>
              </w:rPr>
              <w:fldChar w:fldCharType="separate"/>
            </w:r>
            <w:r w:rsidR="00BD6925">
              <w:rPr>
                <w:noProof/>
                <w:webHidden/>
              </w:rPr>
              <w:t>24</w:t>
            </w:r>
            <w:r w:rsidR="00BD6925">
              <w:rPr>
                <w:noProof/>
                <w:webHidden/>
              </w:rPr>
              <w:fldChar w:fldCharType="end"/>
            </w:r>
          </w:hyperlink>
        </w:p>
        <w:p w14:paraId="127C9B6D" w14:textId="3B37DB1C" w:rsidR="00BD6925" w:rsidRDefault="00F6521F">
          <w:pPr>
            <w:pStyle w:val="TOC1"/>
            <w:tabs>
              <w:tab w:val="left" w:pos="1320"/>
              <w:tab w:val="right" w:leader="dot" w:pos="9350"/>
            </w:tabs>
            <w:rPr>
              <w:rFonts w:asciiTheme="minorHAnsi" w:hAnsiTheme="minorHAnsi" w:cstheme="minorBidi"/>
              <w:noProof/>
            </w:rPr>
          </w:pPr>
          <w:hyperlink w:anchor="_Toc51022550" w:history="1">
            <w:r w:rsidR="00BD6925" w:rsidRPr="00076972">
              <w:rPr>
                <w:rStyle w:val="Hyperlink"/>
                <w:noProof/>
              </w:rPr>
              <w:t>V.</w:t>
            </w:r>
            <w:r w:rsidR="00BD6925">
              <w:rPr>
                <w:rFonts w:asciiTheme="minorHAnsi" w:hAnsiTheme="minorHAnsi" w:cstheme="minorBidi"/>
                <w:noProof/>
              </w:rPr>
              <w:tab/>
            </w:r>
            <w:r w:rsidR="00BD6925" w:rsidRPr="00076972">
              <w:rPr>
                <w:rStyle w:val="Hyperlink"/>
                <w:noProof/>
              </w:rPr>
              <w:t>Supplemental Note 2 – Description of analysis of T-cell receptor SIM-MFM data</w:t>
            </w:r>
            <w:r w:rsidR="00BD6925">
              <w:rPr>
                <w:noProof/>
                <w:webHidden/>
              </w:rPr>
              <w:tab/>
            </w:r>
            <w:r w:rsidR="00BD6925">
              <w:rPr>
                <w:noProof/>
                <w:webHidden/>
              </w:rPr>
              <w:fldChar w:fldCharType="begin"/>
            </w:r>
            <w:r w:rsidR="00BD6925">
              <w:rPr>
                <w:noProof/>
                <w:webHidden/>
              </w:rPr>
              <w:instrText xml:space="preserve"> PAGEREF _Toc51022550 \h </w:instrText>
            </w:r>
            <w:r w:rsidR="00BD6925">
              <w:rPr>
                <w:noProof/>
                <w:webHidden/>
              </w:rPr>
            </w:r>
            <w:r w:rsidR="00BD6925">
              <w:rPr>
                <w:noProof/>
                <w:webHidden/>
              </w:rPr>
              <w:fldChar w:fldCharType="separate"/>
            </w:r>
            <w:r w:rsidR="00BD6925">
              <w:rPr>
                <w:noProof/>
                <w:webHidden/>
              </w:rPr>
              <w:t>26</w:t>
            </w:r>
            <w:r w:rsidR="00BD6925">
              <w:rPr>
                <w:noProof/>
                <w:webHidden/>
              </w:rPr>
              <w:fldChar w:fldCharType="end"/>
            </w:r>
          </w:hyperlink>
        </w:p>
        <w:p w14:paraId="516352E7" w14:textId="74CC468F" w:rsidR="00BD6925" w:rsidRDefault="00F6521F">
          <w:pPr>
            <w:pStyle w:val="TOC1"/>
            <w:tabs>
              <w:tab w:val="left" w:pos="1320"/>
              <w:tab w:val="right" w:leader="dot" w:pos="9350"/>
            </w:tabs>
            <w:rPr>
              <w:rFonts w:asciiTheme="minorHAnsi" w:hAnsiTheme="minorHAnsi" w:cstheme="minorBidi"/>
              <w:noProof/>
            </w:rPr>
          </w:pPr>
          <w:hyperlink w:anchor="_Toc51022551" w:history="1">
            <w:r w:rsidR="00BD6925" w:rsidRPr="00076972">
              <w:rPr>
                <w:rStyle w:val="Hyperlink"/>
                <w:noProof/>
              </w:rPr>
              <w:t>VI.</w:t>
            </w:r>
            <w:r w:rsidR="00BD6925">
              <w:rPr>
                <w:rFonts w:asciiTheme="minorHAnsi" w:hAnsiTheme="minorHAnsi" w:cstheme="minorBidi"/>
                <w:noProof/>
              </w:rPr>
              <w:tab/>
            </w:r>
            <w:r w:rsidR="00BD6925" w:rsidRPr="00076972">
              <w:rPr>
                <w:rStyle w:val="Hyperlink"/>
                <w:noProof/>
              </w:rPr>
              <w:t>References</w:t>
            </w:r>
            <w:r w:rsidR="00BD6925">
              <w:rPr>
                <w:noProof/>
                <w:webHidden/>
              </w:rPr>
              <w:tab/>
            </w:r>
            <w:r w:rsidR="00BD6925">
              <w:rPr>
                <w:noProof/>
                <w:webHidden/>
              </w:rPr>
              <w:fldChar w:fldCharType="begin"/>
            </w:r>
            <w:r w:rsidR="00BD6925">
              <w:rPr>
                <w:noProof/>
                <w:webHidden/>
              </w:rPr>
              <w:instrText xml:space="preserve"> PAGEREF _Toc51022551 \h </w:instrText>
            </w:r>
            <w:r w:rsidR="00BD6925">
              <w:rPr>
                <w:noProof/>
                <w:webHidden/>
              </w:rPr>
            </w:r>
            <w:r w:rsidR="00BD6925">
              <w:rPr>
                <w:noProof/>
                <w:webHidden/>
              </w:rPr>
              <w:fldChar w:fldCharType="separate"/>
            </w:r>
            <w:r w:rsidR="00BD6925">
              <w:rPr>
                <w:noProof/>
                <w:webHidden/>
              </w:rPr>
              <w:t>27</w:t>
            </w:r>
            <w:r w:rsidR="00BD6925">
              <w:rPr>
                <w:noProof/>
                <w:webHidden/>
              </w:rPr>
              <w:fldChar w:fldCharType="end"/>
            </w:r>
          </w:hyperlink>
        </w:p>
        <w:p w14:paraId="41441A43" w14:textId="6A704B7F" w:rsidR="0005402D" w:rsidRDefault="0005402D">
          <w:r>
            <w:rPr>
              <w:b/>
              <w:bCs/>
              <w:noProof/>
            </w:rPr>
            <w:fldChar w:fldCharType="end"/>
          </w:r>
        </w:p>
      </w:sdtContent>
    </w:sdt>
    <w:p w14:paraId="20EC8904" w14:textId="77777777" w:rsidR="0005402D" w:rsidRPr="0005402D" w:rsidRDefault="0005402D" w:rsidP="0005402D">
      <w:pPr>
        <w:ind w:firstLine="0"/>
      </w:pPr>
    </w:p>
    <w:p w14:paraId="56EF0810" w14:textId="6A0E047C" w:rsidR="0005402D" w:rsidRPr="0005402D" w:rsidRDefault="0005402D" w:rsidP="0005402D">
      <w:r>
        <w:br w:type="page"/>
      </w:r>
    </w:p>
    <w:p w14:paraId="22B31045" w14:textId="44539E5C" w:rsidR="007017B4" w:rsidRDefault="007017B4" w:rsidP="007017B4">
      <w:pPr>
        <w:pStyle w:val="Heading1"/>
      </w:pPr>
      <w:bookmarkStart w:id="1" w:name="_Toc47832246"/>
      <w:bookmarkStart w:id="2" w:name="_Toc51022521"/>
      <w:r w:rsidRPr="007017B4">
        <w:lastRenderedPageBreak/>
        <w:t>Materials and Methods</w:t>
      </w:r>
      <w:bookmarkStart w:id="3" w:name="_Hlk45141343"/>
      <w:bookmarkEnd w:id="0"/>
      <w:bookmarkEnd w:id="1"/>
      <w:bookmarkEnd w:id="2"/>
    </w:p>
    <w:p w14:paraId="7CC0F235" w14:textId="593C22A9" w:rsidR="00B67140" w:rsidRDefault="00B67140" w:rsidP="007017B4">
      <w:pPr>
        <w:pStyle w:val="Heading2"/>
      </w:pPr>
      <w:bookmarkStart w:id="4" w:name="_Toc51022522"/>
      <w:bookmarkStart w:id="5" w:name="_Toc47832192"/>
      <w:bookmarkStart w:id="6" w:name="_Toc47832247"/>
      <w:bookmarkStart w:id="7" w:name="_Hlk45141386"/>
      <w:r>
        <w:t>Materials</w:t>
      </w:r>
      <w:bookmarkEnd w:id="4"/>
    </w:p>
    <w:p w14:paraId="7E74AE2E" w14:textId="56E9F1CD" w:rsidR="00B67140" w:rsidRPr="00B67140" w:rsidRDefault="00B67140" w:rsidP="00B67140">
      <w:r w:rsidRPr="00B67140">
        <w:t>Unle</w:t>
      </w:r>
      <w:r>
        <w:t>ss otherwise stated, all materials were purchased from Sigma-Aldrich</w:t>
      </w:r>
      <w:r w:rsidR="00FD34A2">
        <w:t xml:space="preserve"> or ThermoFisher</w:t>
      </w:r>
      <w:r>
        <w:t xml:space="preserve"> and used without additional purification.</w:t>
      </w:r>
      <w:r w:rsidR="00FD34A2">
        <w:t xml:space="preserve"> </w:t>
      </w:r>
    </w:p>
    <w:p w14:paraId="273E7019" w14:textId="1118C61B" w:rsidR="007017B4" w:rsidRPr="007017B4" w:rsidRDefault="007017B4" w:rsidP="007017B4">
      <w:pPr>
        <w:pStyle w:val="Heading2"/>
      </w:pPr>
      <w:bookmarkStart w:id="8" w:name="_Toc51022523"/>
      <w:r w:rsidRPr="007017B4">
        <w:t>Preparation of supported lipid bilayer (SLB) functionalized microparticles.</w:t>
      </w:r>
      <w:bookmarkEnd w:id="5"/>
      <w:bookmarkEnd w:id="6"/>
      <w:bookmarkEnd w:id="8"/>
    </w:p>
    <w:p w14:paraId="7C89B8C1" w14:textId="78B42847" w:rsidR="007017B4" w:rsidRPr="007017B4" w:rsidRDefault="007017B4" w:rsidP="007017B4">
      <w:r w:rsidRPr="007017B4">
        <w:t>SLB-functionalized microparticles were prepared as previously described</w:t>
      </w:r>
      <w:r w:rsidR="00B67140">
        <w:fldChar w:fldCharType="begin"/>
      </w:r>
      <w:r w:rsidR="00B67140">
        <w:instrText xml:space="preserve"> ADDIN EN.CITE &lt;EndNote&gt;&lt;Cite&gt;&lt;Author&gt;Brockman&lt;/Author&gt;&lt;Year&gt;2017&lt;/Year&gt;&lt;RecNum&gt;49&lt;/RecNum&gt;&lt;DisplayText&gt;&lt;style face="superscript"&gt;1&lt;/style&gt;&lt;/DisplayText&gt;&lt;record&gt;&lt;rec-number&gt;49&lt;/rec-number&gt;&lt;foreign-keys&gt;&lt;key app="EN" db-id="pp0zrzdw6s9vz3eza5fvff2fzdat0vpaeet5" timestamp="1522010277"&gt;49&lt;/key&gt;&lt;/foreign-keys&gt;&lt;ref-type name="Journal Article"&gt;17&lt;/ref-type&gt;&lt;contributors&gt;&lt;authors&gt;&lt;author&gt;Brockman, Joshua M.&lt;/author&gt;&lt;author&gt;Blanchard, Aaron T.&lt;/author&gt;&lt;author&gt;Pui-Yan Ma, Victor&lt;/author&gt;&lt;author&gt;Derricotte, Wallace D.&lt;/author&gt;&lt;author&gt;Zhang, Yun&lt;/author&gt;&lt;author&gt;Fay, Meredith E.&lt;/author&gt;&lt;author&gt;Lam, Wilbur A.&lt;/author&gt;&lt;author&gt;Evangelista, Francesco A.&lt;/author&gt;&lt;author&gt;Mattheyses, Alexa L.&lt;/author&gt;&lt;author&gt;Salaita, Khalid&lt;/author&gt;&lt;/authors&gt;&lt;/contributors&gt;&lt;auth-address&gt;Wallace H. Coulter Department of Biomedical Engineering, Georgia Institute of Technology and Emory University, Atlanta, Georgia, USA.&amp;#xD;Department of Chemistry, Emory University, Atlanta, Georgia, USA.&amp;#xD;Department of Cell Biology, Emory University School of Medicine, Atlanta, Georgia, USA.&lt;/auth-address&gt;&lt;titles&gt;&lt;title&gt;Mapping the 3D orientation of piconewton integrin traction forces&lt;/title&gt;&lt;secondary-title&gt;Nature Methods&lt;/secondary-title&gt;&lt;/titles&gt;&lt;periodical&gt;&lt;full-title&gt;Nature Methods&lt;/full-title&gt;&lt;abbr-1&gt;Nat. Methods&lt;/abbr-1&gt;&lt;abbr-2&gt;Nat Methods&lt;/abbr-2&gt;&lt;/periodical&gt;&lt;pages&gt;115&lt;/pages&gt;&lt;volume&gt;15&lt;/volume&gt;&lt;dates&gt;&lt;year&gt;2017&lt;/year&gt;&lt;pub-dates&gt;&lt;date&gt;12/11/online&lt;/date&gt;&lt;/pub-dates&gt;&lt;/dates&gt;&lt;isbn&gt;1548-7105 (Electronic)&amp;#xD;1548-7091 (Linking)&lt;/isbn&gt;&lt;accession-num&gt;29256495&lt;/accession-num&gt;&lt;urls&gt;&lt;related-urls&gt;&lt;url&gt;https://doi.org/10.1038/nmeth.4536&lt;/url&gt;&lt;/related-urls&gt;&lt;/urls&gt;&lt;electronic-resource-num&gt;10.1038/nmeth.4536&lt;/electronic-resource-num&gt;&lt;/record&gt;&lt;/Cite&gt;&lt;/EndNote&gt;</w:instrText>
      </w:r>
      <w:r w:rsidR="00B67140">
        <w:fldChar w:fldCharType="separate"/>
      </w:r>
      <w:r w:rsidR="00B67140" w:rsidRPr="00B67140">
        <w:rPr>
          <w:noProof/>
          <w:vertAlign w:val="superscript"/>
        </w:rPr>
        <w:t>1</w:t>
      </w:r>
      <w:r w:rsidR="00B67140">
        <w:fldChar w:fldCharType="end"/>
      </w:r>
      <w:r w:rsidRPr="007017B4">
        <w:t>. Small unilamellar vesicles (SUVs) with (average diameter of 100 nm) were prepared via lipid extrusion. Briefly, 4 mg mL</w:t>
      </w:r>
      <w:r w:rsidRPr="009F4D3A">
        <w:rPr>
          <w:vertAlign w:val="superscript"/>
        </w:rPr>
        <w:t>−1</w:t>
      </w:r>
      <w:r w:rsidRPr="007017B4">
        <w:t xml:space="preserve"> of 1,2-dioleoyl-sn-glycero-3-phosphocholine lipid (DOPC) (Avanti Polar Lipids Inc., Alabaster, Alabama) was diluted in </w:t>
      </w:r>
      <w:r w:rsidRPr="007017B4">
        <w:rPr>
          <w:rStyle w:val="stix"/>
          <w:rFonts w:ascii="Cambria Math" w:hAnsi="Cambria Math" w:cs="Cambria Math"/>
        </w:rPr>
        <w:t>∼</w:t>
      </w:r>
      <w:r w:rsidR="00E432F8">
        <w:t>500</w:t>
      </w:r>
      <w:r w:rsidRPr="007017B4">
        <w:t xml:space="preserve"> </w:t>
      </w:r>
      <w:r w:rsidR="00E432F8" w:rsidRPr="007017B4">
        <w:t>μ</w:t>
      </w:r>
      <w:r w:rsidRPr="007017B4">
        <w:t>L chloroform in a round-bottom flask. The chloroform was removed via rotary evaporation, resulting in the formation of a thin lipid film. The lipid film was then dried under a steam of N</w:t>
      </w:r>
      <w:r w:rsidRPr="00E432F8">
        <w:rPr>
          <w:vertAlign w:val="subscript"/>
        </w:rPr>
        <w:t>2</w:t>
      </w:r>
      <w:r w:rsidRPr="007017B4">
        <w:t xml:space="preserve"> and subsequently hydrated with </w:t>
      </w:r>
      <w:r w:rsidR="00930439">
        <w:t>3</w:t>
      </w:r>
      <w:r w:rsidR="00930439" w:rsidRPr="007017B4">
        <w:t xml:space="preserve"> </w:t>
      </w:r>
      <w:r w:rsidRPr="007017B4">
        <w:t>mL of milli-Q water</w:t>
      </w:r>
      <w:r w:rsidR="00930439">
        <w:t xml:space="preserve"> and sonicated prior to three freeze-thaw cycles to reduce multi-lamellarity. </w:t>
      </w:r>
      <w:r w:rsidRPr="007017B4">
        <w:t xml:space="preserve">The lipid solution was then extruded 10 times through a </w:t>
      </w:r>
      <w:r w:rsidR="00930439">
        <w:t>80</w:t>
      </w:r>
      <w:r w:rsidR="00930439" w:rsidRPr="007017B4">
        <w:t xml:space="preserve"> </w:t>
      </w:r>
      <w:r w:rsidRPr="007017B4">
        <w:t>nm polycarbonate filter</w:t>
      </w:r>
      <w:r w:rsidR="00930439">
        <w:t xml:space="preserve"> using 10 mL LIPEX extruder (Northern Lipids/TRANSFERRA Nanosciences Inc.)</w:t>
      </w:r>
      <w:r w:rsidRPr="007017B4">
        <w:t xml:space="preserve">. </w:t>
      </w:r>
      <w:r w:rsidR="00930439">
        <w:t xml:space="preserve">Extruded </w:t>
      </w:r>
      <w:r w:rsidR="00DE21A3">
        <w:t>SUV</w:t>
      </w:r>
      <w:r w:rsidR="00B67140">
        <w:t>s</w:t>
      </w:r>
      <w:r w:rsidR="00930439">
        <w:t xml:space="preserve"> </w:t>
      </w:r>
      <w:r w:rsidR="00DE21A3">
        <w:t xml:space="preserve">were clearer and less translucent than their precursors, suggesting unilamellar structure. </w:t>
      </w:r>
      <w:r w:rsidRPr="007017B4">
        <w:t>SUVs were stored at 4 °C and then used within 4–6 weeks.</w:t>
      </w:r>
    </w:p>
    <w:p w14:paraId="5CA61820" w14:textId="78742B48" w:rsidR="007017B4" w:rsidRPr="007017B4" w:rsidRDefault="007017B4" w:rsidP="007017B4">
      <w:r w:rsidRPr="007017B4">
        <w:t>To prepare SLB-coated microparticles, 100 μL 1 mg mL</w:t>
      </w:r>
      <w:r w:rsidRPr="00B67140">
        <w:rPr>
          <w:vertAlign w:val="superscript"/>
        </w:rPr>
        <w:t>−1</w:t>
      </w:r>
      <w:r w:rsidRPr="007017B4">
        <w:t xml:space="preserve"> 5 μm silica beads (product #: SS06N, Bangs Laboratories, Fishers, Indiana) were mixed with 100 μL of SUVs and equilibrated on a rocker for 15 min at room temperature. The supported lipid bilayer (SLB) beads were purified via three successive 5 min spin in a benchtop centrifuge at 2,000 r.p.m. After each spin, the supernatant was removed via pipette </w:t>
      </w:r>
      <w:r w:rsidR="00DE21A3" w:rsidRPr="007017B4">
        <w:t>aspiration</w:t>
      </w:r>
      <w:r w:rsidRPr="007017B4">
        <w:t xml:space="preserve"> and </w:t>
      </w:r>
      <w:r w:rsidR="00DE21A3">
        <w:t xml:space="preserve">was </w:t>
      </w:r>
      <w:r w:rsidRPr="007017B4">
        <w:t>replaced with 1 mL of 1× PBS. The SLB-functionalized beads were then incubated with 5 μM DiI</w:t>
      </w:r>
      <w:r w:rsidR="00FD34A2">
        <w:t xml:space="preserve"> (product #: CN-1006 Thermo Fisher Scientific, Waltham, Massachusetts)</w:t>
      </w:r>
      <w:r w:rsidRPr="007017B4">
        <w:t xml:space="preserve"> for 15 min. The DiI-loaded SLB functionalized beads were separated from free DiI with three successive 5 min spins, with each spin followed by supernatant aspiration and replacement with 1x PBS as before. The final volume was 100 µL. The mixture was vortexed, and 2 µL of SLB-functionalized beads were then diluted in 1 mL of 1x PBS to ensure that particles would be spatially isolated. The diluted beads were then vortexed and 100 µL were transferred to one clean well of a flow chamber (product #: µ-Slide VI 0.4, Ibidi, Verona, Wisconsin).</w:t>
      </w:r>
    </w:p>
    <w:p w14:paraId="6AF863D5" w14:textId="77777777" w:rsidR="007017B4" w:rsidRDefault="007017B4" w:rsidP="007017B4">
      <w:pPr>
        <w:pStyle w:val="Heading2"/>
      </w:pPr>
      <w:bookmarkStart w:id="9" w:name="_Toc47832193"/>
      <w:bookmarkStart w:id="10" w:name="_Toc47832248"/>
      <w:bookmarkStart w:id="11" w:name="_Toc51022524"/>
      <w:r>
        <w:t>Isolation and handling of platelets</w:t>
      </w:r>
      <w:bookmarkEnd w:id="9"/>
      <w:bookmarkEnd w:id="10"/>
      <w:bookmarkEnd w:id="11"/>
    </w:p>
    <w:p w14:paraId="561AC4E9" w14:textId="357915D8" w:rsidR="007017B4" w:rsidRPr="008E73CA" w:rsidRDefault="007017B4" w:rsidP="007017B4">
      <w:r>
        <w:t>Experiments were performed with platelets drawn from human volunteers. Blood was drawn from volunteers according to IRB-approved protocols (Emory University, Institutional Review Board) in complete compliance with ethical regulations. Informed consent was obtained prior to blood draw from all subjects. Venous blood was drawn from the arm of human volunteers in two 3 mL portions</w:t>
      </w:r>
      <w:r w:rsidR="00FD34A2">
        <w:t>, t</w:t>
      </w:r>
      <w:r>
        <w:t>he first portion discarded</w:t>
      </w:r>
      <w:r w:rsidR="00FD34A2">
        <w:t>. Next,</w:t>
      </w:r>
      <w:r>
        <w:t xml:space="preserve"> 0.75 mL of Anticoagulant citrate dextrose (ACD) solution (0.75 mL) was added to the second portion. The mixture of whole blood and ACD was then spun at 1</w:t>
      </w:r>
      <w:r w:rsidR="000F45E3">
        <w:t>4</w:t>
      </w:r>
      <w:r>
        <w:t>0 RCF for 1</w:t>
      </w:r>
      <w:r w:rsidR="000F45E3">
        <w:t>2</w:t>
      </w:r>
      <w:r>
        <w:t xml:space="preserve"> min. The lowest centrifuge acceleration and braking settings were used to avoid platelet activation. The platelet-rich plasma was </w:t>
      </w:r>
      <w:r w:rsidR="000F45E3">
        <w:t>collected</w:t>
      </w:r>
      <w:r>
        <w:t>, combined with 10% ACD (</w:t>
      </w:r>
      <w:r w:rsidRPr="0014059B">
        <w:t>v/v)</w:t>
      </w:r>
      <w:r w:rsidR="000F45E3">
        <w:t xml:space="preserve"> and 3uM </w:t>
      </w:r>
      <w:r w:rsidR="000F45E3" w:rsidRPr="00470E6A">
        <w:t>Prostaglandin E1</w:t>
      </w:r>
      <w:r>
        <w:t>, and spun at 900 RCF for 5 min with the lowest centrifuge acceleration and braking settings. The platelet-poor plasma was aspirated following the spin. Then, the platelets were suspended gently in 2 mL 1× Tyrode</w:t>
      </w:r>
      <w:r w:rsidR="00653BF5">
        <w:t>’</w:t>
      </w:r>
      <w:r>
        <w:t>s</w:t>
      </w:r>
      <w:r w:rsidR="00653BF5">
        <w:t xml:space="preserve"> buffer</w:t>
      </w:r>
      <w:r>
        <w:t xml:space="preserve"> with 0.1% BSA </w:t>
      </w:r>
      <w:r>
        <w:rPr>
          <w:i/>
          <w:iCs/>
        </w:rPr>
        <w:t>w/v</w:t>
      </w:r>
      <w:r>
        <w:t xml:space="preserve">. Finally, platelets were allowed to settle for </w:t>
      </w:r>
      <w:r>
        <w:rPr>
          <w:rStyle w:val="stix"/>
          <w:rFonts w:ascii="Cambria Math" w:hAnsi="Cambria Math" w:cs="Cambria Math"/>
        </w:rPr>
        <w:t>∼</w:t>
      </w:r>
      <w:r>
        <w:t>1 h</w:t>
      </w:r>
      <w:r w:rsidR="000F45E3">
        <w:t xml:space="preserve"> at room temperature</w:t>
      </w:r>
      <w:r>
        <w:t xml:space="preserve"> before the start of each experiment, which allowed them to return to a resting state.</w:t>
      </w:r>
      <w:r w:rsidR="0091320E">
        <w:t xml:space="preserve"> Platelets were used within 8 hours. To add platelets to surfaces, the platelets were gently inverted multiple times to promote dispersion and were added </w:t>
      </w:r>
      <w:r w:rsidR="00DE21A3">
        <w:t xml:space="preserve">in 10-20 µL increments until the desired surface density was reached </w:t>
      </w:r>
      <w:r w:rsidR="0091320E">
        <w:t>to the imaging chamber</w:t>
      </w:r>
      <w:r w:rsidR="00DE21A3">
        <w:t>, which was</w:t>
      </w:r>
      <w:r w:rsidR="0091320E">
        <w:t xml:space="preserve"> loaded with 1x Tyrode’s </w:t>
      </w:r>
      <w:r w:rsidR="00DE21A3">
        <w:t>buffer</w:t>
      </w:r>
      <w:r w:rsidR="0091320E">
        <w:t xml:space="preserve">. </w:t>
      </w:r>
      <w:r w:rsidR="00FD34A2">
        <w:t>Experiments with platelets were repeated five times using different donors and surface preparations to ensure reproducibility of the technique.</w:t>
      </w:r>
      <w:r w:rsidR="00951AE4">
        <w:t xml:space="preserve"> Platelets were imaged between 10 min and 2 hr after plating.</w:t>
      </w:r>
    </w:p>
    <w:p w14:paraId="5C00F316" w14:textId="77777777" w:rsidR="007017B4" w:rsidRDefault="007017B4" w:rsidP="007017B4">
      <w:pPr>
        <w:pStyle w:val="Heading2"/>
      </w:pPr>
      <w:bookmarkStart w:id="12" w:name="_Toc47832194"/>
      <w:bookmarkStart w:id="13" w:name="_Toc47832249"/>
      <w:bookmarkStart w:id="14" w:name="_Toc51022525"/>
      <w:r>
        <w:t>Culture and handling of 3T3 fibroblast cells</w:t>
      </w:r>
      <w:bookmarkEnd w:id="12"/>
      <w:bookmarkEnd w:id="13"/>
      <w:bookmarkEnd w:id="14"/>
    </w:p>
    <w:p w14:paraId="3C0F0AB0" w14:textId="04026A04" w:rsidR="00EA6A9F" w:rsidRPr="00EA6A9F" w:rsidRDefault="007017B4" w:rsidP="00653BF5">
      <w:r>
        <w:t xml:space="preserve">NIH </w:t>
      </w:r>
      <w:r w:rsidRPr="002F12FD">
        <w:t>3T3 cells were cultured</w:t>
      </w:r>
      <w:r>
        <w:t xml:space="preserve"> to 75% confluency in Dulbecco modified essential medium (DMEM) supplemented with 10% (v/v) fetal bovine serum and 2.1 mM L-Glutamine, 1000 µg/L streptomycin, and 10000 IU/L penicillin G. Cells used in different experiments were derived from different subcultures. Cells were removed from culture flasks and replated to DNA hairpin-functionalized surfaces within 20 min. For </w:t>
      </w:r>
      <w:r>
        <w:lastRenderedPageBreak/>
        <w:t>removal from flasks, cells were removed using a trypsin solution (Corning) containing 0.25% (wt/vol) trypsin, sodium bicarbonate, and 2.21 mM EDTA. The cells were then centrifuged at 218 rcf, pelleted and resuspended in the same medium.</w:t>
      </w:r>
      <w:r w:rsidR="0091320E">
        <w:t xml:space="preserve"> Next, t</w:t>
      </w:r>
      <w:r>
        <w:t>he cells were transferred to and plated on DNA hairpin-functionalized surfaces at a density of 20,000 cells/cm</w:t>
      </w:r>
      <w:r>
        <w:rPr>
          <w:vertAlign w:val="superscript"/>
        </w:rPr>
        <w:t>2</w:t>
      </w:r>
      <w:r>
        <w:t>. Cells were imaged between 10 and 60 min after plating.</w:t>
      </w:r>
      <w:r w:rsidR="0091320E">
        <w:t xml:space="preserve"> </w:t>
      </w:r>
      <w:r w:rsidR="00FD34A2">
        <w:t>Experiments with 3T3 fibroblasts were repeated three times using different surface preparations to ensure reproducibility of the technique.</w:t>
      </w:r>
    </w:p>
    <w:p w14:paraId="16C16A1C" w14:textId="77777777" w:rsidR="007017B4" w:rsidRPr="008E73CA" w:rsidRDefault="007017B4" w:rsidP="007017B4">
      <w:pPr>
        <w:pStyle w:val="Heading2"/>
      </w:pPr>
      <w:bookmarkStart w:id="15" w:name="_Toc47832195"/>
      <w:bookmarkStart w:id="16" w:name="_Toc47832250"/>
      <w:bookmarkStart w:id="17" w:name="_Toc51022526"/>
      <w:r w:rsidRPr="008E73CA">
        <w:t>Surface preparation</w:t>
      </w:r>
      <w:bookmarkEnd w:id="15"/>
      <w:bookmarkEnd w:id="16"/>
      <w:bookmarkEnd w:id="17"/>
    </w:p>
    <w:p w14:paraId="1510676D" w14:textId="62DC96BB" w:rsidR="007017B4" w:rsidRPr="00FC24B8" w:rsidRDefault="007017B4" w:rsidP="007017B4">
      <w:r>
        <w:t xml:space="preserve">Glass coverslips with thicknesses of </w:t>
      </w:r>
      <w:r w:rsidRPr="00FC24B8">
        <w:t>0.17 m</w:t>
      </w:r>
      <w:r>
        <w:t xml:space="preserve">m – either 25 mm x 75 mm rectangular </w:t>
      </w:r>
      <w:r w:rsidR="00DE21A3">
        <w:t xml:space="preserve">coverslips </w:t>
      </w:r>
      <w:r w:rsidRPr="00FC24B8">
        <w:t>(product #: 10812</w:t>
      </w:r>
      <w:r>
        <w:t>, Ibidi, Verona, Wisconsin</w:t>
      </w:r>
      <w:r w:rsidRPr="00FC24B8">
        <w:t>)</w:t>
      </w:r>
      <w:r>
        <w:t xml:space="preserve"> or 25 mm diameter round coverslips (</w:t>
      </w:r>
      <w:r w:rsidR="00230421">
        <w:t xml:space="preserve">product #: </w:t>
      </w:r>
      <w:r w:rsidR="00230421" w:rsidRPr="00230421">
        <w:t>48382-085</w:t>
      </w:r>
      <w:r w:rsidR="00230421">
        <w:t>, VWR, Radnor, Pennsylvania</w:t>
      </w:r>
      <w:r>
        <w:t>)</w:t>
      </w:r>
      <w:r w:rsidRPr="00FC24B8">
        <w:t xml:space="preserve"> </w:t>
      </w:r>
      <w:r>
        <w:t xml:space="preserve">– </w:t>
      </w:r>
      <w:r w:rsidRPr="00FC24B8">
        <w:t xml:space="preserve">were cleaned </w:t>
      </w:r>
      <w:r>
        <w:t>via</w:t>
      </w:r>
      <w:r w:rsidRPr="00FC24B8">
        <w:t xml:space="preserve"> sonication in ethanol for 10 </w:t>
      </w:r>
      <w:r>
        <w:t>min and</w:t>
      </w:r>
      <w:r w:rsidRPr="00FC24B8">
        <w:t xml:space="preserve"> then dried in a</w:t>
      </w:r>
      <w:r>
        <w:t>n oven at a temperature of</w:t>
      </w:r>
      <w:r w:rsidRPr="00FC24B8">
        <w:t xml:space="preserve"> 100 ˚C </w:t>
      </w:r>
      <w:r>
        <w:t>f</w:t>
      </w:r>
      <w:r w:rsidRPr="00FC24B8">
        <w:t xml:space="preserve">or 20 </w:t>
      </w:r>
      <w:r>
        <w:t>min. The dried coverslips were</w:t>
      </w:r>
      <w:r w:rsidRPr="00FC24B8">
        <w:t xml:space="preserve"> then </w:t>
      </w:r>
      <w:r>
        <w:t>exposed</w:t>
      </w:r>
      <w:r w:rsidRPr="00FC24B8">
        <w:t xml:space="preserve"> in piranha acid (a solution of 30% (v/v) H2O2 in concentrated H2SO4) (Caution! This solution is extremely corrosive and explosive in contact with organics!)</w:t>
      </w:r>
      <w:r>
        <w:t xml:space="preserve"> for 10 min</w:t>
      </w:r>
      <w:r w:rsidRPr="00FC24B8">
        <w:t>. Coverslips were</w:t>
      </w:r>
      <w:r>
        <w:t xml:space="preserve"> then rinsed</w:t>
      </w:r>
      <w:r w:rsidRPr="00FC24B8">
        <w:t xml:space="preserve"> six times with water</w:t>
      </w:r>
      <w:r>
        <w:t xml:space="preserve"> and then rinsed</w:t>
      </w:r>
      <w:r w:rsidRPr="00FC24B8">
        <w:t xml:space="preserve"> three times with ethanol</w:t>
      </w:r>
      <w:r>
        <w:t>. The rinsed coverslips were then</w:t>
      </w:r>
      <w:r w:rsidRPr="00FC24B8">
        <w:t xml:space="preserve"> functionalized with amine groups</w:t>
      </w:r>
      <w:r>
        <w:t>. This was achieved by incubating slides in</w:t>
      </w:r>
      <w:r w:rsidRPr="00FC24B8">
        <w:t xml:space="preserve"> 3% (</w:t>
      </w:r>
      <w:r w:rsidRPr="00FD34A2">
        <w:rPr>
          <w:i/>
          <w:iCs/>
        </w:rPr>
        <w:t>v/v</w:t>
      </w:r>
      <w:r w:rsidRPr="00FC24B8">
        <w:t>) (3-aminopropyl)triethoxysilane in ethanol for one hour</w:t>
      </w:r>
      <w:r>
        <w:t>. Next, the slides were</w:t>
      </w:r>
      <w:r w:rsidRPr="00FC24B8">
        <w:t xml:space="preserve"> washed three times with ethanol, baked in a</w:t>
      </w:r>
      <w:r>
        <w:t xml:space="preserve">n </w:t>
      </w:r>
      <w:r w:rsidRPr="00FC24B8">
        <w:t>oven</w:t>
      </w:r>
      <w:r>
        <w:t xml:space="preserve"> at </w:t>
      </w:r>
      <w:r w:rsidRPr="00FC24B8">
        <w:t xml:space="preserve">100 ˚C for 20 </w:t>
      </w:r>
      <w:r>
        <w:t>min</w:t>
      </w:r>
      <w:r w:rsidRPr="00FC24B8">
        <w:t>,</w:t>
      </w:r>
      <w:r>
        <w:t xml:space="preserve"> and</w:t>
      </w:r>
      <w:r w:rsidRPr="00FC24B8">
        <w:t xml:space="preserve"> then washed 3 times with ethanol</w:t>
      </w:r>
      <w:r>
        <w:t>. The slides were then</w:t>
      </w:r>
      <w:r w:rsidRPr="00FC24B8">
        <w:t xml:space="preserve"> baked in a 100 ˚C oven</w:t>
      </w:r>
      <w:r>
        <w:t xml:space="preserve"> (again)</w:t>
      </w:r>
      <w:r w:rsidRPr="00FC24B8">
        <w:t xml:space="preserve"> for 20 </w:t>
      </w:r>
      <w:r>
        <w:t>min. A</w:t>
      </w:r>
      <w:r w:rsidRPr="00FC24B8">
        <w:t xml:space="preserve"> solution of 2 mg/ml Biotin-NHS in anhydrous DMSO</w:t>
      </w:r>
      <w:r>
        <w:t xml:space="preserve"> was then placed onto the dried slides, which were then</w:t>
      </w:r>
      <w:r w:rsidRPr="00FC24B8">
        <w:t xml:space="preserve"> sealed with parafilm in plastic petri dishes and stored at room temperature for 12 hours</w:t>
      </w:r>
      <w:r>
        <w:t xml:space="preserve"> or longer</w:t>
      </w:r>
      <w:r w:rsidRPr="00FC24B8">
        <w:t xml:space="preserve">. </w:t>
      </w:r>
      <w:r>
        <w:t>These s</w:t>
      </w:r>
      <w:r w:rsidRPr="00FC24B8">
        <w:t>urfaces were</w:t>
      </w:r>
      <w:r>
        <w:t xml:space="preserve"> then</w:t>
      </w:r>
      <w:r w:rsidRPr="00FC24B8">
        <w:t xml:space="preserve"> used within two weeks of</w:t>
      </w:r>
      <w:r>
        <w:t xml:space="preserve"> preparation</w:t>
      </w:r>
      <w:r w:rsidRPr="00FC24B8">
        <w:t>. On the day of use, the biotinylated coverslips were sonicated</w:t>
      </w:r>
      <w:r>
        <w:t xml:space="preserve"> in </w:t>
      </w:r>
      <w:r w:rsidR="004D33E3">
        <w:t>ethanol</w:t>
      </w:r>
      <w:r w:rsidRPr="00FC24B8">
        <w:t xml:space="preserve"> for 1</w:t>
      </w:r>
      <w:r w:rsidR="004D33E3">
        <w:t>5</w:t>
      </w:r>
      <w:r w:rsidRPr="00FC24B8">
        <w:t xml:space="preserve"> </w:t>
      </w:r>
      <w:r w:rsidR="004D33E3">
        <w:t>seconds,</w:t>
      </w:r>
      <w:r>
        <w:t xml:space="preserve"> rinsed </w:t>
      </w:r>
      <w:r w:rsidRPr="00FC24B8">
        <w:t>with ethanol,</w:t>
      </w:r>
      <w:r>
        <w:t xml:space="preserve"> and</w:t>
      </w:r>
      <w:r w:rsidRPr="00FC24B8">
        <w:t xml:space="preserve"> dried with </w:t>
      </w:r>
      <w:r>
        <w:t>N</w:t>
      </w:r>
      <w:r w:rsidRPr="00A02A8C">
        <w:rPr>
          <w:vertAlign w:val="subscript"/>
        </w:rPr>
        <w:t>2</w:t>
      </w:r>
      <w:r>
        <w:t>. Round slides were then mounted into round imaging chambers (</w:t>
      </w:r>
      <w:r w:rsidR="00230421">
        <w:t xml:space="preserve">product #: </w:t>
      </w:r>
      <w:r w:rsidR="00230421" w:rsidRPr="00230421">
        <w:t>A7816</w:t>
      </w:r>
      <w:r w:rsidR="00230421">
        <w:t xml:space="preserve">, ThermoFisher, </w:t>
      </w:r>
      <w:r w:rsidR="00230421" w:rsidRPr="00230421">
        <w:t>Waltham, M</w:t>
      </w:r>
      <w:r w:rsidR="00230421">
        <w:t>assachusetts</w:t>
      </w:r>
      <w:r>
        <w:t xml:space="preserve">) and </w:t>
      </w:r>
      <w:r w:rsidR="00230421">
        <w:t>immediately</w:t>
      </w:r>
      <w:r>
        <w:t xml:space="preserve"> immersed in 1xPBS. Rectangular slides were attached to Ibidi stick</w:t>
      </w:r>
      <w:r w:rsidR="004D33E3">
        <w:t>y</w:t>
      </w:r>
      <w:r>
        <w:t xml:space="preserve"> slides (</w:t>
      </w:r>
      <w:r w:rsidR="00230421" w:rsidRPr="00FC24B8">
        <w:t xml:space="preserve">product #: </w:t>
      </w:r>
      <w:r w:rsidR="00230421">
        <w:t>80606, Ibidi, Verona, Wisconsin</w:t>
      </w:r>
      <w:r>
        <w:t xml:space="preserve">), and each of the six wells were immediately immersed in 1x </w:t>
      </w:r>
      <w:r w:rsidRPr="00FC24B8">
        <w:t>PBS.</w:t>
      </w:r>
      <w:r>
        <w:t xml:space="preserve"> Next, t</w:t>
      </w:r>
      <w:r w:rsidRPr="00FC24B8">
        <w:t xml:space="preserve">he </w:t>
      </w:r>
      <w:r>
        <w:t>mounted</w:t>
      </w:r>
      <w:r w:rsidRPr="00FC24B8">
        <w:t xml:space="preserve"> surfaces were </w:t>
      </w:r>
      <w:r>
        <w:t>rinsed</w:t>
      </w:r>
      <w:r w:rsidRPr="00FC24B8">
        <w:t xml:space="preserve"> 5 </w:t>
      </w:r>
      <w:r>
        <w:t>times with 1x</w:t>
      </w:r>
      <w:r w:rsidRPr="00FC24B8">
        <w:t>PBS, passivated</w:t>
      </w:r>
      <w:r>
        <w:t xml:space="preserve"> for </w:t>
      </w:r>
      <w:r w:rsidRPr="00FC24B8">
        <w:t xml:space="preserve">45 </w:t>
      </w:r>
      <w:r>
        <w:t>min</w:t>
      </w:r>
      <w:r w:rsidRPr="00FC24B8">
        <w:t xml:space="preserve"> with a solution of 1 mg/ml BSA </w:t>
      </w:r>
      <w:r>
        <w:t>i</w:t>
      </w:r>
      <w:r w:rsidRPr="00FC24B8">
        <w:t>n</w:t>
      </w:r>
      <w:r>
        <w:t xml:space="preserve"> 1x</w:t>
      </w:r>
      <w:r w:rsidRPr="00FC24B8">
        <w:t xml:space="preserve">PBS, washed again with </w:t>
      </w:r>
      <w:r>
        <w:t>1x</w:t>
      </w:r>
      <w:r w:rsidRPr="00FC24B8">
        <w:t>PBS, incubated in 0.05 mg/m</w:t>
      </w:r>
      <w:r>
        <w:t>L</w:t>
      </w:r>
      <w:r w:rsidRPr="00FC24B8">
        <w:t xml:space="preserve"> streptavidin in </w:t>
      </w:r>
      <w:r>
        <w:t>1x</w:t>
      </w:r>
      <w:r w:rsidRPr="00FC24B8">
        <w:t>PBS for 1 h</w:t>
      </w:r>
      <w:r>
        <w:t xml:space="preserve">r, and </w:t>
      </w:r>
      <w:r w:rsidRPr="00FC24B8">
        <w:t xml:space="preserve">washed </w:t>
      </w:r>
      <w:r>
        <w:t>once more</w:t>
      </w:r>
      <w:r w:rsidRPr="00FC24B8">
        <w:t xml:space="preserve"> with </w:t>
      </w:r>
      <w:r>
        <w:t>1x</w:t>
      </w:r>
      <w:r w:rsidRPr="00FC24B8">
        <w:t>PBS</w:t>
      </w:r>
      <w:r>
        <w:t>. Finally, the streptavidin-functionalized surfaces were</w:t>
      </w:r>
      <w:r w:rsidRPr="00FC24B8">
        <w:t xml:space="preserve"> incubated </w:t>
      </w:r>
      <w:r>
        <w:t>with</w:t>
      </w:r>
      <w:r w:rsidRPr="00FC24B8">
        <w:t xml:space="preserve"> 20 nM hybridized </w:t>
      </w:r>
      <w:r>
        <w:t>DNA hairpin probes in 1xPBS</w:t>
      </w:r>
      <w:r w:rsidRPr="00FC24B8">
        <w:t xml:space="preserve"> for 1 h</w:t>
      </w:r>
      <w:r>
        <w:t>r</w:t>
      </w:r>
      <w:r w:rsidRPr="00FC24B8">
        <w:t xml:space="preserve">, washed again with </w:t>
      </w:r>
      <w:r>
        <w:t>1x</w:t>
      </w:r>
      <w:r w:rsidRPr="00FC24B8">
        <w:t>PBS,</w:t>
      </w:r>
      <w:r>
        <w:t xml:space="preserve"> and</w:t>
      </w:r>
      <w:r w:rsidRPr="00FC24B8">
        <w:t xml:space="preserve"> washed with 3 volumes of imaging buffer</w:t>
      </w:r>
      <w:r>
        <w:t>. Cells were then plated onto the surfaces for imaging</w:t>
      </w:r>
      <w:r w:rsidRPr="00FC24B8">
        <w:t xml:space="preserve">. </w:t>
      </w:r>
    </w:p>
    <w:p w14:paraId="315C7D5E" w14:textId="77777777" w:rsidR="007017B4" w:rsidRPr="00FC24B8" w:rsidRDefault="007017B4" w:rsidP="007017B4">
      <w:pPr>
        <w:pStyle w:val="Heading2"/>
      </w:pPr>
      <w:bookmarkStart w:id="18" w:name="_Toc47832196"/>
      <w:bookmarkStart w:id="19" w:name="_Toc47832251"/>
      <w:bookmarkStart w:id="20" w:name="_Toc51022527"/>
      <w:r w:rsidRPr="00FC24B8">
        <w:t>DNA strand hybridization</w:t>
      </w:r>
      <w:bookmarkEnd w:id="18"/>
      <w:bookmarkEnd w:id="19"/>
      <w:bookmarkEnd w:id="20"/>
    </w:p>
    <w:p w14:paraId="44423E8A" w14:textId="67EB7350" w:rsidR="007017B4" w:rsidRDefault="007017B4" w:rsidP="007017B4">
      <w:r w:rsidRPr="00FC24B8">
        <w:t>Modified DNA oligonucleotides were</w:t>
      </w:r>
      <w:r>
        <w:t xml:space="preserve"> hybridized together at concentrations of</w:t>
      </w:r>
      <w:r w:rsidRPr="00FC24B8">
        <w:t xml:space="preserve"> 200 nM</w:t>
      </w:r>
      <w:r>
        <w:t xml:space="preserve"> (for the hairpin strand) and 220 nM (for two handle strands)</w:t>
      </w:r>
      <w:r w:rsidRPr="00FC24B8">
        <w:t xml:space="preserve"> in </w:t>
      </w:r>
      <w:r>
        <w:t>1x</w:t>
      </w:r>
      <w:r w:rsidRPr="00FC24B8">
        <w:t>PBS</w:t>
      </w:r>
      <w:r>
        <w:t>, representing</w:t>
      </w:r>
      <w:r w:rsidRPr="00FC24B8">
        <w:t xml:space="preserve"> a molar ratio of 1.1:1.0:1.1 </w:t>
      </w:r>
      <w:r>
        <w:t>anchor</w:t>
      </w:r>
      <w:r w:rsidRPr="00FC24B8">
        <w:t>-strand/hairpin-strand/</w:t>
      </w:r>
      <w:r>
        <w:t>ligand</w:t>
      </w:r>
      <w:r w:rsidRPr="00FC24B8">
        <w:t>-strand.</w:t>
      </w:r>
      <w:r w:rsidR="00FD34A2">
        <w:t xml:space="preserve"> Strand sequences, which were purchased from integrated DNA technologies (Coralville, Iowa) are shown in Table S1.</w:t>
      </w:r>
      <w:r w:rsidRPr="00FC24B8">
        <w:t xml:space="preserve"> Annealing was carried out by heating to </w:t>
      </w:r>
      <w:r w:rsidR="00DE21A3">
        <w:t>9</w:t>
      </w:r>
      <w:r w:rsidR="00DE21A3" w:rsidRPr="00FC24B8">
        <w:t>5˚C</w:t>
      </w:r>
      <w:r w:rsidRPr="00FC24B8">
        <w:t>, then cool</w:t>
      </w:r>
      <w:r>
        <w:t xml:space="preserve">ing </w:t>
      </w:r>
      <w:r w:rsidRPr="00FC24B8">
        <w:t>to 25 ˚C at a rate of 1.3 ˚C</w:t>
      </w:r>
      <w:r>
        <w:t>/min</w:t>
      </w:r>
      <w:r w:rsidRPr="00FC24B8">
        <w:t xml:space="preserve"> in a Perkin-Elmer GeneAmp 2400 ® thermocycler. </w:t>
      </w:r>
      <w:r>
        <w:t>Annealed probes</w:t>
      </w:r>
      <w:r w:rsidRPr="00FC24B8">
        <w:t xml:space="preserve"> were diluted in </w:t>
      </w:r>
      <w:r>
        <w:t>1x</w:t>
      </w:r>
      <w:r w:rsidRPr="00FC24B8">
        <w:t>PBS before</w:t>
      </w:r>
      <w:r>
        <w:t xml:space="preserve"> being</w:t>
      </w:r>
      <w:r w:rsidRPr="00FC24B8">
        <w:t xml:space="preserve"> add</w:t>
      </w:r>
      <w:r>
        <w:t>ed</w:t>
      </w:r>
      <w:r w:rsidRPr="00FC24B8">
        <w:t xml:space="preserve"> to streptavidin</w:t>
      </w:r>
      <w:r>
        <w:t>-</w:t>
      </w:r>
      <w:r w:rsidRPr="00FC24B8">
        <w:t xml:space="preserve">functionalized surfaces. </w:t>
      </w:r>
    </w:p>
    <w:p w14:paraId="3C66013C" w14:textId="01CC8D71" w:rsidR="007017B4" w:rsidRDefault="007017B4" w:rsidP="007017B4">
      <w:pPr>
        <w:pStyle w:val="Heading2"/>
      </w:pPr>
      <w:bookmarkStart w:id="21" w:name="_Toc47832197"/>
      <w:bookmarkStart w:id="22" w:name="_Toc47832252"/>
      <w:bookmarkStart w:id="23" w:name="_Toc51022528"/>
      <w:r>
        <w:t>Structured illumination microscopy</w:t>
      </w:r>
      <w:bookmarkEnd w:id="21"/>
      <w:bookmarkEnd w:id="22"/>
      <w:r w:rsidR="00FD34A2">
        <w:t xml:space="preserve"> (SIM)</w:t>
      </w:r>
      <w:bookmarkEnd w:id="23"/>
    </w:p>
    <w:p w14:paraId="0491EB05" w14:textId="20EBC9EB" w:rsidR="007017B4" w:rsidRDefault="007017B4" w:rsidP="007017B4">
      <w:r>
        <w:t>SIM images were acquired on a Nikon N-SIM system equipped with a CFI Apo ×100 1.49 NA objective</w:t>
      </w:r>
      <w:r w:rsidR="00560970">
        <w:t xml:space="preserve">, </w:t>
      </w:r>
      <w:r>
        <w:t>an Andor iXon EMCCD (60 nm per pixel</w:t>
      </w:r>
      <w:r w:rsidR="00560970">
        <w:t xml:space="preserve"> - </w:t>
      </w:r>
      <w:r w:rsidR="00560970" w:rsidRPr="00560970">
        <w:t>DU-897, Andor Technology, UK</w:t>
      </w:r>
      <w:r>
        <w:t>)</w:t>
      </w:r>
      <w:r w:rsidR="00560970">
        <w:t>, and 488 nm and 561 nm solid-state lasers</w:t>
      </w:r>
      <w:r>
        <w:t>.</w:t>
      </w:r>
      <w:r w:rsidR="00560970">
        <w:t xml:space="preserve"> Cells were generally </w:t>
      </w:r>
      <w:r w:rsidR="009F4D3A">
        <w:t>identified</w:t>
      </w:r>
      <w:r w:rsidR="00560970">
        <w:t xml:space="preserve"> using low laser</w:t>
      </w:r>
      <w:r w:rsidR="009F4D3A">
        <w:t xml:space="preserve"> illumination</w:t>
      </w:r>
      <w:r w:rsidR="00560970">
        <w:t xml:space="preserve"> power</w:t>
      </w:r>
      <w:r w:rsidR="009F4D3A">
        <w:t xml:space="preserve"> to avoid photobleaching. B</w:t>
      </w:r>
      <w:r w:rsidR="00560970">
        <w:t>efore each image the focus was manually adjusted until the strip</w:t>
      </w:r>
      <w:r w:rsidR="009F4D3A">
        <w:t>e</w:t>
      </w:r>
      <w:r w:rsidR="00560970">
        <w:t xml:space="preserve"> pattern</w:t>
      </w:r>
      <w:r w:rsidR="00867275">
        <w:t xml:space="preserve"> of the illumination profile</w:t>
      </w:r>
      <w:r w:rsidR="00560970">
        <w:t xml:space="preserve"> could be clearly </w:t>
      </w:r>
      <w:r w:rsidR="009F4D3A">
        <w:t>observed</w:t>
      </w:r>
      <w:r w:rsidR="00560970">
        <w:t xml:space="preserve"> </w:t>
      </w:r>
      <w:r w:rsidR="00867275">
        <w:t>in</w:t>
      </w:r>
      <w:r w:rsidR="00560970">
        <w:t xml:space="preserve"> the fluorescent background.</w:t>
      </w:r>
      <w:r>
        <w:t xml:space="preserve"> For each N-SIM image, fifteen</w:t>
      </w:r>
      <w:r w:rsidR="00BD3A6D">
        <w:t xml:space="preserve"> or</w:t>
      </w:r>
      <w:r w:rsidR="009F4D3A">
        <w:t xml:space="preserve"> nine</w:t>
      </w:r>
      <w:r>
        <w:t xml:space="preserve"> images of a sample were acquired in different phases</w:t>
      </w:r>
      <w:r w:rsidR="00BD3A6D">
        <w:t xml:space="preserve"> (via the built-in 3D SIM and 2D SIM modes, respectively)</w:t>
      </w:r>
      <w:r>
        <w:t>.</w:t>
      </w:r>
      <w:r w:rsidR="00D76785">
        <w:t xml:space="preserve"> For timelapse imaging, the Nikon Elements software “ND acquisition” feature was used to save several platelet-containing locations on the surface and then initiate a long multipoint timelapse. We found that</w:t>
      </w:r>
      <w:r w:rsidR="00653BF5">
        <w:t>, while there was some xy-drift,</w:t>
      </w:r>
      <w:r w:rsidR="00D76785">
        <w:t xml:space="preserve"> the </w:t>
      </w:r>
      <w:r w:rsidR="00653BF5">
        <w:t>z-</w:t>
      </w:r>
      <w:r w:rsidR="00D76785">
        <w:t xml:space="preserve">focus of all </w:t>
      </w:r>
      <w:r w:rsidR="00BD3A6D">
        <w:t>locations</w:t>
      </w:r>
      <w:r w:rsidR="00D76785">
        <w:t xml:space="preserve"> </w:t>
      </w:r>
      <w:r w:rsidR="00653BF5">
        <w:t>was generally</w:t>
      </w:r>
      <w:r w:rsidR="00D76785">
        <w:t xml:space="preserve"> preserved for </w:t>
      </w:r>
      <w:r w:rsidR="00653BF5">
        <w:t>the full duration of t</w:t>
      </w:r>
      <w:r w:rsidR="00D76785">
        <w:t>hese acquisitions.</w:t>
      </w:r>
    </w:p>
    <w:p w14:paraId="58FE55D5" w14:textId="1D4378FC" w:rsidR="00FC0BF1" w:rsidRPr="00FC0BF1" w:rsidRDefault="000D7D70" w:rsidP="00FC0BF1">
      <w:pPr>
        <w:pStyle w:val="Heading2"/>
      </w:pPr>
      <w:bookmarkStart w:id="24" w:name="_Toc47832198"/>
      <w:bookmarkStart w:id="25" w:name="_Toc47832253"/>
      <w:bookmarkStart w:id="26" w:name="_Toc51022529"/>
      <w:r>
        <w:t>Standard</w:t>
      </w:r>
      <w:r w:rsidR="00FC0BF1">
        <w:t xml:space="preserve"> resolution i</w:t>
      </w:r>
      <w:r w:rsidR="00FC0BF1" w:rsidRPr="00FC0BF1">
        <w:t>mage processing</w:t>
      </w:r>
      <w:bookmarkEnd w:id="24"/>
      <w:bookmarkEnd w:id="25"/>
      <w:bookmarkEnd w:id="26"/>
      <w:r w:rsidR="00FC0BF1">
        <w:t xml:space="preserve"> </w:t>
      </w:r>
    </w:p>
    <w:p w14:paraId="7BE9C234" w14:textId="253D89FC" w:rsidR="00FC0BF1" w:rsidRDefault="00FC0BF1" w:rsidP="00FC0BF1">
      <w:pPr>
        <w:ind w:firstLine="0"/>
      </w:pPr>
      <w:r>
        <w:t xml:space="preserve">Raw </w:t>
      </w:r>
      <w:r w:rsidR="00BD3A6D">
        <w:t>.</w:t>
      </w:r>
      <w:r>
        <w:t>nd2 Files from SIM acquisitions were opened in MATLAB 2018b using the bfopen MATLAB function (Bioformats package</w:t>
      </w:r>
      <w:r w:rsidR="00171AB3">
        <w:fldChar w:fldCharType="begin"/>
      </w:r>
      <w:r w:rsidR="00B67140">
        <w:instrText xml:space="preserve"> ADDIN EN.CITE &lt;EndNote&gt;&lt;Cite&gt;&lt;Author&gt;Linkert&lt;/Author&gt;&lt;Year&gt;2010&lt;/Year&gt;&lt;RecNum&gt;423&lt;/RecNum&gt;&lt;DisplayText&gt;&lt;style face="superscript"&gt;2&lt;/style&gt;&lt;/DisplayText&gt;&lt;record&gt;&lt;rec-number&gt;423&lt;/rec-number&gt;&lt;foreign-keys&gt;&lt;key app="EN" db-id="pp0zrzdw6s9vz3eza5fvff2fzdat0vpaeet5" timestamp="1599062897"&gt;423&lt;/key&gt;&lt;/foreign-keys&gt;&lt;ref-type name="Journal Article"&gt;17&lt;/ref-type&gt;&lt;contributors&gt;&lt;authors&gt;&lt;author&gt;Linkert, Melissa&lt;/author&gt;&lt;author&gt;Rueden, Curtis T.&lt;/author&gt;&lt;author&gt;Allan, Chris&lt;/author&gt;&lt;author&gt;Burel, Jean-Marie&lt;/author&gt;&lt;author&gt;Moore, Will&lt;/author&gt;&lt;author&gt;Patterson, Andrew&lt;/author&gt;&lt;author&gt;Loranger, Brian&lt;/author&gt;&lt;author&gt;Moore, Josh&lt;/author&gt;&lt;author&gt;Neves, Carlos&lt;/author&gt;&lt;author&gt;MacDonald, Donald&lt;/author&gt;&lt;author&gt;Tarkowska, Aleksandra&lt;/author&gt;&lt;author&gt;Sticco, Caitlin&lt;/author&gt;&lt;author&gt;Hill, Emma&lt;/author&gt;&lt;author&gt;Rossner, Mike&lt;/author&gt;&lt;author&gt;Eliceiri, Kevin W.&lt;/author&gt;&lt;author&gt;Swedlow, Jason R.&lt;/author&gt;&lt;/authors&gt;&lt;/contributors&gt;&lt;titles&gt;&lt;title&gt;Metadata matters: access to image data in the real world&lt;/title&gt;&lt;secondary-title&gt;Journal of Cell Biology&lt;/secondary-title&gt;&lt;/titles&gt;&lt;periodical&gt;&lt;full-title&gt;Journal of Cell Biology&lt;/full-title&gt;&lt;abbr-1&gt;J. Cell Biol.&lt;/abbr-1&gt;&lt;abbr-2&gt;J Cell Biol&lt;/abbr-2&gt;&lt;/periodical&gt;&lt;pages&gt;777-782&lt;/pages&gt;&lt;volume&gt;189&lt;/volume&gt;&lt;number&gt;5&lt;/number&gt;&lt;dates&gt;&lt;year&gt;2010&lt;/year&gt;&lt;/dates&gt;&lt;isbn&gt;0021-9525&lt;/isbn&gt;&lt;urls&gt;&lt;related-urls&gt;&lt;url&gt;https://doi.org/10.1083/jcb.201004104&lt;/url&gt;&lt;/related-urls&gt;&lt;/urls&gt;&lt;electronic-resource-num&gt;10.1083/jcb.201004104 %J Journal of Cell Biology&lt;/electronic-resource-num&gt;&lt;access-date&gt;9/2/2020&lt;/access-date&gt;&lt;/record&gt;&lt;/Cite&gt;&lt;/EndNote&gt;</w:instrText>
      </w:r>
      <w:r w:rsidR="00171AB3">
        <w:fldChar w:fldCharType="separate"/>
      </w:r>
      <w:r w:rsidR="00B67140" w:rsidRPr="00B67140">
        <w:rPr>
          <w:noProof/>
          <w:vertAlign w:val="superscript"/>
        </w:rPr>
        <w:t>2</w:t>
      </w:r>
      <w:r w:rsidR="00171AB3">
        <w:fldChar w:fldCharType="end"/>
      </w:r>
      <w:r>
        <w:t xml:space="preserve">). Raw images were originally in a 3x5 montage form, wherein the 15 images </w:t>
      </w:r>
      <w:r>
        <w:lastRenderedPageBreak/>
        <w:t>that make up a single acquisition are concatenated directly together. Reconstruction was only performed on 3D SIM acquisitions, which exhibited clearer striping patterns than 2D SIM on our microscope. Each raw montage was loaded into MATLAB, and the CCD background of 200 intensity units was subtracted from it. The background-subtracted montage was then divided by a background correction montage to account for intensity variations between and within individual images (see below).</w:t>
      </w:r>
      <w:r w:rsidRPr="00FC0BF1">
        <w:t xml:space="preserve"> </w:t>
      </w:r>
      <w:r>
        <w:t>Finally, the 1</w:t>
      </w:r>
      <w:r w:rsidR="00171AB3" w:rsidRPr="00171AB3">
        <w:rPr>
          <w:vertAlign w:val="superscript"/>
        </w:rPr>
        <w:t>st</w:t>
      </w:r>
      <w:r w:rsidR="00171AB3">
        <w:t xml:space="preserve"> percentile</w:t>
      </w:r>
      <w:r>
        <w:t xml:space="preserve"> of the montage (calculated using MATLAB’s quantile function) was subtracted from the entire montage, and</w:t>
      </w:r>
      <w:r w:rsidR="000D7D70">
        <w:t xml:space="preserve"> all</w:t>
      </w:r>
      <w:r>
        <w:t xml:space="preserve"> negative values were set to zero.</w:t>
      </w:r>
      <w:r w:rsidR="00560970">
        <w:t xml:space="preserve"> (This previous step was</w:t>
      </w:r>
      <w:r w:rsidR="00BD3A6D">
        <w:t xml:space="preserve"> skipped</w:t>
      </w:r>
      <w:r w:rsidR="00867275">
        <w:t xml:space="preserve"> when processing timelapses and during</w:t>
      </w:r>
      <w:r w:rsidR="00560970">
        <w:t xml:space="preserve"> the photobleaching analysis discussed in Fig. S10).</w:t>
      </w:r>
      <w:r>
        <w:t xml:space="preserve"> This background-corrected montage was then saved into a text file for subsequent super</w:t>
      </w:r>
      <w:r w:rsidR="009F4D3A">
        <w:t>-</w:t>
      </w:r>
      <w:r>
        <w:t>resolution image processing</w:t>
      </w:r>
      <w:r w:rsidR="000D7D70">
        <w:t xml:space="preserve"> </w:t>
      </w:r>
      <w:r w:rsidR="001639BB">
        <w:t>(</w:t>
      </w:r>
      <w:r w:rsidR="000D7D70">
        <w:t xml:space="preserve">see </w:t>
      </w:r>
      <w:r w:rsidR="000D7D70" w:rsidRPr="000D7D70">
        <w:rPr>
          <w:b/>
          <w:bCs/>
        </w:rPr>
        <w:t>Super</w:t>
      </w:r>
      <w:r w:rsidR="009F4D3A">
        <w:rPr>
          <w:b/>
          <w:bCs/>
        </w:rPr>
        <w:t>-</w:t>
      </w:r>
      <w:r w:rsidR="000D7D70" w:rsidRPr="000D7D70">
        <w:rPr>
          <w:b/>
          <w:bCs/>
        </w:rPr>
        <w:t>resolution image processing</w:t>
      </w:r>
      <w:r w:rsidR="000D7D70">
        <w:t xml:space="preserve"> below)</w:t>
      </w:r>
      <w:r>
        <w:t>.</w:t>
      </w:r>
      <w:r w:rsidR="000D7D70">
        <w:t xml:space="preserve"> Next, the montage was split into 15 individual images. Each set of five images acquired at a common polarization angle was then averaged, resulting in three images – one corresponding to each of the three polarization angles (</w:t>
      </w:r>
      <m:oMath>
        <m:sSub>
          <m:sSubPr>
            <m:ctrlPr>
              <w:rPr>
                <w:rFonts w:ascii="Cambria Math" w:hAnsi="Cambria Math"/>
                <w:i/>
              </w:rPr>
            </m:ctrlPr>
          </m:sSubPr>
          <m:e>
            <m:r>
              <w:rPr>
                <w:rFonts w:ascii="Cambria Math" w:hAnsi="Cambria Math"/>
              </w:rPr>
              <m:t>α</m:t>
            </m:r>
          </m:e>
          <m:sub>
            <m:r>
              <w:rPr>
                <w:rFonts w:ascii="Cambria Math" w:hAnsi="Cambria Math"/>
              </w:rPr>
              <m:t>1</m:t>
            </m:r>
          </m:sub>
        </m:sSub>
      </m:oMath>
      <w:r w:rsidR="000D7D70">
        <w:t xml:space="preserve">,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000D7D70">
        <w:t xml:space="preserve">, and </w:t>
      </w:r>
      <m:oMath>
        <m:sSub>
          <m:sSubPr>
            <m:ctrlPr>
              <w:rPr>
                <w:rFonts w:ascii="Cambria Math" w:hAnsi="Cambria Math"/>
                <w:i/>
              </w:rPr>
            </m:ctrlPr>
          </m:sSubPr>
          <m:e>
            <m:r>
              <w:rPr>
                <w:rFonts w:ascii="Cambria Math" w:hAnsi="Cambria Math"/>
              </w:rPr>
              <m:t>α</m:t>
            </m:r>
          </m:e>
          <m:sub>
            <m:r>
              <w:rPr>
                <w:rFonts w:ascii="Cambria Math" w:hAnsi="Cambria Math"/>
              </w:rPr>
              <m:t>3</m:t>
            </m:r>
          </m:sub>
        </m:sSub>
      </m:oMath>
      <w:r w:rsidR="000D7D70">
        <w:t xml:space="preserve">). These three images were then used to calculate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rsidR="000D7D70">
        <w:t xml:space="preserve">, </w:t>
      </w:r>
      <m:oMath>
        <m:r>
          <w:rPr>
            <w:rFonts w:ascii="Cambria Math" w:hAnsi="Cambria Math"/>
          </w:rPr>
          <m:t>ϕ</m:t>
        </m:r>
      </m:oMath>
      <w:r w:rsidR="000D7D70">
        <w:t xml:space="preserve">, and </w:t>
      </w:r>
      <m:oMath>
        <m:r>
          <w:rPr>
            <w:rFonts w:ascii="Cambria Math" w:hAnsi="Cambria Math"/>
          </w:rPr>
          <m:t>θ</m:t>
        </m:r>
      </m:oMath>
      <w:r w:rsidR="000D7D70">
        <w:t xml:space="preserve"> using equations </w:t>
      </w:r>
      <w:r w:rsidR="00171AB3">
        <w:t>6-7 in the main text</w:t>
      </w:r>
      <w:r w:rsidR="000D7D70">
        <w:t>.</w:t>
      </w:r>
    </w:p>
    <w:p w14:paraId="59E8BB6E" w14:textId="03EA42AF" w:rsidR="00FC0BF1" w:rsidRDefault="00FC0BF1" w:rsidP="00FC0BF1">
      <w:pPr>
        <w:pStyle w:val="Heading2"/>
      </w:pPr>
      <w:bookmarkStart w:id="27" w:name="_Toc47832199"/>
      <w:bookmarkStart w:id="28" w:name="_Toc47832254"/>
      <w:bookmarkStart w:id="29" w:name="_Toc51022530"/>
      <w:r>
        <w:t>Preparation of illumination profile correction images</w:t>
      </w:r>
      <w:bookmarkEnd w:id="27"/>
      <w:bookmarkEnd w:id="28"/>
      <w:bookmarkEnd w:id="29"/>
    </w:p>
    <w:p w14:paraId="4074648A" w14:textId="0333858F" w:rsidR="00FC0BF1" w:rsidRDefault="00FC0BF1" w:rsidP="00FC0BF1">
      <w:r>
        <w:t>Background correction images were generated on the day of the experiment by collecting at least six SIM acquisitions with the microscope focused onto the bottom of a Chroma slide or a surface with 100% open tension probes</w:t>
      </w:r>
      <w:r w:rsidR="00DE21A3">
        <w:t xml:space="preserve">, </w:t>
      </w:r>
      <w:r>
        <w:t>which were prepared by adding a “</w:t>
      </w:r>
      <w:r w:rsidR="00E432F8">
        <w:t>opening</w:t>
      </w:r>
      <w:r>
        <w:t xml:space="preserve"> strand”</w:t>
      </w:r>
      <w:r w:rsidR="00E432F8">
        <w:t xml:space="preserve"> (which is complementary to the full hairpin)</w:t>
      </w:r>
      <w:r>
        <w:t xml:space="preserve"> during the DNA strand hybridization step. Each acquisition produced a 3x5 montage of images. All montages were opened into MATLAB, baseline (200 a.u.) subtracted, and smoothed with a rolling ball filter (using MATLAB’s imfilter command) with a 3-pixel radius. The filtered montages were then averaged together. Finally, the montage was normalized to the mean value of the entire montage. This process was repeated each time an experiment was performed.</w:t>
      </w:r>
    </w:p>
    <w:p w14:paraId="285EDA21" w14:textId="559074B5" w:rsidR="001B7D6F" w:rsidRPr="001B7D6F" w:rsidRDefault="0099560C" w:rsidP="001B7D6F">
      <w:pPr>
        <w:pStyle w:val="Heading2"/>
      </w:pPr>
      <w:bookmarkStart w:id="30" w:name="_Toc47832200"/>
      <w:bookmarkStart w:id="31" w:name="_Toc47832255"/>
      <w:bookmarkStart w:id="32" w:name="_Toc51022531"/>
      <w:r>
        <w:t>Super</w:t>
      </w:r>
      <w:r w:rsidR="009F4D3A">
        <w:t>-</w:t>
      </w:r>
      <w:r>
        <w:t>resolution i</w:t>
      </w:r>
      <w:r w:rsidR="001B7D6F" w:rsidRPr="001B7D6F">
        <w:t>mage processing</w:t>
      </w:r>
      <w:bookmarkEnd w:id="30"/>
      <w:bookmarkEnd w:id="31"/>
      <w:bookmarkEnd w:id="32"/>
    </w:p>
    <w:p w14:paraId="567AD062" w14:textId="4133B777" w:rsidR="00AB2987" w:rsidRDefault="00FC0BF1" w:rsidP="000D7D70">
      <w:pPr>
        <w:spacing w:line="259" w:lineRule="auto"/>
      </w:pPr>
      <w:r>
        <w:t>Background-corrected montages</w:t>
      </w:r>
      <w:r w:rsidR="000D7D70">
        <w:t xml:space="preserve"> (see </w:t>
      </w:r>
      <w:r w:rsidR="000D7D70" w:rsidRPr="000D7D70">
        <w:rPr>
          <w:b/>
          <w:bCs/>
        </w:rPr>
        <w:t>Standard resolution image processing</w:t>
      </w:r>
      <w:r w:rsidR="000D7D70" w:rsidRPr="000D7D70">
        <w:t xml:space="preserve"> above</w:t>
      </w:r>
      <w:r w:rsidR="000D7D70">
        <w:t>)</w:t>
      </w:r>
      <w:r>
        <w:t xml:space="preserve"> were </w:t>
      </w:r>
      <w:r w:rsidR="00497DBB">
        <w:t>opened in</w:t>
      </w:r>
      <w:r w:rsidR="001B7D6F">
        <w:t xml:space="preserve"> Fiji </w:t>
      </w:r>
      <w:r w:rsidR="000D7D70">
        <w:t>– a</w:t>
      </w:r>
      <w:r w:rsidR="001B7D6F">
        <w:t xml:space="preserve"> </w:t>
      </w:r>
      <w:r w:rsidR="000D7D70">
        <w:t>version of I</w:t>
      </w:r>
      <w:r w:rsidR="001B7D6F">
        <w:t>mageJ</w:t>
      </w:r>
      <w:r w:rsidR="000D7D70">
        <w:t xml:space="preserve"> that includes several additional built-in</w:t>
      </w:r>
      <w:r w:rsidR="001B7D6F">
        <w:t xml:space="preserve"> plugins</w:t>
      </w:r>
      <w:r w:rsidR="000D7D70">
        <w:t xml:space="preserve"> –</w:t>
      </w:r>
      <w:r w:rsidR="00497DBB">
        <w:t xml:space="preserve"> for SIM reconstruction</w:t>
      </w:r>
      <w:r w:rsidR="001B7D6F">
        <w:t>.</w:t>
      </w:r>
      <w:r w:rsidR="00497DBB">
        <w:t xml:space="preserve"> </w:t>
      </w:r>
      <w:r w:rsidR="00F377F3">
        <w:t>The text file was then imported as a montage into ImageJ (File&gt;Import&gt;Text Image…). The</w:t>
      </w:r>
      <w:r w:rsidR="00F639DC">
        <w:t xml:space="preserve"> montage</w:t>
      </w:r>
      <w:r w:rsidR="001B7D6F">
        <w:t xml:space="preserve"> w</w:t>
      </w:r>
      <w:r w:rsidR="00F639DC">
        <w:t>as</w:t>
      </w:r>
      <w:r w:rsidR="001B7D6F">
        <w:t xml:space="preserve"> then separated</w:t>
      </w:r>
      <w:r w:rsidR="00F639DC">
        <w:t xml:space="preserve"> into an imagestack</w:t>
      </w:r>
      <w:r w:rsidR="001B7D6F">
        <w:t xml:space="preserve"> using ImageJ’s “montage to stack” function (Image&gt;Stacks&gt;Tools&gt;Montage to Stack…). </w:t>
      </w:r>
      <w:r w:rsidR="000D7D70">
        <w:t xml:space="preserve">SIM reconstruction was then performed on the stack using the fairSIM plugin (fairSIM is a separate ImageJ plugin that must be installed separately because it is not included in Fiji). </w:t>
      </w:r>
      <w:r w:rsidR="001B7D6F">
        <w:t xml:space="preserve">A new </w:t>
      </w:r>
      <w:r w:rsidR="000D7D70">
        <w:t xml:space="preserve">fairSIM </w:t>
      </w:r>
      <w:r w:rsidR="001B7D6F">
        <w:t>reconstruction was opened (Plugins&gt;fairSIM&gt;New Reconstruction) with the</w:t>
      </w:r>
      <w:r w:rsidR="00F377F3">
        <w:t xml:space="preserve"> following</w:t>
      </w:r>
      <w:r w:rsidR="001B7D6F">
        <w:t xml:space="preserve"> </w:t>
      </w:r>
      <w:r w:rsidR="00F377F3">
        <w:t>settings: Type/Img.Seq=p,z,a (OMX); beams=3; angles=3; phases=5. The image</w:t>
      </w:r>
      <w:r w:rsidR="00DE21A3">
        <w:t xml:space="preserve"> </w:t>
      </w:r>
      <w:r w:rsidR="00F377F3">
        <w:t xml:space="preserve">stack was then imported into the fairSIM reconstruction with the following settings: Pixel size=41.7 nm (or 83.4 nm if images were acquired with 2x2 binning); background subtraction: no. Next, an </w:t>
      </w:r>
      <w:r w:rsidR="000D7D70">
        <w:t>optical transfer function (</w:t>
      </w:r>
      <w:r w:rsidR="00F377F3">
        <w:t>OTF</w:t>
      </w:r>
      <w:r w:rsidR="000D7D70">
        <w:t>)</w:t>
      </w:r>
      <w:r w:rsidR="00F377F3">
        <w:t xml:space="preserve"> approximation was run using the following settings: NA=1.4; </w:t>
      </w:r>
      <m:oMath>
        <m:r>
          <w:rPr>
            <w:rFonts w:ascii="Cambria Math" w:hAnsi="Cambria Math"/>
          </w:rPr>
          <m:t>λ=561</m:t>
        </m:r>
      </m:oMath>
      <w:r w:rsidR="00F377F3">
        <w:t xml:space="preserve"> (or 488 for GFP); Comp: a=0.30.</w:t>
      </w:r>
    </w:p>
    <w:p w14:paraId="682A5003" w14:textId="1548CF18" w:rsidR="00F639DC" w:rsidRDefault="00F377F3" w:rsidP="000D7D70">
      <w:pPr>
        <w:spacing w:line="259" w:lineRule="auto"/>
      </w:pPr>
      <w:r>
        <w:t>Parameter estimation was then run</w:t>
      </w:r>
      <w:r w:rsidR="00C47CEC">
        <w:t xml:space="preserve"> using an iterative process: First, the default settings were used (Band to use for shift vector est.=2; Region to exclude from fit=0.6) to run parameter estimation. </w:t>
      </w:r>
      <w:r w:rsidR="00AD229B">
        <w:t xml:space="preserve">Following parameter estimation, fairSIM outputs three modulation estimates (mod. est.) in the parameter fit summary. A mod. est. of 1 denotes perfect parameter estimation, while lower numbers denote poorer parameter estimations. If all three mod. est. values were greater than 0.7, then the parameter estimation was used. If not, the parameter estimation settings were adjusted </w:t>
      </w:r>
      <w:r w:rsidR="00ED7236">
        <w:t>and parameter estimation was re-run iteratively</w:t>
      </w:r>
      <w:r w:rsidR="00AD229B">
        <w:t xml:space="preserve">. First, </w:t>
      </w:r>
      <w:r w:rsidR="00ED7236">
        <w:t>“</w:t>
      </w:r>
      <w:r w:rsidR="00AD229B">
        <w:t>Band to use for shift vector</w:t>
      </w:r>
      <w:r w:rsidR="00ED7236">
        <w:t>”</w:t>
      </w:r>
      <w:r w:rsidR="00AD229B">
        <w:t xml:space="preserve"> (which can either be 1 or 2) was changed to 1. Then, Region to exclude from fit (which can be 0.2, 0.3, 0.4, 0.5, 0.6, 0.7, or 0.8) was altered. If </w:t>
      </w:r>
      <w:r w:rsidR="00ED7236">
        <w:t>any of</w:t>
      </w:r>
      <w:r w:rsidR="00AD229B">
        <w:t xml:space="preserve"> the 14 setting combinations </w:t>
      </w:r>
      <w:r w:rsidR="00ED7236">
        <w:t>resulted in all three mod. est. values being greater than 0.7, then the</w:t>
      </w:r>
      <w:r w:rsidR="00AB2987">
        <w:t xml:space="preserve"> parameter estimation was used</w:t>
      </w:r>
      <w:r w:rsidR="001639BB">
        <w:t xml:space="preserve"> for</w:t>
      </w:r>
      <w:r w:rsidR="00AB2987">
        <w:t xml:space="preserve"> </w:t>
      </w:r>
      <w:r w:rsidR="00ED7236">
        <w:t>SIM reconstruction.</w:t>
      </w:r>
      <w:r w:rsidR="00AB2987">
        <w:t xml:space="preserve"> If none of the combinations resulted in all three mod. est. values exceeding 0.3, the dataset was deemed inadequate for super</w:t>
      </w:r>
      <w:r w:rsidR="009F4D3A">
        <w:t>-</w:t>
      </w:r>
      <w:r w:rsidR="00AB2987">
        <w:t>resolution reconstruction. Otherwise the parameter estimation that maximized the minimum of the three mod. est. values was used.</w:t>
      </w:r>
    </w:p>
    <w:p w14:paraId="6D6883C4" w14:textId="3FCDFA93" w:rsidR="001639BB" w:rsidRDefault="00AB2987" w:rsidP="00560970">
      <w:pPr>
        <w:spacing w:line="259" w:lineRule="auto"/>
      </w:pPr>
      <w:r>
        <w:t xml:space="preserve">Reconstruction was then run using the following settings: OTF attenuation=off; Intermediate results=full; Output=raw values; Filter type=Wiener filter; Wiener parameter=0.05; APO cutoff=2; APO </w:t>
      </w:r>
      <w:r>
        <w:lastRenderedPageBreak/>
        <w:t>bend=0.9; RL iterations=5. The reconstruction output includes three stacks of images, one of which is titled “Spatial Images”, which includes 16 images corresponding to various final and intermediate results of the reconstruction. Four of the images in this image stacked were saved as text images (File&gt;Save As&gt;Text Image…): “(a0: band 0)”; “(a1: band 0)”; “(a2: band 0)”; and “(full result)”.</w:t>
      </w:r>
    </w:p>
    <w:p w14:paraId="5C12BDF4" w14:textId="39F7630E" w:rsidR="00D21FDC" w:rsidRPr="00D21FDC" w:rsidRDefault="00D21FDC" w:rsidP="00D21FDC">
      <w:pPr>
        <w:spacing w:line="259" w:lineRule="auto"/>
        <w:ind w:firstLine="0"/>
        <w:rPr>
          <w:b/>
          <w:bCs/>
        </w:rPr>
      </w:pPr>
      <w:r w:rsidRPr="00D21FDC">
        <w:rPr>
          <w:b/>
          <w:bCs/>
        </w:rPr>
        <w:t>Error Simulations</w:t>
      </w:r>
    </w:p>
    <w:p w14:paraId="7041AF01" w14:textId="295438BC" w:rsidR="00D21FDC" w:rsidRDefault="00D21FDC" w:rsidP="00D21FDC">
      <w:r>
        <w:t xml:space="preserve">We adapted a Monte Carlo simulation process described in ref. </w:t>
      </w:r>
      <w:r w:rsidRPr="00BD3A6D">
        <w:fldChar w:fldCharType="begin"/>
      </w:r>
      <w:r w:rsidR="00B67140" w:rsidRPr="00BD3A6D">
        <w:instrText xml:space="preserve"> ADDIN EN.CITE &lt;EndNote&gt;&lt;Cite&gt;&lt;Author&gt;Blanchard&lt;/Author&gt;&lt;Year&gt;2020&lt;/Year&gt;&lt;RecNum&gt;361&lt;/RecNum&gt;&lt;DisplayText&gt;&lt;style face="superscript"&gt;3&lt;/style&gt;&lt;/DisplayText&gt;&lt;record&gt;&lt;rec-number&gt;361&lt;/rec-number&gt;&lt;foreign-keys&gt;&lt;key app="EN" db-id="pp0zrzdw6s9vz3eza5fvff2fzdat0vpaeet5" timestamp="1593788853"&gt;361&lt;/key&gt;&lt;/foreign-keys&gt;&lt;ref-type name="Journal Article"&gt;17&lt;/ref-type&gt;&lt;contributors&gt;&lt;authors&gt;&lt;author&gt;Blanchard, Aaron T.&lt;/author&gt;&lt;author&gt;Brockman, Joshua M.&lt;/author&gt;&lt;author&gt;Salaita, Khalid&lt;/author&gt;&lt;author&gt;Mattheyses, Alexa L.&lt;/author&gt;&lt;/authors&gt;&lt;/contributors&gt;&lt;titles&gt;&lt;title&gt;Variable incidence angle linear dichroism (VALiD): a technique for unique 3D orientation measurement of fluorescent ensembles&lt;/title&gt;&lt;secondary-title&gt;Optics Express&lt;/secondary-title&gt;&lt;alt-title&gt;Opt. Express&lt;/alt-title&gt;&lt;/titles&gt;&lt;periodical&gt;&lt;full-title&gt;Optics Express&lt;/full-title&gt;&lt;abbr-1&gt;Opt. Express&lt;/abbr-1&gt;&lt;abbr-2&gt;Opt Express&lt;/abbr-2&gt;&lt;/periodical&gt;&lt;alt-periodical&gt;&lt;full-title&gt;Optics Express&lt;/full-title&gt;&lt;abbr-1&gt;Opt. Express&lt;/abbr-1&gt;&lt;abbr-2&gt;Opt Express&lt;/abbr-2&gt;&lt;/alt-periodical&gt;&lt;pages&gt;10039-10061&lt;/pages&gt;&lt;volume&gt;28&lt;/volume&gt;&lt;number&gt;7&lt;/number&gt;&lt;keywords&gt;&lt;keyword&gt;Multiphoton microscopy&lt;/keyword&gt;&lt;keyword&gt;Optical components&lt;/keyword&gt;&lt;keyword&gt;Polarized light&lt;/keyword&gt;&lt;keyword&gt;Three dimensional measurement&lt;/keyword&gt;&lt;keyword&gt;Total internal reflection&lt;/keyword&gt;&lt;keyword&gt;Two photon imaging&lt;/keyword&gt;&lt;/keywords&gt;&lt;dates&gt;&lt;year&gt;2020&lt;/year&gt;&lt;pub-dates&gt;&lt;date&gt;2020/03/30&lt;/date&gt;&lt;/pub-dates&gt;&lt;/dates&gt;&lt;publisher&gt;OSA&lt;/publisher&gt;&lt;urls&gt;&lt;related-urls&gt;&lt;url&gt;http://www.opticsexpress.org/abstract.cfm?URI=oe-28-7-10039&lt;/url&gt;&lt;/related-urls&gt;&lt;/urls&gt;&lt;electronic-resource-num&gt;10.1364/OE.381676&lt;/electronic-resource-num&gt;&lt;/record&gt;&lt;/Cite&gt;&lt;/EndNote&gt;</w:instrText>
      </w:r>
      <w:r w:rsidRPr="00BD3A6D">
        <w:fldChar w:fldCharType="separate"/>
      </w:r>
      <w:r w:rsidR="00B67140" w:rsidRPr="00BD3A6D">
        <w:rPr>
          <w:noProof/>
        </w:rPr>
        <w:t>3</w:t>
      </w:r>
      <w:r w:rsidRPr="00BD3A6D">
        <w:fldChar w:fldCharType="end"/>
      </w:r>
      <w:r>
        <w:t xml:space="preserve"> in MATLAB 2019b. In these simulations, we generate ideal data for a given </w:t>
      </w:r>
      <m:oMath>
        <m:r>
          <w:rPr>
            <w:rFonts w:ascii="Cambria Math" w:hAnsi="Cambria Math"/>
          </w:rPr>
          <m:t xml:space="preserve">(ϕ, θ, </m:t>
        </m:r>
        <m:sSub>
          <m:sSubPr>
            <m:ctrlPr>
              <w:rPr>
                <w:rFonts w:ascii="Cambria Math" w:hAnsi="Cambria Math"/>
                <w:i/>
              </w:rPr>
            </m:ctrlPr>
          </m:sSubPr>
          <m:e>
            <m:r>
              <w:rPr>
                <w:rFonts w:ascii="Cambria Math" w:hAnsi="Cambria Math"/>
              </w:rPr>
              <m:t>I</m:t>
            </m:r>
          </m:e>
          <m:sub>
            <m:r>
              <w:rPr>
                <w:rFonts w:ascii="Cambria Math" w:hAnsi="Cambria Math"/>
              </w:rPr>
              <m:t>max</m:t>
            </m:r>
          </m:sub>
        </m:sSub>
        <m:r>
          <w:rPr>
            <w:rFonts w:ascii="Cambria Math" w:hAnsi="Cambria Math"/>
          </w:rPr>
          <m:t xml:space="preserve">) </m:t>
        </m:r>
      </m:oMath>
      <w:r>
        <w:t xml:space="preserve">combination using eqns. (4-5) in the main text, add in noise, and then calculate </w:t>
      </w:r>
      <m:oMath>
        <m:sSup>
          <m:sSupPr>
            <m:ctrlPr>
              <w:rPr>
                <w:rFonts w:ascii="Cambria Math" w:hAnsi="Cambria Math"/>
                <w:i/>
              </w:rPr>
            </m:ctrlPr>
          </m:sSupPr>
          <m:e>
            <m:r>
              <w:rPr>
                <w:rFonts w:ascii="Cambria Math" w:hAnsi="Cambria Math"/>
              </w:rPr>
              <m:t>ϕ</m:t>
            </m:r>
          </m:e>
          <m:sup>
            <m:r>
              <w:rPr>
                <w:rFonts w:ascii="Cambria Math" w:hAnsi="Cambria Math"/>
              </w:rPr>
              <m:t>*</m:t>
            </m:r>
          </m:sup>
        </m:sSup>
      </m:oMath>
      <w:r w:rsidRPr="008B53B5">
        <w:t>,</w:t>
      </w:r>
      <w:r>
        <w:t xml:space="preserve"> </w:t>
      </w:r>
      <m:oMath>
        <m:sSup>
          <m:sSupPr>
            <m:ctrlPr>
              <w:rPr>
                <w:rFonts w:ascii="Cambria Math" w:hAnsi="Cambria Math"/>
                <w:i/>
              </w:rPr>
            </m:ctrlPr>
          </m:sSupPr>
          <m:e>
            <m:r>
              <w:rPr>
                <w:rFonts w:ascii="Cambria Math" w:hAnsi="Cambria Math"/>
              </w:rPr>
              <m:t>θ</m:t>
            </m:r>
          </m:e>
          <m:sup>
            <m:r>
              <w:rPr>
                <w:rFonts w:ascii="Cambria Math" w:hAnsi="Cambria Math"/>
              </w:rPr>
              <m:t>*</m:t>
            </m:r>
          </m:sup>
        </m:sSup>
      </m:oMath>
      <w:r w:rsidRPr="008B53B5">
        <w:t>,</w:t>
      </w:r>
      <w:r>
        <w:t xml:space="preserve"> and</w:t>
      </w:r>
      <m:oMath>
        <m:r>
          <w:rPr>
            <w:rFonts w:ascii="Cambria Math" w:hAnsi="Cambria Math"/>
          </w:rPr>
          <m:t xml:space="preserve"> </m:t>
        </m:r>
        <m:sSubSup>
          <m:sSubSupPr>
            <m:ctrlPr>
              <w:rPr>
                <w:rFonts w:ascii="Cambria Math" w:hAnsi="Cambria Math"/>
                <w:i/>
              </w:rPr>
            </m:ctrlPr>
          </m:sSubSupPr>
          <m:e>
            <m:r>
              <w:rPr>
                <w:rFonts w:ascii="Cambria Math" w:hAnsi="Cambria Math"/>
              </w:rPr>
              <m:t>I</m:t>
            </m:r>
          </m:e>
          <m:sub>
            <m:r>
              <w:rPr>
                <w:rFonts w:ascii="Cambria Math" w:hAnsi="Cambria Math"/>
              </w:rPr>
              <m:t>max</m:t>
            </m:r>
          </m:sub>
          <m:sup>
            <m:r>
              <w:rPr>
                <w:rFonts w:ascii="Cambria Math" w:hAnsi="Cambria Math"/>
              </w:rPr>
              <m:t>*</m:t>
            </m:r>
          </m:sup>
        </m:sSubSup>
      </m:oMath>
      <w:r>
        <w:t xml:space="preserve"> (where </w:t>
      </w:r>
      <m:oMath>
        <m:r>
          <w:rPr>
            <w:rFonts w:ascii="Cambria Math" w:hAnsi="Cambria Math"/>
          </w:rPr>
          <m:t>*</m:t>
        </m:r>
      </m:oMath>
      <w:r>
        <w:t xml:space="preserve"> denotes the value measured) using eqn. (6).</w:t>
      </w:r>
      <w:r w:rsidRPr="00FA47D0">
        <w:t xml:space="preserve"> </w:t>
      </w:r>
      <w:r>
        <w:t>We repeat this process ~30,000 times, using randomly generated noise values each time. We then quantified systematic error (</w:t>
      </w:r>
      <m:oMath>
        <m:r>
          <w:rPr>
            <w:rFonts w:ascii="Cambria Math" w:hAnsi="Cambria Math"/>
          </w:rPr>
          <m:t>σ</m:t>
        </m:r>
      </m:oMath>
      <w:r>
        <w:t>) and random error (</w:t>
      </w:r>
      <m:oMath>
        <m:r>
          <w:rPr>
            <w:rFonts w:ascii="Cambria Math" w:hAnsi="Cambria Math"/>
          </w:rPr>
          <m:t>ε</m:t>
        </m:r>
      </m:oMath>
      <w:r>
        <w:t xml:space="preserve">) for </w:t>
      </w:r>
      <m:oMath>
        <m:r>
          <w:rPr>
            <w:rFonts w:ascii="Cambria Math" w:hAnsi="Cambria Math"/>
          </w:rPr>
          <m:t>θ</m:t>
        </m:r>
      </m:oMath>
      <w:r>
        <w:t xml:space="preserve"> and </w:t>
      </w:r>
      <m:oMath>
        <m:r>
          <w:rPr>
            <w:rFonts w:ascii="Cambria Math" w:hAnsi="Cambria Math"/>
          </w:rPr>
          <m:t>ϕ</m:t>
        </m:r>
      </m:oMath>
      <w:r>
        <w:t>, as follows:</w:t>
      </w:r>
    </w:p>
    <w:p w14:paraId="22E39BD2" w14:textId="77777777" w:rsidR="00D21FDC" w:rsidRPr="009A61BB" w:rsidRDefault="00F6521F" w:rsidP="00D21FDC">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ε</m:t>
                  </m:r>
                </m:e>
                <m:sub>
                  <m:r>
                    <w:rPr>
                      <w:rFonts w:ascii="Cambria Math" w:hAnsi="Cambria Math"/>
                    </w:rPr>
                    <m:t>ϕ</m:t>
                  </m:r>
                </m:sub>
              </m:sSub>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m:t>
                  </m:r>
                  <m:r>
                    <w:rPr>
                      <w:rFonts w:ascii="Cambria Math" w:hAnsi="Cambria Math"/>
                    </w:rPr>
                    <m:t>ϕ</m:t>
                  </m:r>
                  <m:r>
                    <m:rPr>
                      <m:sty m:val="p"/>
                    </m:rPr>
                    <w:rPr>
                      <w:rFonts w:ascii="Cambria Math" w:hAnsi="Cambria Math"/>
                    </w:rPr>
                    <m:t>-</m:t>
                  </m:r>
                  <m:sSup>
                    <m:sSupPr>
                      <m:ctrlPr>
                        <w:rPr>
                          <w:rFonts w:ascii="Cambria Math" w:hAnsi="Cambria Math"/>
                        </w:rPr>
                      </m:ctrlPr>
                    </m:sSupPr>
                    <m:e>
                      <m:r>
                        <w:rPr>
                          <w:rFonts w:ascii="Cambria Math" w:hAnsi="Cambria Math"/>
                        </w:rPr>
                        <m:t>ϕ</m:t>
                      </m:r>
                    </m:e>
                    <m:sup>
                      <m:r>
                        <m:rPr>
                          <m:sty m:val="p"/>
                        </m:rPr>
                        <w:rPr>
                          <w:rFonts w:ascii="Cambria Math" w:hAnsi="Cambria Math"/>
                        </w:rPr>
                        <m:t>*</m:t>
                      </m:r>
                    </m:sup>
                  </m:sSup>
                  <m:r>
                    <m:rPr>
                      <m:sty m:val="p"/>
                    </m:rPr>
                    <w:rPr>
                      <w:rFonts w:ascii="Cambria Math" w:hAnsi="Cambria Math"/>
                    </w:rPr>
                    <m:t>|</m:t>
                  </m:r>
                </m:e>
              </m:d>
              <m:r>
                <m:rPr>
                  <m:sty m:val="p"/>
                </m:rPr>
                <w:rPr>
                  <w:rFonts w:ascii="Cambria Math" w:hAnsi="Cambria Math"/>
                </w:rPr>
                <m:t>#</m:t>
              </m:r>
              <m:d>
                <m:dPr>
                  <m:ctrlPr>
                    <w:rPr>
                      <w:rFonts w:ascii="Cambria Math" w:hAnsi="Cambria Math"/>
                    </w:rPr>
                  </m:ctrlPr>
                </m:dPr>
                <m:e>
                  <m:r>
                    <m:rPr>
                      <m:sty m:val="p"/>
                    </m:rPr>
                    <w:rPr>
                      <w:rFonts w:ascii="Cambria Math" w:hAnsi="Cambria Math"/>
                    </w:rPr>
                    <m:t>7</m:t>
                  </m:r>
                  <m:r>
                    <w:rPr>
                      <w:rFonts w:ascii="Cambria Math" w:hAnsi="Cambria Math"/>
                    </w:rPr>
                    <m:t>a</m:t>
                  </m:r>
                </m:e>
              </m:d>
            </m:e>
          </m:eqArr>
        </m:oMath>
      </m:oMathPara>
    </w:p>
    <w:p w14:paraId="10DD94D8" w14:textId="77777777" w:rsidR="00D21FDC" w:rsidRPr="009A61BB" w:rsidRDefault="00F6521F" w:rsidP="00D21FDC">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σ</m:t>
                  </m:r>
                </m:e>
                <m:sub>
                  <m:r>
                    <w:rPr>
                      <w:rFonts w:ascii="Cambria Math" w:hAnsi="Cambria Math"/>
                    </w:rPr>
                    <m:t>ϕ</m:t>
                  </m:r>
                </m:sub>
              </m:sSub>
              <m:r>
                <m:rPr>
                  <m:sty m:val="p"/>
                </m:rPr>
                <w:rPr>
                  <w:rFonts w:ascii="Cambria Math" w:hAnsi="Cambria Math"/>
                </w:rPr>
                <m:t>=</m:t>
              </m:r>
              <m:r>
                <w:rPr>
                  <w:rFonts w:ascii="Cambria Math" w:hAnsi="Cambria Math"/>
                </w:rPr>
                <m:t>ϕ</m:t>
              </m:r>
              <m:r>
                <m:rPr>
                  <m:sty m:val="p"/>
                </m:rPr>
                <w:rPr>
                  <w:rFonts w:ascii="Cambria Math" w:hAnsi="Cambria Math"/>
                </w:rPr>
                <m:t>-</m:t>
              </m:r>
              <m:d>
                <m:dPr>
                  <m:begChr m:val="⟨"/>
                  <m:endChr m:val="⟩"/>
                  <m:ctrlPr>
                    <w:rPr>
                      <w:rFonts w:ascii="Cambria Math" w:hAnsi="Cambria Math"/>
                    </w:rPr>
                  </m:ctrlPr>
                </m:dPr>
                <m:e>
                  <m:sSup>
                    <m:sSupPr>
                      <m:ctrlPr>
                        <w:rPr>
                          <w:rFonts w:ascii="Cambria Math" w:hAnsi="Cambria Math"/>
                        </w:rPr>
                      </m:ctrlPr>
                    </m:sSupPr>
                    <m:e>
                      <m:r>
                        <w:rPr>
                          <w:rFonts w:ascii="Cambria Math" w:hAnsi="Cambria Math"/>
                        </w:rPr>
                        <m:t>ϕ</m:t>
                      </m:r>
                    </m:e>
                    <m:sup>
                      <m:r>
                        <m:rPr>
                          <m:sty m:val="p"/>
                        </m:rPr>
                        <w:rPr>
                          <w:rFonts w:ascii="Cambria Math" w:hAnsi="Cambria Math"/>
                        </w:rPr>
                        <m:t>*</m:t>
                      </m:r>
                    </m:sup>
                  </m:sSup>
                </m:e>
              </m:d>
              <m:r>
                <m:rPr>
                  <m:sty m:val="p"/>
                </m:rPr>
                <w:rPr>
                  <w:rFonts w:ascii="Cambria Math" w:hAnsi="Cambria Math"/>
                </w:rPr>
                <m:t>#</m:t>
              </m:r>
              <m:d>
                <m:dPr>
                  <m:ctrlPr>
                    <w:rPr>
                      <w:rFonts w:ascii="Cambria Math" w:hAnsi="Cambria Math"/>
                    </w:rPr>
                  </m:ctrlPr>
                </m:dPr>
                <m:e>
                  <m:r>
                    <m:rPr>
                      <m:sty m:val="p"/>
                    </m:rPr>
                    <w:rPr>
                      <w:rFonts w:ascii="Cambria Math" w:hAnsi="Cambria Math"/>
                    </w:rPr>
                    <m:t>7</m:t>
                  </m:r>
                  <m:r>
                    <w:rPr>
                      <w:rFonts w:ascii="Cambria Math" w:hAnsi="Cambria Math"/>
                    </w:rPr>
                    <m:t>b</m:t>
                  </m:r>
                </m:e>
              </m:d>
            </m:e>
          </m:eqArr>
        </m:oMath>
      </m:oMathPara>
    </w:p>
    <w:p w14:paraId="1FA3D5DF" w14:textId="77777777" w:rsidR="00D21FDC" w:rsidRPr="009A61BB" w:rsidRDefault="00F6521F" w:rsidP="00D21FDC">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ε</m:t>
                  </m:r>
                </m:e>
                <m:sub>
                  <m:r>
                    <w:rPr>
                      <w:rFonts w:ascii="Cambria Math" w:hAnsi="Cambria Math"/>
                    </w:rPr>
                    <m:t>θ</m:t>
                  </m:r>
                </m:sub>
              </m:sSub>
              <m:r>
                <m:rPr>
                  <m:sty m:val="p"/>
                </m:rPr>
                <w:rPr>
                  <w:rFonts w:ascii="Cambria Math" w:hAnsi="Cambria Math"/>
                </w:rPr>
                <m:t>=</m:t>
              </m:r>
              <m:d>
                <m:dPr>
                  <m:begChr m:val="⟨"/>
                  <m:endChr m:val="⟩"/>
                  <m:ctrlPr>
                    <w:rPr>
                      <w:rFonts w:ascii="Cambria Math" w:hAnsi="Cambria Math"/>
                    </w:rPr>
                  </m:ctrlPr>
                </m:dPr>
                <m:e>
                  <m:d>
                    <m:dPr>
                      <m:begChr m:val="|"/>
                      <m:endChr m:val="|"/>
                      <m:ctrlPr>
                        <w:rPr>
                          <w:rFonts w:ascii="Cambria Math" w:hAnsi="Cambria Math"/>
                          <w:i/>
                        </w:rPr>
                      </m:ctrlPr>
                    </m:dPr>
                    <m:e>
                      <m:r>
                        <w:rPr>
                          <w:rFonts w:ascii="Cambria Math" w:hAnsi="Cambria Math"/>
                        </w:rPr>
                        <m:t>θ</m:t>
                      </m:r>
                      <m:r>
                        <m:rPr>
                          <m:sty m:val="p"/>
                        </m:rPr>
                        <w:rPr>
                          <w:rFonts w:ascii="Cambria Math" w:hAnsi="Cambria Math"/>
                        </w:rPr>
                        <m:t>-</m:t>
                      </m:r>
                      <m:sSup>
                        <m:sSupPr>
                          <m:ctrlPr>
                            <w:rPr>
                              <w:rFonts w:ascii="Cambria Math" w:hAnsi="Cambria Math"/>
                            </w:rPr>
                          </m:ctrlPr>
                        </m:sSupPr>
                        <m:e>
                          <m:r>
                            <w:rPr>
                              <w:rFonts w:ascii="Cambria Math" w:hAnsi="Cambria Math"/>
                            </w:rPr>
                            <m:t>θ</m:t>
                          </m:r>
                        </m:e>
                        <m:sup>
                          <m:r>
                            <m:rPr>
                              <m:sty m:val="p"/>
                            </m:rPr>
                            <w:rPr>
                              <w:rFonts w:ascii="Cambria Math" w:hAnsi="Cambria Math"/>
                            </w:rPr>
                            <m:t>*</m:t>
                          </m:r>
                        </m:sup>
                      </m:sSup>
                    </m:e>
                  </m:d>
                </m:e>
              </m:d>
              <m:r>
                <m:rPr>
                  <m:sty m:val="p"/>
                </m:rPr>
                <w:rPr>
                  <w:rFonts w:ascii="Cambria Math" w:hAnsi="Cambria Math"/>
                </w:rPr>
                <m:t>#</m:t>
              </m:r>
              <m:d>
                <m:dPr>
                  <m:ctrlPr>
                    <w:rPr>
                      <w:rFonts w:ascii="Cambria Math" w:hAnsi="Cambria Math"/>
                    </w:rPr>
                  </m:ctrlPr>
                </m:dPr>
                <m:e>
                  <m:r>
                    <m:rPr>
                      <m:sty m:val="p"/>
                    </m:rPr>
                    <w:rPr>
                      <w:rFonts w:ascii="Cambria Math" w:hAnsi="Cambria Math"/>
                    </w:rPr>
                    <m:t>7</m:t>
                  </m:r>
                  <m:r>
                    <w:rPr>
                      <w:rFonts w:ascii="Cambria Math" w:hAnsi="Cambria Math"/>
                    </w:rPr>
                    <m:t>c</m:t>
                  </m:r>
                </m:e>
              </m:d>
            </m:e>
          </m:eqArr>
        </m:oMath>
      </m:oMathPara>
    </w:p>
    <w:p w14:paraId="6B5096B7" w14:textId="77777777" w:rsidR="00D21FDC" w:rsidRPr="009A61BB" w:rsidRDefault="00F6521F" w:rsidP="00D21FDC">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σ</m:t>
                  </m:r>
                </m:e>
                <m:sub>
                  <m:r>
                    <w:rPr>
                      <w:rFonts w:ascii="Cambria Math" w:hAnsi="Cambria Math"/>
                    </w:rPr>
                    <m:t>θ</m:t>
                  </m:r>
                </m:sub>
              </m:sSub>
              <m:r>
                <m:rPr>
                  <m:sty m:val="p"/>
                </m:rPr>
                <w:rPr>
                  <w:rFonts w:ascii="Cambria Math" w:hAnsi="Cambria Math"/>
                </w:rPr>
                <m:t>=</m:t>
              </m:r>
              <m:r>
                <w:rPr>
                  <w:rFonts w:ascii="Cambria Math" w:hAnsi="Cambria Math"/>
                </w:rPr>
                <m:t>θ</m:t>
              </m:r>
              <m:r>
                <m:rPr>
                  <m:sty m:val="p"/>
                </m:rPr>
                <w:rPr>
                  <w:rFonts w:ascii="Cambria Math" w:hAnsi="Cambria Math"/>
                </w:rPr>
                <m:t>-</m:t>
              </m:r>
              <m:d>
                <m:dPr>
                  <m:begChr m:val="⟨"/>
                  <m:endChr m:val="⟩"/>
                  <m:ctrlPr>
                    <w:rPr>
                      <w:rFonts w:ascii="Cambria Math" w:hAnsi="Cambria Math"/>
                    </w:rPr>
                  </m:ctrlPr>
                </m:dPr>
                <m:e>
                  <m:sSup>
                    <m:sSupPr>
                      <m:ctrlPr>
                        <w:rPr>
                          <w:rFonts w:ascii="Cambria Math" w:hAnsi="Cambria Math"/>
                        </w:rPr>
                      </m:ctrlPr>
                    </m:sSupPr>
                    <m:e>
                      <m:r>
                        <w:rPr>
                          <w:rFonts w:ascii="Cambria Math" w:hAnsi="Cambria Math"/>
                        </w:rPr>
                        <m:t>θ</m:t>
                      </m:r>
                    </m:e>
                    <m:sup>
                      <m:r>
                        <m:rPr>
                          <m:sty m:val="p"/>
                        </m:rPr>
                        <w:rPr>
                          <w:rFonts w:ascii="Cambria Math" w:hAnsi="Cambria Math"/>
                        </w:rPr>
                        <m:t>*</m:t>
                      </m:r>
                    </m:sup>
                  </m:sSup>
                </m:e>
              </m:d>
              <m:r>
                <m:rPr>
                  <m:sty m:val="p"/>
                </m:rPr>
                <w:rPr>
                  <w:rFonts w:ascii="Cambria Math" w:hAnsi="Cambria Math"/>
                </w:rPr>
                <m:t>#</m:t>
              </m:r>
              <m:d>
                <m:dPr>
                  <m:ctrlPr>
                    <w:rPr>
                      <w:rFonts w:ascii="Cambria Math" w:hAnsi="Cambria Math"/>
                    </w:rPr>
                  </m:ctrlPr>
                </m:dPr>
                <m:e>
                  <m:r>
                    <m:rPr>
                      <m:sty m:val="p"/>
                    </m:rPr>
                    <w:rPr>
                      <w:rFonts w:ascii="Cambria Math" w:hAnsi="Cambria Math"/>
                    </w:rPr>
                    <m:t>7</m:t>
                  </m:r>
                  <m:r>
                    <w:rPr>
                      <w:rFonts w:ascii="Cambria Math" w:hAnsi="Cambria Math"/>
                    </w:rPr>
                    <m:t>d</m:t>
                  </m:r>
                </m:e>
              </m:d>
            </m:e>
          </m:eqArr>
        </m:oMath>
      </m:oMathPara>
    </w:p>
    <w:p w14:paraId="6432144D" w14:textId="4E61F6F0" w:rsidR="00D21FDC" w:rsidRDefault="00D21FDC" w:rsidP="00D21FDC">
      <w:pPr>
        <w:spacing w:line="259" w:lineRule="auto"/>
        <w:ind w:firstLine="0"/>
      </w:pPr>
      <w:r>
        <w:t xml:space="preserve">This process is described in greater detail in the online methods section in ref. </w:t>
      </w:r>
      <w:r w:rsidRPr="00D21FDC">
        <w:fldChar w:fldCharType="begin"/>
      </w:r>
      <w:r w:rsidR="00B67140">
        <w:instrText xml:space="preserve"> ADDIN EN.CITE &lt;EndNote&gt;&lt;Cite&gt;&lt;Author&gt;Blanchard&lt;/Author&gt;&lt;Year&gt;2020&lt;/Year&gt;&lt;RecNum&gt;361&lt;/RecNum&gt;&lt;DisplayText&gt;&lt;style face="superscript"&gt;3&lt;/style&gt;&lt;/DisplayText&gt;&lt;record&gt;&lt;rec-number&gt;361&lt;/rec-number&gt;&lt;foreign-keys&gt;&lt;key app="EN" db-id="pp0zrzdw6s9vz3eza5fvff2fzdat0vpaeet5" timestamp="1593788853"&gt;361&lt;/key&gt;&lt;/foreign-keys&gt;&lt;ref-type name="Journal Article"&gt;17&lt;/ref-type&gt;&lt;contributors&gt;&lt;authors&gt;&lt;author&gt;Blanchard, Aaron T.&lt;/author&gt;&lt;author&gt;Brockman, Joshua M.&lt;/author&gt;&lt;author&gt;Salaita, Khalid&lt;/author&gt;&lt;author&gt;Mattheyses, Alexa L.&lt;/author&gt;&lt;/authors&gt;&lt;/contributors&gt;&lt;titles&gt;&lt;title&gt;Variable incidence angle linear dichroism (VALiD): a technique for unique 3D orientation measurement of fluorescent ensembles&lt;/title&gt;&lt;secondary-title&gt;Optics Express&lt;/secondary-title&gt;&lt;alt-title&gt;Opt. Express&lt;/alt-title&gt;&lt;/titles&gt;&lt;periodical&gt;&lt;full-title&gt;Optics Express&lt;/full-title&gt;&lt;abbr-1&gt;Opt. Express&lt;/abbr-1&gt;&lt;abbr-2&gt;Opt Express&lt;/abbr-2&gt;&lt;/periodical&gt;&lt;alt-periodical&gt;&lt;full-title&gt;Optics Express&lt;/full-title&gt;&lt;abbr-1&gt;Opt. Express&lt;/abbr-1&gt;&lt;abbr-2&gt;Opt Express&lt;/abbr-2&gt;&lt;/alt-periodical&gt;&lt;pages&gt;10039-10061&lt;/pages&gt;&lt;volume&gt;28&lt;/volume&gt;&lt;number&gt;7&lt;/number&gt;&lt;keywords&gt;&lt;keyword&gt;Multiphoton microscopy&lt;/keyword&gt;&lt;keyword&gt;Optical components&lt;/keyword&gt;&lt;keyword&gt;Polarized light&lt;/keyword&gt;&lt;keyword&gt;Three dimensional measurement&lt;/keyword&gt;&lt;keyword&gt;Total internal reflection&lt;/keyword&gt;&lt;keyword&gt;Two photon imaging&lt;/keyword&gt;&lt;/keywords&gt;&lt;dates&gt;&lt;year&gt;2020&lt;/year&gt;&lt;pub-dates&gt;&lt;date&gt;2020/03/30&lt;/date&gt;&lt;/pub-dates&gt;&lt;/dates&gt;&lt;publisher&gt;OSA&lt;/publisher&gt;&lt;urls&gt;&lt;related-urls&gt;&lt;url&gt;http://www.opticsexpress.org/abstract.cfm?URI=oe-28-7-10039&lt;/url&gt;&lt;/related-urls&gt;&lt;/urls&gt;&lt;electronic-resource-num&gt;10.1364/OE.381676&lt;/electronic-resource-num&gt;&lt;/record&gt;&lt;/Cite&gt;&lt;/EndNote&gt;</w:instrText>
      </w:r>
      <w:r w:rsidRPr="00D21FDC">
        <w:fldChar w:fldCharType="separate"/>
      </w:r>
      <w:r w:rsidR="00B67140" w:rsidRPr="00B67140">
        <w:rPr>
          <w:noProof/>
          <w:vertAlign w:val="superscript"/>
        </w:rPr>
        <w:t>3</w:t>
      </w:r>
      <w:r w:rsidRPr="00D21FDC">
        <w:fldChar w:fldCharType="end"/>
      </w:r>
      <w:r>
        <w:t>.</w:t>
      </w:r>
    </w:p>
    <w:p w14:paraId="609D4459" w14:textId="5FAD999E" w:rsidR="00867275" w:rsidRPr="001B7D6F" w:rsidRDefault="00867275" w:rsidP="00867275">
      <w:pPr>
        <w:pStyle w:val="Heading2"/>
      </w:pPr>
      <w:bookmarkStart w:id="33" w:name="_Toc51022532"/>
      <w:r>
        <w:t xml:space="preserve">Timelapse </w:t>
      </w:r>
      <w:r w:rsidRPr="001B7D6F">
        <w:t>processing</w:t>
      </w:r>
      <w:bookmarkEnd w:id="33"/>
    </w:p>
    <w:p w14:paraId="362AB1C9" w14:textId="6CFF3CBE" w:rsidR="00867275" w:rsidRDefault="00867275" w:rsidP="00867275">
      <w:pPr>
        <w:spacing w:line="259" w:lineRule="auto"/>
        <w:ind w:firstLine="0"/>
      </w:pPr>
      <w:r>
        <w:tab/>
        <w:t>Each timelapse was processed to account for stage drift and photobleaching using an automated MATLAB code. First,</w:t>
      </w:r>
      <w:r w:rsidR="0073482D">
        <w:t xml:space="preserve"> each image in each timelapse was processed as </w:t>
      </w:r>
      <w:r w:rsidR="0073482D" w:rsidRPr="0073482D">
        <w:rPr>
          <w:b/>
          <w:bCs/>
        </w:rPr>
        <w:t>described in Standard resolution image processing</w:t>
      </w:r>
      <w:r w:rsidR="0073482D" w:rsidRPr="0073482D">
        <w:t xml:space="preserve"> </w:t>
      </w:r>
      <w:r w:rsidR="0073482D">
        <w:t>(except for the last sentence, which describes calculating force orientation). Second,</w:t>
      </w:r>
      <w:r>
        <w:t xml:space="preserve"> drift correction was performed by using </w:t>
      </w:r>
      <w:r w:rsidR="0073482D">
        <w:t xml:space="preserve">MATLAB’s built-in “imregtform” command with the default multimodal settings to measure drift between successive pairs of images. Following each calculation, the later image in the pair was then translated using the built-in MATLAB function “imwarp”, ultimately resulting in a timelapse with very small amounts of drift. Next, a large, platelet-free rectangular region of each timelapse was manually selected. The average fluorescence intensity within this region was then calculated for each timepoint. The background intensity vs. time curve was then fit to an exponential decay function. Finally, the entire timelapse was normalized to the exponential decay function, which largely corrects for photobleaching. Finally, the drift- and photobleaching-corrected timelapses were used to calculate </w:t>
      </w:r>
      <m:oMath>
        <m:r>
          <w:rPr>
            <w:rFonts w:ascii="Cambria Math" w:hAnsi="Cambria Math"/>
          </w:rPr>
          <m:t>ϕ</m:t>
        </m:r>
      </m:oMath>
      <w:r w:rsidR="0073482D">
        <w:t xml:space="preserve"> and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rsidR="0073482D">
        <w:t>.</w:t>
      </w:r>
      <w:r w:rsidR="00653BF5">
        <w:t xml:space="preserve"> Additional post-processing of timelapse data was performed using methods described in Figs. </w:t>
      </w:r>
      <w:r w:rsidR="00653BF5" w:rsidRPr="00653BF5">
        <w:rPr>
          <w:b/>
          <w:bCs/>
        </w:rPr>
        <w:t>S7</w:t>
      </w:r>
      <w:r w:rsidR="00882F15" w:rsidRPr="00882F15">
        <w:t xml:space="preserve">, </w:t>
      </w:r>
      <w:r w:rsidR="00882F15">
        <w:rPr>
          <w:b/>
          <w:bCs/>
        </w:rPr>
        <w:t>S8</w:t>
      </w:r>
      <w:r w:rsidR="00882F15" w:rsidRPr="00882F15">
        <w:t xml:space="preserve">, </w:t>
      </w:r>
      <w:r w:rsidR="00882F15" w:rsidRPr="00882F15">
        <w:rPr>
          <w:b/>
          <w:bCs/>
        </w:rPr>
        <w:t>S</w:t>
      </w:r>
      <w:r w:rsidR="00882F15">
        <w:rPr>
          <w:b/>
          <w:bCs/>
        </w:rPr>
        <w:t>10</w:t>
      </w:r>
      <w:r w:rsidR="00882F15" w:rsidRPr="00882F15">
        <w:t xml:space="preserve">, and </w:t>
      </w:r>
      <w:r w:rsidR="00882F15">
        <w:rPr>
          <w:b/>
          <w:bCs/>
        </w:rPr>
        <w:t>S11</w:t>
      </w:r>
      <w:r w:rsidR="001B6E3C" w:rsidRPr="001B6E3C">
        <w:t>.</w:t>
      </w:r>
    </w:p>
    <w:p w14:paraId="704CD8EB" w14:textId="40A9EE0B" w:rsidR="001B6E3C" w:rsidRDefault="001B6E3C" w:rsidP="001B6E3C">
      <w:pPr>
        <w:pStyle w:val="Heading2"/>
      </w:pPr>
      <w:bookmarkStart w:id="34" w:name="_Toc51022533"/>
      <w:r>
        <w:t>Primary T cell isolation and use</w:t>
      </w:r>
      <w:bookmarkEnd w:id="34"/>
    </w:p>
    <w:p w14:paraId="335F2EFF" w14:textId="02E7CBFD" w:rsidR="001B6E3C" w:rsidRDefault="001B6E3C" w:rsidP="001B6E3C">
      <w:r>
        <w:t>All animals were housed and bred under proper IACUC protocols at the Division of Animal Resources at Emory University. Briefly, OT1 mice were sacrificed and the spleen was harvested for T cell isolation. OT1 T cells were purified using a Miltenyi Biotec CD8a+ T cell isolation kit (130-104-075) following their standard protocol. Isolated T cells were stored on ice in Hanks’ Balanced Salt Solution (Millipore Sigma, H8264) until use. T cells were seeded on surfaces at a density of 200,000 cells/mL in Hanks’ Balanced Salt Solution and allowed to spread on the surface for 10 minutes prior to image acquisition.</w:t>
      </w:r>
      <w:r w:rsidR="002843FE">
        <w:t xml:space="preserve"> All T-cell data presented in this work was obtained from T-cells collected from a single mouse. However, T-cells were imaged on three independent surfaces, and a platelet experiment was performed on the same day to confirm proper alignment of the microscope system. In addition, numerous unpublished experiments performed using the original MFM technique yielded the same polarization-independence observed in this work. </w:t>
      </w:r>
    </w:p>
    <w:p w14:paraId="659AB491" w14:textId="77777777" w:rsidR="001B6E3C" w:rsidRDefault="001B6E3C" w:rsidP="001B6E3C">
      <w:pPr>
        <w:pStyle w:val="Heading2"/>
      </w:pPr>
      <w:bookmarkStart w:id="35" w:name="_Toc51022534"/>
      <w:r>
        <w:t>Gold nanoparticle surface preparation</w:t>
      </w:r>
      <w:bookmarkEnd w:id="35"/>
    </w:p>
    <w:p w14:paraId="7B0E06E6" w14:textId="2F6F69A8" w:rsidR="001B6E3C" w:rsidRPr="00492AE4" w:rsidRDefault="001B6E3C" w:rsidP="001B6E3C">
      <w:r>
        <w:t>Gold nanoparticle surfaces were functionalized as described previously (Ma et al. 2019. PNAS, Liu et al. 2016, PNAS). Briefly, No. 2 glass coverslips were sonicated with nanopure water for 5 minutes and then sonicated with 200 proof ethanol for 5 minutes in a Teflon rack. Slides were then placed in an 80</w:t>
      </w:r>
      <w:r>
        <w:rPr>
          <w:rFonts w:cstheme="minorHAnsi"/>
        </w:rPr>
        <w:t>°</w:t>
      </w:r>
      <w:r>
        <w:t xml:space="preserve"> C oven until all ethanol had evaporated. Slides were submerged in a fresh piranha solution (3:1 mixture of H</w:t>
      </w:r>
      <w:r w:rsidRPr="00B17BE5">
        <w:rPr>
          <w:vertAlign w:val="subscript"/>
        </w:rPr>
        <w:t>2</w:t>
      </w:r>
      <w:r>
        <w:t>SO</w:t>
      </w:r>
      <w:r w:rsidRPr="00B17BE5">
        <w:rPr>
          <w:vertAlign w:val="subscript"/>
        </w:rPr>
        <w:t>4</w:t>
      </w:r>
      <w:r>
        <w:t xml:space="preserve"> and H</w:t>
      </w:r>
      <w:r w:rsidRPr="00B17BE5">
        <w:rPr>
          <w:vertAlign w:val="subscript"/>
        </w:rPr>
        <w:t>2</w:t>
      </w:r>
      <w:r>
        <w:t>0</w:t>
      </w:r>
      <w:r w:rsidRPr="00B17BE5">
        <w:rPr>
          <w:vertAlign w:val="subscript"/>
        </w:rPr>
        <w:t>2</w:t>
      </w:r>
      <w:r>
        <w:t xml:space="preserve">, CAUTION: EXTREMELY HOT AND HIGHLY EXPLOSIVE IF MIXED WITH ORGANICS) for 30 minutes. After 30 minutes, slides were transferred to a beaker containing 40 mL </w:t>
      </w:r>
      <w:r>
        <w:lastRenderedPageBreak/>
        <w:t>nanopure water and rinsed 6 times. Slides were then rinsed 3 times in 200 proof ethanol to remove all water and incubated in a 3% APTES (Millipore Sigma, 440140) solution in 40 mL of 200 proof ethanol for 1 hour at room temperature. Surfaces were then washed 3 times in 200 proof ethanol and cured in an 80</w:t>
      </w:r>
      <w:r>
        <w:rPr>
          <w:rFonts w:cstheme="minorHAnsi"/>
        </w:rPr>
        <w:t>°</w:t>
      </w:r>
      <w:r>
        <w:t xml:space="preserve">C oven for 30 minutes. The now amine-modified surfaces were placed in a petri dish lined in parafilm and coated with 200 uL of 0.5% w/v lipoic acid-PEG-NHS (Biochempeg, </w:t>
      </w:r>
      <w:r w:rsidRPr="00492AE4">
        <w:rPr>
          <w:rFonts w:cstheme="minorHAnsi"/>
        </w:rPr>
        <w:t>HE039023-3.4K) and 2.5% w/v mPEG-NHS (Biochempeg</w:t>
      </w:r>
      <w:r>
        <w:rPr>
          <w:rFonts w:cstheme="minorHAnsi"/>
        </w:rPr>
        <w:t>,</w:t>
      </w:r>
      <w:r w:rsidRPr="00492AE4">
        <w:rPr>
          <w:rFonts w:cstheme="minorHAnsi"/>
        </w:rPr>
        <w:t xml:space="preserve"> MF001023-2K) in 0.1M NaHCO</w:t>
      </w:r>
      <w:r w:rsidRPr="00492AE4">
        <w:rPr>
          <w:rFonts w:cstheme="minorHAnsi"/>
          <w:vertAlign w:val="subscript"/>
        </w:rPr>
        <w:t>3</w:t>
      </w:r>
      <w:r>
        <w:rPr>
          <w:rFonts w:cstheme="minorHAnsi"/>
        </w:rPr>
        <w:t xml:space="preserve"> for 1 hour. The PEG solution was rinsed off of slides with nanopure water, and slides were placed back in petri dishes and coated with 1 mg/mL of sulfo-NHS-acetate (Thermo Fisher Scientific, 26777)</w:t>
      </w:r>
      <w:r w:rsidR="009F4D3A">
        <w:rPr>
          <w:rFonts w:cstheme="minorHAnsi"/>
        </w:rPr>
        <w:t xml:space="preserve"> </w:t>
      </w:r>
      <w:r>
        <w:rPr>
          <w:rFonts w:cstheme="minorHAnsi"/>
        </w:rPr>
        <w:t>in 0.1 M NaHCO</w:t>
      </w:r>
      <w:r>
        <w:rPr>
          <w:rFonts w:cstheme="minorHAnsi"/>
          <w:vertAlign w:val="subscript"/>
        </w:rPr>
        <w:t>3</w:t>
      </w:r>
      <w:r>
        <w:rPr>
          <w:rFonts w:cstheme="minorHAnsi"/>
        </w:rPr>
        <w:t xml:space="preserve"> for 30 minutes. Surfaces were rinsed with nanopure water and incubated with a 20 nM solution of gold nanoparticles (Nanocomposix, custom synthesized, 8.8 nm diameter, tannic acid modified) for 30 minutes. During this incubation, 4.7 pN hairpin, Cy3B, and BHQ2 strands that form the DNA hairpin probe construct were mixed and annealed at a ratio of 1.1:1:1 in 1M NaCl at a 300 nM concentration. After annealing, an additional 2.7 μM of the BHQ2 strand was added to the DNA solution for better quenching. The gold nanoparticle solution was rinsed off of slides using nanopure water after incubation. Then, 100 uL of the annealed DNA solution was sandwiched between two slides and incubated overnight at 4°C. The next day, slides were washed in 1x PBS and 64 μg/mL of streptavidin (Rockland, S000-01) in PBS was added to each slide for 1 hour. Slides were washed again with 1x PBS and 40 μg/mL of biotinylated anti-CD3ε (BioLegend, 100304) was added to slides for 1 hour. Slides were rinsed with 1x PBS and mounted in imaging chambers. Hanks’ Balanced Salt Solution was immediately added to the imaging chambers to prevent slides from drying. Surface quality was confirmed by fluorescence intensity and then used for experiments immediately after.</w:t>
      </w:r>
    </w:p>
    <w:p w14:paraId="3D57FB61" w14:textId="77777777" w:rsidR="001B6E3C" w:rsidRPr="001B6E3C" w:rsidRDefault="001B6E3C" w:rsidP="00867275">
      <w:pPr>
        <w:spacing w:line="259" w:lineRule="auto"/>
        <w:ind w:firstLine="0"/>
        <w:rPr>
          <w:b/>
          <w:bCs/>
        </w:rPr>
      </w:pPr>
    </w:p>
    <w:bookmarkEnd w:id="3"/>
    <w:p w14:paraId="57E334EC" w14:textId="7DDF3C42" w:rsidR="007017B4" w:rsidRDefault="007017B4" w:rsidP="000D7D70">
      <w:pPr>
        <w:spacing w:after="160" w:line="259" w:lineRule="auto"/>
      </w:pPr>
      <w:r>
        <w:br w:type="page"/>
      </w:r>
    </w:p>
    <w:p w14:paraId="4220A7DF" w14:textId="30EBAD4E" w:rsidR="007017B4" w:rsidRDefault="007017B4" w:rsidP="007017B4">
      <w:pPr>
        <w:pStyle w:val="Heading1"/>
      </w:pPr>
      <w:bookmarkStart w:id="36" w:name="_Toc47832201"/>
      <w:bookmarkStart w:id="37" w:name="_Toc47832256"/>
      <w:bookmarkStart w:id="38" w:name="_Toc51022535"/>
      <w:bookmarkEnd w:id="7"/>
      <w:r>
        <w:lastRenderedPageBreak/>
        <w:t>Supplemental Figures</w:t>
      </w:r>
      <w:bookmarkEnd w:id="36"/>
      <w:bookmarkEnd w:id="37"/>
      <w:bookmarkEnd w:id="38"/>
    </w:p>
    <w:p w14:paraId="28831C18" w14:textId="62D763EB" w:rsidR="007017B4" w:rsidRDefault="007017B4" w:rsidP="0006589F">
      <w:pPr>
        <w:spacing w:after="160" w:line="259" w:lineRule="auto"/>
        <w:ind w:firstLine="0"/>
        <w:jc w:val="left"/>
      </w:pPr>
      <w:r>
        <w:rPr>
          <w:noProof/>
        </w:rPr>
        <w:drawing>
          <wp:inline distT="0" distB="0" distL="0" distR="0" wp14:anchorId="219A17FE" wp14:editId="3218200E">
            <wp:extent cx="5735230" cy="70690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5230" cy="7069005"/>
                    </a:xfrm>
                    <a:prstGeom prst="rect">
                      <a:avLst/>
                    </a:prstGeom>
                    <a:noFill/>
                    <a:ln>
                      <a:noFill/>
                    </a:ln>
                    <a:extLst>
                      <a:ext uri="{53640926-AAD7-44D8-BBD7-CCE9431645EC}">
                        <a14:shadowObscured xmlns:a14="http://schemas.microsoft.com/office/drawing/2010/main"/>
                      </a:ext>
                    </a:extLst>
                  </pic:spPr>
                </pic:pic>
              </a:graphicData>
            </a:graphic>
          </wp:inline>
        </w:drawing>
      </w:r>
    </w:p>
    <w:p w14:paraId="3BDB93E2" w14:textId="39CE001E" w:rsidR="0091320E" w:rsidRDefault="007017B4" w:rsidP="0091320E">
      <w:pPr>
        <w:pStyle w:val="Heading2"/>
      </w:pPr>
      <w:bookmarkStart w:id="39" w:name="_Toc47832202"/>
      <w:bookmarkStart w:id="40" w:name="_Toc47832257"/>
      <w:bookmarkStart w:id="41" w:name="_Toc51022536"/>
      <w:r>
        <w:t>Figure S</w:t>
      </w:r>
      <w:r w:rsidR="0006589F">
        <w:t>1</w:t>
      </w:r>
      <w:r>
        <w:t>: Analysis of DiI-doped SLB-coated microspheres imaged using SIM microscope.</w:t>
      </w:r>
      <w:bookmarkEnd w:id="39"/>
      <w:bookmarkEnd w:id="40"/>
      <w:bookmarkEnd w:id="41"/>
    </w:p>
    <w:p w14:paraId="2EE74EA0" w14:textId="77777777" w:rsidR="0091320E" w:rsidRPr="0091320E" w:rsidRDefault="0091320E" w:rsidP="0091320E"/>
    <w:p w14:paraId="6C6786C3" w14:textId="4C2734F3" w:rsidR="00E620F3" w:rsidRDefault="009E451F" w:rsidP="009E451F">
      <w:pPr>
        <w:ind w:firstLine="0"/>
      </w:pPr>
      <w:r w:rsidRPr="009E451F">
        <w:rPr>
          <w:b/>
          <w:bCs/>
        </w:rPr>
        <w:t>a)</w:t>
      </w:r>
      <w:r>
        <w:t xml:space="preserve"> Raw 2D SIM images of DiI-doped supported lipid bilayer (SLB)-coated silica microspheres. </w:t>
      </w:r>
      <w:r w:rsidRPr="009E451F">
        <w:rPr>
          <w:b/>
          <w:bCs/>
        </w:rPr>
        <w:t>b)</w:t>
      </w:r>
      <w:r>
        <w:t xml:space="preserve"> Automatic detection of spheres using MATLAB’s imfindcircles() command. </w:t>
      </w:r>
      <w:r w:rsidRPr="009E451F">
        <w:rPr>
          <w:b/>
          <w:bCs/>
        </w:rPr>
        <w:t>c)</w:t>
      </w:r>
      <w:r>
        <w:t xml:space="preserve"> Mask used for subsequent analysis. Mask is colored by the radial angle, which is used as a coordinate for subsequent analysis (in this </w:t>
      </w:r>
      <w:r>
        <w:lastRenderedPageBreak/>
        <w:t xml:space="preserve">scenario, </w:t>
      </w:r>
      <m:oMath>
        <m:r>
          <w:rPr>
            <w:rFonts w:ascii="Cambria Math" w:hAnsi="Cambria Math"/>
          </w:rPr>
          <m:t>ϕ</m:t>
        </m:r>
      </m:oMath>
      <w:r>
        <w:t xml:space="preserve"> should be equal to the radial angle). </w:t>
      </w:r>
      <w:r w:rsidRPr="009E451F">
        <w:rPr>
          <w:b/>
          <w:bCs/>
        </w:rPr>
        <w:t>d)</w:t>
      </w:r>
      <w:r>
        <w:t xml:space="preserve"> fluorescence intensity as a function of radial angle for each of the two beads in the image. Each blue point </w:t>
      </w:r>
      <w:r w:rsidR="006B3330">
        <w:t>represents the average value within one of 50 bins.</w:t>
      </w:r>
      <w:r>
        <w:t xml:space="preserve"> </w:t>
      </w:r>
      <w:r w:rsidRPr="009E451F">
        <w:rPr>
          <w:b/>
          <w:bCs/>
        </w:rPr>
        <w:t>e)</w:t>
      </w:r>
      <w:r>
        <w:t xml:space="preserve">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t xml:space="preserve">, </w:t>
      </w:r>
      <m:oMath>
        <m:r>
          <w:rPr>
            <w:rFonts w:ascii="Cambria Math" w:hAnsi="Cambria Math"/>
          </w:rPr>
          <m:t>ϕ</m:t>
        </m:r>
      </m:oMath>
      <w:r>
        <w:t>, and the polarization factor (</w:t>
      </w:r>
      <m:oMath>
        <m:r>
          <w:rPr>
            <w:rFonts w:ascii="Cambria Math" w:hAnsi="Cambria Math"/>
          </w:rPr>
          <m:t>(A+c)/c</m:t>
        </m:r>
      </m:oMath>
      <w:r>
        <w:t xml:space="preserve">) calculated for every pixel in the image. </w:t>
      </w:r>
      <w:r w:rsidRPr="009E451F">
        <w:rPr>
          <w:b/>
          <w:bCs/>
        </w:rPr>
        <w:t>f)</w:t>
      </w:r>
      <w:r>
        <w:t xml:space="preserve"> Quantities in </w:t>
      </w:r>
      <w:r w:rsidR="006B3330">
        <w:rPr>
          <w:b/>
          <w:bCs/>
        </w:rPr>
        <w:t>e</w:t>
      </w:r>
      <w:r>
        <w:t xml:space="preserve"> calculated as a function of radial angle</w:t>
      </w:r>
      <w:r w:rsidR="006B3330">
        <w:t xml:space="preserve"> is in </w:t>
      </w:r>
      <w:r w:rsidR="006B3330" w:rsidRPr="006B3330">
        <w:rPr>
          <w:b/>
          <w:bCs/>
        </w:rPr>
        <w:t>d</w:t>
      </w:r>
      <w:r>
        <w:t>.</w:t>
      </w:r>
      <w:r w:rsidR="006B3330">
        <w:t xml:space="preserve">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rsidR="006B3330">
        <w:t xml:space="preserve"> and the polarization factor should not exhibit variations with respect to radial angle, but </w:t>
      </w:r>
      <w:r w:rsidR="00C26804">
        <w:t xml:space="preserve">this is </w:t>
      </w:r>
      <w:r w:rsidR="006B3330">
        <w:t>likely an artifact due to the index of refraction mismatch between the bead and the surrounding buffer.</w:t>
      </w:r>
    </w:p>
    <w:p w14:paraId="3D81D9DA" w14:textId="77777777" w:rsidR="00E620F3" w:rsidRDefault="00E620F3">
      <w:pPr>
        <w:spacing w:after="160" w:line="259" w:lineRule="auto"/>
        <w:ind w:firstLine="0"/>
        <w:jc w:val="left"/>
      </w:pPr>
      <w:r>
        <w:br w:type="page"/>
      </w:r>
    </w:p>
    <w:p w14:paraId="304BE6CA" w14:textId="167E0E93" w:rsidR="0006589F" w:rsidRDefault="0006589F">
      <w:pPr>
        <w:spacing w:after="160" w:line="259" w:lineRule="auto"/>
        <w:ind w:firstLine="0"/>
        <w:jc w:val="left"/>
      </w:pPr>
      <w:r>
        <w:rPr>
          <w:noProof/>
        </w:rPr>
        <w:lastRenderedPageBreak/>
        <w:drawing>
          <wp:inline distT="0" distB="0" distL="0" distR="0" wp14:anchorId="2A8967BC" wp14:editId="1EFD5453">
            <wp:extent cx="5826566" cy="5782945"/>
            <wp:effectExtent l="0" t="0" r="317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831191" cy="5787536"/>
                    </a:xfrm>
                    <a:prstGeom prst="rect">
                      <a:avLst/>
                    </a:prstGeom>
                    <a:noFill/>
                    <a:ln>
                      <a:noFill/>
                    </a:ln>
                  </pic:spPr>
                </pic:pic>
              </a:graphicData>
            </a:graphic>
          </wp:inline>
        </w:drawing>
      </w:r>
    </w:p>
    <w:p w14:paraId="18008CE7" w14:textId="7AC00DCA" w:rsidR="0006589F" w:rsidRDefault="0006589F" w:rsidP="00CE04F7">
      <w:pPr>
        <w:pStyle w:val="Heading2"/>
      </w:pPr>
      <w:bookmarkStart w:id="42" w:name="_Toc47832203"/>
      <w:bookmarkStart w:id="43" w:name="_Toc47832258"/>
      <w:bookmarkStart w:id="44" w:name="_Toc51022537"/>
      <w:r w:rsidRPr="0006589F">
        <w:t>Figure S2: Azimuthal angle maps of 15 representative platelets.</w:t>
      </w:r>
      <w:bookmarkEnd w:id="42"/>
      <w:bookmarkEnd w:id="43"/>
      <w:bookmarkEnd w:id="44"/>
    </w:p>
    <w:p w14:paraId="34DDEB08" w14:textId="77777777" w:rsidR="0091320E" w:rsidRPr="0091320E" w:rsidRDefault="0091320E" w:rsidP="0091320E"/>
    <w:p w14:paraId="4BC8019D" w14:textId="17933AFB" w:rsidR="00E620F3" w:rsidRDefault="00951AE4">
      <w:pPr>
        <w:spacing w:after="160" w:line="259" w:lineRule="auto"/>
        <w:ind w:firstLine="0"/>
        <w:jc w:val="left"/>
      </w:pPr>
      <w:r>
        <w:t>Human platelets were collected and imaged and the images were processed as described in the methods section. Each image shows a c</w:t>
      </w:r>
      <w:r>
        <w:t xml:space="preserve">olor-based </w:t>
      </w:r>
      <m:oMath>
        <m:r>
          <w:rPr>
            <w:rFonts w:ascii="Cambria Math" w:hAnsi="Cambria Math"/>
          </w:rPr>
          <m:t>ϕ</m:t>
        </m:r>
      </m:oMath>
      <w:r>
        <w:t xml:space="preserve"> </w:t>
      </w:r>
      <w:r>
        <w:t>map</w:t>
      </w:r>
      <w:r>
        <w:t xml:space="preserve"> of one or two platelets. </w:t>
      </w:r>
      <w:r w:rsidR="0006589F">
        <w:t>The scale bar for each image denotes 2 mic</w:t>
      </w:r>
      <w:r w:rsidR="00E620F3">
        <w:t>r</w:t>
      </w:r>
      <w:r w:rsidR="0006589F">
        <w:t>ometers.</w:t>
      </w:r>
    </w:p>
    <w:p w14:paraId="46B87D0C" w14:textId="77777777" w:rsidR="00E620F3" w:rsidRDefault="00E620F3">
      <w:pPr>
        <w:spacing w:after="160" w:line="259" w:lineRule="auto"/>
        <w:ind w:firstLine="0"/>
        <w:jc w:val="left"/>
      </w:pPr>
      <w:r>
        <w:br w:type="page"/>
      </w:r>
    </w:p>
    <w:p w14:paraId="32269428" w14:textId="77777777" w:rsidR="00E620F3" w:rsidRDefault="00E620F3">
      <w:pPr>
        <w:spacing w:after="160" w:line="259" w:lineRule="auto"/>
        <w:ind w:firstLine="0"/>
        <w:jc w:val="left"/>
      </w:pPr>
      <w:r>
        <w:rPr>
          <w:noProof/>
        </w:rPr>
        <w:lastRenderedPageBreak/>
        <w:drawing>
          <wp:inline distT="0" distB="0" distL="0" distR="0" wp14:anchorId="17764880" wp14:editId="2FC80961">
            <wp:extent cx="5920740" cy="4263390"/>
            <wp:effectExtent l="0" t="0" r="381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20740" cy="4263390"/>
                    </a:xfrm>
                    <a:prstGeom prst="rect">
                      <a:avLst/>
                    </a:prstGeom>
                    <a:noFill/>
                    <a:ln>
                      <a:noFill/>
                    </a:ln>
                  </pic:spPr>
                </pic:pic>
              </a:graphicData>
            </a:graphic>
          </wp:inline>
        </w:drawing>
      </w:r>
    </w:p>
    <w:p w14:paraId="6ABD6E18" w14:textId="2D44D3AE" w:rsidR="005B70E9" w:rsidRDefault="00E620F3" w:rsidP="005B70E9">
      <w:pPr>
        <w:pStyle w:val="Heading2"/>
      </w:pPr>
      <w:bookmarkStart w:id="45" w:name="_Toc47832204"/>
      <w:bookmarkStart w:id="46" w:name="_Toc47832259"/>
      <w:bookmarkStart w:id="47" w:name="_Toc51022538"/>
      <w:r w:rsidRPr="0006589F">
        <w:t xml:space="preserve">Figure </w:t>
      </w:r>
      <w:r w:rsidR="00E4382A">
        <w:t>S</w:t>
      </w:r>
      <w:r>
        <w:t>3</w:t>
      </w:r>
      <w:r w:rsidRPr="0006589F">
        <w:t xml:space="preserve">: </w:t>
      </w:r>
      <w:r w:rsidR="0035060E">
        <w:t>P</w:t>
      </w:r>
      <w:r w:rsidR="005B70E9" w:rsidRPr="00092803">
        <w:t>latelets exhibit two distinct zones of force orientation.</w:t>
      </w:r>
      <w:bookmarkEnd w:id="45"/>
      <w:bookmarkEnd w:id="46"/>
      <w:bookmarkEnd w:id="47"/>
    </w:p>
    <w:p w14:paraId="2F3BF8ED" w14:textId="77777777" w:rsidR="0091320E" w:rsidRPr="0091320E" w:rsidRDefault="0091320E" w:rsidP="0091320E"/>
    <w:p w14:paraId="40606961" w14:textId="4BF1BBFD" w:rsidR="005B70E9" w:rsidRPr="00092803" w:rsidRDefault="005B70E9" w:rsidP="005B70E9">
      <w:pPr>
        <w:ind w:firstLine="0"/>
      </w:pPr>
      <w:r w:rsidRPr="00092803">
        <w:rPr>
          <w:b/>
          <w:bCs/>
        </w:rPr>
        <w:t>a)</w:t>
      </w:r>
      <w:r>
        <w:t xml:space="preserve"> Colormap-based </w:t>
      </w:r>
      <m:oMath>
        <m:r>
          <w:rPr>
            <w:rFonts w:ascii="Cambria Math" w:hAnsi="Cambria Math"/>
          </w:rPr>
          <m:t>ϕ</m:t>
        </m:r>
      </m:oMath>
      <w:r>
        <w:t>-map of a platelet. S</w:t>
      </w:r>
      <w:r w:rsidRPr="00092803">
        <w:t>cale bar denotes 2 micrometers.</w:t>
      </w:r>
      <w:r>
        <w:t xml:space="preserve"> </w:t>
      </w:r>
      <w:r w:rsidRPr="00092803">
        <w:rPr>
          <w:b/>
          <w:bCs/>
        </w:rPr>
        <w:t>b)</w:t>
      </w:r>
      <w:r>
        <w:t xml:space="preserve"> Hand drawn masks of the full cell, lamellipodial edge, and cell interior (top) with </w:t>
      </w:r>
      <w:r w:rsidR="005242B6">
        <w:t>corresponding</w:t>
      </w:r>
      <w:r>
        <w:t xml:space="preserve"> masked </w:t>
      </w:r>
      <m:oMath>
        <m:r>
          <w:rPr>
            <w:rFonts w:ascii="Cambria Math" w:hAnsi="Cambria Math"/>
          </w:rPr>
          <m:t>ϕ</m:t>
        </m:r>
      </m:oMath>
      <w:r>
        <w:t xml:space="preserve">-maps (bottom). </w:t>
      </w:r>
      <w:r w:rsidRPr="00092803">
        <w:rPr>
          <w:b/>
          <w:bCs/>
        </w:rPr>
        <w:t>c)</w:t>
      </w:r>
      <w:r>
        <w:t xml:space="preserve"> Depiction of “deviation angle” used to quantify </w:t>
      </w:r>
      <w:r w:rsidR="002B163F">
        <w:t>the radiality of platelet integrin traction forces</w:t>
      </w:r>
      <w:r w:rsidR="005242B6">
        <w:fldChar w:fldCharType="begin"/>
      </w:r>
      <w:r w:rsidR="00B67140">
        <w:instrText xml:space="preserve"> ADDIN EN.CITE &lt;EndNote&gt;&lt;Cite&gt;&lt;Author&gt;Brockman&lt;/Author&gt;&lt;Year&gt;2017&lt;/Year&gt;&lt;RecNum&gt;49&lt;/RecNum&gt;&lt;DisplayText&gt;&lt;style face="superscript"&gt;1&lt;/style&gt;&lt;/DisplayText&gt;&lt;record&gt;&lt;rec-number&gt;49&lt;/rec-number&gt;&lt;foreign-keys&gt;&lt;key app="EN" db-id="pp0zrzdw6s9vz3eza5fvff2fzdat0vpaeet5" timestamp="1522010277"&gt;49&lt;/key&gt;&lt;/foreign-keys&gt;&lt;ref-type name="Journal Article"&gt;17&lt;/ref-type&gt;&lt;contributors&gt;&lt;authors&gt;&lt;author&gt;Brockman, Joshua M.&lt;/author&gt;&lt;author&gt;Blanchard, Aaron T.&lt;/author&gt;&lt;author&gt;Pui-Yan Ma, Victor&lt;/author&gt;&lt;author&gt;Derricotte, Wallace D.&lt;/author&gt;&lt;author&gt;Zhang, Yun&lt;/author&gt;&lt;author&gt;Fay, Meredith E.&lt;/author&gt;&lt;author&gt;Lam, Wilbur A.&lt;/author&gt;&lt;author&gt;Evangelista, Francesco A.&lt;/author&gt;&lt;author&gt;Mattheyses, Alexa L.&lt;/author&gt;&lt;author&gt;Salaita, Khalid&lt;/author&gt;&lt;/authors&gt;&lt;/contributors&gt;&lt;auth-address&gt;Wallace H. Coulter Department of Biomedical Engineering, Georgia Institute of Technology and Emory University, Atlanta, Georgia, USA.&amp;#xD;Department of Chemistry, Emory University, Atlanta, Georgia, USA.&amp;#xD;Department of Cell Biology, Emory University School of Medicine, Atlanta, Georgia, USA.&lt;/auth-address&gt;&lt;titles&gt;&lt;title&gt;Mapping the 3D orientation of piconewton integrin traction forces&lt;/title&gt;&lt;secondary-title&gt;Nature Methods&lt;/secondary-title&gt;&lt;/titles&gt;&lt;periodical&gt;&lt;full-title&gt;Nature Methods&lt;/full-title&gt;&lt;abbr-1&gt;Nat. Methods&lt;/abbr-1&gt;&lt;abbr-2&gt;Nat Methods&lt;/abbr-2&gt;&lt;/periodical&gt;&lt;pages&gt;115&lt;/pages&gt;&lt;volume&gt;15&lt;/volume&gt;&lt;dates&gt;&lt;year&gt;2017&lt;/year&gt;&lt;pub-dates&gt;&lt;date&gt;12/11/online&lt;/date&gt;&lt;/pub-dates&gt;&lt;/dates&gt;&lt;isbn&gt;1548-7105 (Electronic)&amp;#xD;1548-7091 (Linking)&lt;/isbn&gt;&lt;accession-num&gt;29256495&lt;/accession-num&gt;&lt;urls&gt;&lt;related-urls&gt;&lt;url&gt;https://doi.org/10.1038/nmeth.4536&lt;/url&gt;&lt;/related-urls&gt;&lt;/urls&gt;&lt;electronic-resource-num&gt;10.1038/nmeth.4536&lt;/electronic-resource-num&gt;&lt;/record&gt;&lt;/Cite&gt;&lt;/EndNote&gt;</w:instrText>
      </w:r>
      <w:r w:rsidR="005242B6">
        <w:fldChar w:fldCharType="separate"/>
      </w:r>
      <w:r w:rsidR="00B67140" w:rsidRPr="00B67140">
        <w:rPr>
          <w:noProof/>
          <w:vertAlign w:val="superscript"/>
        </w:rPr>
        <w:t>1</w:t>
      </w:r>
      <w:r w:rsidR="005242B6">
        <w:fldChar w:fldCharType="end"/>
      </w:r>
      <w:r>
        <w:t xml:space="preserve"> (deviation angle for a given pixel is the angle between the force and the axis that links the mask’s centroid to the pixel’s centroid). </w:t>
      </w:r>
      <w:r w:rsidRPr="00092803">
        <w:rPr>
          <w:b/>
          <w:bCs/>
        </w:rPr>
        <w:t>d)</w:t>
      </w:r>
      <w:r>
        <w:t xml:space="preserve"> Probability </w:t>
      </w:r>
      <w:r w:rsidR="005242B6">
        <w:t>h</w:t>
      </w:r>
      <w:r>
        <w:t xml:space="preserve">istogram of deviation angle in the interior and cell edge. </w:t>
      </w:r>
      <w:r w:rsidRPr="00092803">
        <w:rPr>
          <w:b/>
          <w:bCs/>
        </w:rPr>
        <w:t>e)</w:t>
      </w:r>
      <w:r>
        <w:t xml:space="preserve"> Comparison of the two populations for this cell. *** denotes </w:t>
      </w:r>
      <w:r w:rsidRPr="00092803">
        <w:rPr>
          <w:i/>
          <w:iCs/>
        </w:rPr>
        <w:t>p</w:t>
      </w:r>
      <w:r w:rsidRPr="00092803">
        <w:t>&lt;0.05</w:t>
      </w:r>
      <w:r>
        <w:t>, Wilcoxon rank-sum test.</w:t>
      </w:r>
    </w:p>
    <w:p w14:paraId="4E1D32FB" w14:textId="77777777" w:rsidR="00426EFB" w:rsidRDefault="00426EFB">
      <w:pPr>
        <w:spacing w:after="160" w:line="259" w:lineRule="auto"/>
        <w:ind w:firstLine="0"/>
        <w:jc w:val="left"/>
      </w:pPr>
      <w:r>
        <w:br w:type="page"/>
      </w:r>
    </w:p>
    <w:p w14:paraId="4CDD764D" w14:textId="77777777" w:rsidR="00426EFB" w:rsidRDefault="00426EFB" w:rsidP="00E620F3">
      <w:pPr>
        <w:spacing w:after="160" w:line="259" w:lineRule="auto"/>
        <w:ind w:firstLine="0"/>
        <w:jc w:val="left"/>
      </w:pPr>
      <w:r>
        <w:rPr>
          <w:noProof/>
        </w:rPr>
        <w:lastRenderedPageBreak/>
        <w:drawing>
          <wp:inline distT="0" distB="0" distL="0" distR="0" wp14:anchorId="3F96DD16" wp14:editId="31A6DEBE">
            <wp:extent cx="5943600" cy="649033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6490335"/>
                    </a:xfrm>
                    <a:prstGeom prst="rect">
                      <a:avLst/>
                    </a:prstGeom>
                    <a:noFill/>
                    <a:ln>
                      <a:noFill/>
                    </a:ln>
                  </pic:spPr>
                </pic:pic>
              </a:graphicData>
            </a:graphic>
          </wp:inline>
        </w:drawing>
      </w:r>
    </w:p>
    <w:p w14:paraId="52F1545B" w14:textId="35D1E479" w:rsidR="00983531" w:rsidRDefault="00426EFB" w:rsidP="00BD6925">
      <w:pPr>
        <w:pStyle w:val="Heading2"/>
      </w:pPr>
      <w:bookmarkStart w:id="48" w:name="_Toc51022539"/>
      <w:r w:rsidRPr="00426EFB">
        <w:t>Figure S4:</w:t>
      </w:r>
      <w:r w:rsidR="00983531" w:rsidRPr="00983531">
        <w:t xml:space="preserve"> </w:t>
      </w:r>
      <w:bookmarkStart w:id="49" w:name="_Hlk45137231"/>
      <w:r w:rsidR="005B70E9" w:rsidRPr="00983531">
        <w:t>Results of Monte Carlo simulations of force orientation measurement.</w:t>
      </w:r>
      <w:bookmarkStart w:id="50" w:name="_Hlk45137294"/>
      <w:bookmarkEnd w:id="48"/>
      <w:bookmarkEnd w:id="49"/>
    </w:p>
    <w:p w14:paraId="5036D830" w14:textId="77777777" w:rsidR="00BD6925" w:rsidRPr="00BD6925" w:rsidRDefault="00BD6925" w:rsidP="00BD6925"/>
    <w:p w14:paraId="05F249F1" w14:textId="743BBE75" w:rsidR="00426EFB" w:rsidRDefault="005B70E9" w:rsidP="0023673D">
      <w:pPr>
        <w:spacing w:after="160" w:line="259" w:lineRule="auto"/>
        <w:ind w:firstLine="0"/>
        <w:rPr>
          <w:b/>
          <w:bCs/>
        </w:rPr>
      </w:pPr>
      <w:bookmarkStart w:id="51" w:name="_Hlk45138108"/>
      <w:r>
        <w:t>Several</w:t>
      </w:r>
      <w:r w:rsidRPr="00242393">
        <w:t xml:space="preserve"> unit hemispheres are shown.</w:t>
      </w:r>
      <w:r w:rsidR="00983531">
        <w:t xml:space="preserve"> Each hemisphere has three dots denoting the points where the x-, y-, and z-axes intersect with the hemispheres. A black curve also shows the plane of intersection between each hemisphere and the x-y plane.</w:t>
      </w:r>
      <w:r w:rsidR="009F4D3A">
        <w:t xml:space="preserve"> </w:t>
      </w:r>
      <w:r w:rsidRPr="00242393">
        <w:t>The color of each point on a hemisphere denotes the error of the orientation that passes through that point. Average erro</w:t>
      </w:r>
      <w:r w:rsidR="00983531">
        <w:t>r</w:t>
      </w:r>
      <w:r w:rsidRPr="00242393">
        <w:t xml:space="preserve"> and systematic error are shown for </w:t>
      </w:r>
      <m:oMath>
        <m:r>
          <w:rPr>
            <w:rFonts w:ascii="Cambria Math" w:hAnsi="Cambria Math"/>
          </w:rPr>
          <m:t>ϕ</m:t>
        </m:r>
      </m:oMath>
      <w:r w:rsidRPr="00242393">
        <w:t xml:space="preserve"> and </w:t>
      </w:r>
      <m:oMath>
        <m:r>
          <w:rPr>
            <w:rFonts w:ascii="Cambria Math" w:hAnsi="Cambria Math"/>
          </w:rPr>
          <m:t>θ</m:t>
        </m:r>
      </m:oMath>
      <w:r w:rsidRPr="00242393">
        <w:t xml:space="preserve"> </w:t>
      </w:r>
      <w:r>
        <w:t>at five different signal</w:t>
      </w:r>
      <w:r w:rsidR="000E29BC">
        <w:t>-</w:t>
      </w:r>
      <w:r>
        <w:t>to</w:t>
      </w:r>
      <w:r w:rsidR="000E29BC">
        <w:t>-</w:t>
      </w:r>
      <w:r>
        <w:t>noise ratios</w:t>
      </w:r>
      <w:r w:rsidRPr="00242393">
        <w:t xml:space="preserve">. </w:t>
      </w:r>
      <w:bookmarkEnd w:id="50"/>
      <w:bookmarkEnd w:id="51"/>
      <w:r w:rsidR="00E620F3" w:rsidRPr="00426EFB">
        <w:rPr>
          <w:b/>
          <w:bCs/>
        </w:rPr>
        <w:br w:type="page"/>
      </w:r>
      <w:r w:rsidR="00426EFB">
        <w:rPr>
          <w:noProof/>
        </w:rPr>
        <w:lastRenderedPageBreak/>
        <w:drawing>
          <wp:inline distT="0" distB="0" distL="0" distR="0" wp14:anchorId="1DB6D2F3" wp14:editId="4C78ECA9">
            <wp:extent cx="5943600" cy="33597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359785"/>
                    </a:xfrm>
                    <a:prstGeom prst="rect">
                      <a:avLst/>
                    </a:prstGeom>
                    <a:noFill/>
                    <a:ln>
                      <a:noFill/>
                    </a:ln>
                  </pic:spPr>
                </pic:pic>
              </a:graphicData>
            </a:graphic>
          </wp:inline>
        </w:drawing>
      </w:r>
    </w:p>
    <w:p w14:paraId="5892CAC7" w14:textId="439203BB" w:rsidR="00983531" w:rsidRDefault="00426EFB" w:rsidP="00BD6925">
      <w:pPr>
        <w:pStyle w:val="Heading2"/>
      </w:pPr>
      <w:bookmarkStart w:id="52" w:name="_Toc51022540"/>
      <w:r>
        <w:t>Figure S5</w:t>
      </w:r>
      <w:r w:rsidR="00983531">
        <w:t xml:space="preserve">: </w:t>
      </w:r>
      <w:bookmarkStart w:id="53" w:name="_Hlk45138166"/>
      <w:r w:rsidR="00983531">
        <w:t>Extended analysis of Monte Carlo simulation results.</w:t>
      </w:r>
      <w:bookmarkEnd w:id="52"/>
      <w:bookmarkEnd w:id="53"/>
    </w:p>
    <w:p w14:paraId="53A5EDA1" w14:textId="77777777" w:rsidR="00BD6925" w:rsidRPr="00BD6925" w:rsidRDefault="00BD6925" w:rsidP="00BD6925"/>
    <w:p w14:paraId="1E20DF5A" w14:textId="41D1B973" w:rsidR="00342632" w:rsidRDefault="00983531" w:rsidP="0023673D">
      <w:pPr>
        <w:spacing w:after="160" w:line="259" w:lineRule="auto"/>
        <w:ind w:firstLine="0"/>
      </w:pPr>
      <w:bookmarkStart w:id="54" w:name="_Hlk45138173"/>
      <w:r>
        <w:rPr>
          <w:b/>
          <w:bCs/>
        </w:rPr>
        <w:t>a-</w:t>
      </w:r>
      <w:r w:rsidR="00230421">
        <w:rPr>
          <w:b/>
          <w:bCs/>
        </w:rPr>
        <w:t>d</w:t>
      </w:r>
      <w:r>
        <w:rPr>
          <w:b/>
          <w:bCs/>
        </w:rPr>
        <w:t>)</w:t>
      </w:r>
      <w:r>
        <w:t xml:space="preserve"> </w:t>
      </w:r>
      <m:oMath>
        <m:sSub>
          <m:sSubPr>
            <m:ctrlPr>
              <w:rPr>
                <w:rFonts w:ascii="Cambria Math" w:hAnsi="Cambria Math"/>
                <w:i/>
              </w:rPr>
            </m:ctrlPr>
          </m:sSubPr>
          <m:e>
            <m:r>
              <w:rPr>
                <w:rFonts w:ascii="Cambria Math" w:hAnsi="Cambria Math"/>
              </w:rPr>
              <m:t>ε</m:t>
            </m:r>
          </m:e>
          <m:sub>
            <m:r>
              <w:rPr>
                <w:rFonts w:ascii="Cambria Math" w:hAnsi="Cambria Math"/>
              </w:rPr>
              <m:t>θ</m:t>
            </m:r>
          </m:sub>
        </m:sSub>
      </m:oMath>
      <w:r>
        <w:t xml:space="preserve">, </w:t>
      </w:r>
      <m:oMath>
        <m:sSub>
          <m:sSubPr>
            <m:ctrlPr>
              <w:rPr>
                <w:rFonts w:ascii="Cambria Math" w:hAnsi="Cambria Math"/>
                <w:i/>
              </w:rPr>
            </m:ctrlPr>
          </m:sSubPr>
          <m:e>
            <m:r>
              <w:rPr>
                <w:rFonts w:ascii="Cambria Math" w:hAnsi="Cambria Math"/>
              </w:rPr>
              <m:t>ε</m:t>
            </m:r>
          </m:e>
          <m:sub>
            <m:r>
              <w:rPr>
                <w:rFonts w:ascii="Cambria Math" w:hAnsi="Cambria Math"/>
              </w:rPr>
              <m:t>ϕ</m:t>
            </m:r>
          </m:sub>
        </m:sSub>
      </m:oMath>
      <w:r>
        <w:t xml:space="preserve">, </w:t>
      </w:r>
      <m:oMath>
        <m:sSub>
          <m:sSubPr>
            <m:ctrlPr>
              <w:rPr>
                <w:rFonts w:ascii="Cambria Math" w:hAnsi="Cambria Math"/>
                <w:i/>
              </w:rPr>
            </m:ctrlPr>
          </m:sSubPr>
          <m:e>
            <m:r>
              <w:rPr>
                <w:rFonts w:ascii="Cambria Math" w:hAnsi="Cambria Math"/>
              </w:rPr>
              <m:t>σ</m:t>
            </m:r>
          </m:e>
          <m:sub>
            <m:r>
              <w:rPr>
                <w:rFonts w:ascii="Cambria Math" w:hAnsi="Cambria Math"/>
              </w:rPr>
              <m:t>θ</m:t>
            </m:r>
          </m:sub>
        </m:sSub>
      </m:oMath>
      <w:r>
        <w:t xml:space="preserve">, and </w:t>
      </w:r>
      <m:oMath>
        <m:sSub>
          <m:sSubPr>
            <m:ctrlPr>
              <w:rPr>
                <w:rFonts w:ascii="Cambria Math" w:hAnsi="Cambria Math"/>
                <w:i/>
              </w:rPr>
            </m:ctrlPr>
          </m:sSubPr>
          <m:e>
            <m:r>
              <w:rPr>
                <w:rFonts w:ascii="Cambria Math" w:hAnsi="Cambria Math"/>
              </w:rPr>
              <m:t>σ</m:t>
            </m:r>
          </m:e>
          <m:sub>
            <m:r>
              <w:rPr>
                <w:rFonts w:ascii="Cambria Math" w:hAnsi="Cambria Math"/>
              </w:rPr>
              <m:t>ϕ</m:t>
            </m:r>
          </m:sub>
        </m:sSub>
      </m:oMath>
      <w:r>
        <w:t xml:space="preserve"> as a function of </w:t>
      </w:r>
      <m:oMath>
        <m:r>
          <w:rPr>
            <w:rFonts w:ascii="Cambria Math" w:hAnsi="Cambria Math"/>
          </w:rPr>
          <m:t>ϕ</m:t>
        </m:r>
      </m:oMath>
      <w:r>
        <w:t xml:space="preserve"> with </w:t>
      </w:r>
      <m:oMath>
        <m:r>
          <w:rPr>
            <w:rFonts w:ascii="Cambria Math" w:hAnsi="Cambria Math"/>
          </w:rPr>
          <m:t>θ=90°</m:t>
        </m:r>
      </m:oMath>
      <w:r>
        <w:t xml:space="preserve"> at five different signal-to-noise levels. These results show that all four metrics exhibit small periodic variations with respect to </w:t>
      </w:r>
      <m:oMath>
        <m:r>
          <w:rPr>
            <w:rFonts w:ascii="Cambria Math" w:hAnsi="Cambria Math"/>
          </w:rPr>
          <m:t>ϕ</m:t>
        </m:r>
      </m:oMath>
      <w:r>
        <w:t xml:space="preserve">. </w:t>
      </w:r>
      <w:r w:rsidRPr="00983531">
        <w:rPr>
          <w:b/>
          <w:bCs/>
        </w:rPr>
        <w:t>e)</w:t>
      </w:r>
      <w:r w:rsidRPr="00983531">
        <w:t xml:space="preserve"> </w:t>
      </w:r>
      <w:r>
        <w:t>T</w:t>
      </w:r>
      <w:r w:rsidRPr="00983531">
        <w:t>he</w:t>
      </w:r>
      <w:r>
        <w:t xml:space="preserve"> average measured </w:t>
      </w:r>
      <m:oMath>
        <m:r>
          <w:rPr>
            <w:rFonts w:ascii="Cambria Math" w:hAnsi="Cambria Math"/>
          </w:rPr>
          <m:t>θ</m:t>
        </m:r>
      </m:oMath>
      <w:r>
        <w:t xml:space="preserve"> value, </w:t>
      </w:r>
      <m:oMath>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m:t>
            </m:r>
          </m:sup>
        </m:sSup>
        <m:r>
          <w:rPr>
            <w:rFonts w:ascii="Cambria Math" w:hAnsi="Cambria Math"/>
          </w:rPr>
          <m:t>⟩</m:t>
        </m:r>
      </m:oMath>
      <w:r>
        <w:t xml:space="preserve">, as a function of the true </w:t>
      </w:r>
      <m:oMath>
        <m:r>
          <w:rPr>
            <w:rFonts w:ascii="Cambria Math" w:hAnsi="Cambria Math"/>
          </w:rPr>
          <m:t>θ</m:t>
        </m:r>
      </m:oMath>
      <w:r>
        <w:t xml:space="preserve"> value.</w:t>
      </w:r>
      <w:r w:rsidR="009F4D3A">
        <w:t xml:space="preserve"> </w:t>
      </w:r>
      <w:r>
        <w:t>These results show a previously-observed</w:t>
      </w:r>
      <w:r w:rsidR="00230421">
        <w:fldChar w:fldCharType="begin"/>
      </w:r>
      <w:r w:rsidR="00B67140">
        <w:instrText xml:space="preserve"> ADDIN EN.CITE &lt;EndNote&gt;&lt;Cite&gt;&lt;Author&gt;Brockman&lt;/Author&gt;&lt;Year&gt;2017&lt;/Year&gt;&lt;RecNum&gt;49&lt;/RecNum&gt;&lt;DisplayText&gt;&lt;style face="superscript"&gt;1&lt;/style&gt;&lt;/DisplayText&gt;&lt;record&gt;&lt;rec-number&gt;49&lt;/rec-number&gt;&lt;foreign-keys&gt;&lt;key app="EN" db-id="pp0zrzdw6s9vz3eza5fvff2fzdat0vpaeet5" timestamp="1522010277"&gt;49&lt;/key&gt;&lt;/foreign-keys&gt;&lt;ref-type name="Journal Article"&gt;17&lt;/ref-type&gt;&lt;contributors&gt;&lt;authors&gt;&lt;author&gt;Brockman, Joshua M.&lt;/author&gt;&lt;author&gt;Blanchard, Aaron T.&lt;/author&gt;&lt;author&gt;Pui-Yan Ma, Victor&lt;/author&gt;&lt;author&gt;Derricotte, Wallace D.&lt;/author&gt;&lt;author&gt;Zhang, Yun&lt;/author&gt;&lt;author&gt;Fay, Meredith E.&lt;/author&gt;&lt;author&gt;Lam, Wilbur A.&lt;/author&gt;&lt;author&gt;Evangelista, Francesco A.&lt;/author&gt;&lt;author&gt;Mattheyses, Alexa L.&lt;/author&gt;&lt;author&gt;Salaita, Khalid&lt;/author&gt;&lt;/authors&gt;&lt;/contributors&gt;&lt;auth-address&gt;Wallace H. Coulter Department of Biomedical Engineering, Georgia Institute of Technology and Emory University, Atlanta, Georgia, USA.&amp;#xD;Department of Chemistry, Emory University, Atlanta, Georgia, USA.&amp;#xD;Department of Cell Biology, Emory University School of Medicine, Atlanta, Georgia, USA.&lt;/auth-address&gt;&lt;titles&gt;&lt;title&gt;Mapping the 3D orientation of piconewton integrin traction forces&lt;/title&gt;&lt;secondary-title&gt;Nature Methods&lt;/secondary-title&gt;&lt;/titles&gt;&lt;periodical&gt;&lt;full-title&gt;Nature Methods&lt;/full-title&gt;&lt;abbr-1&gt;Nat. Methods&lt;/abbr-1&gt;&lt;abbr-2&gt;Nat Methods&lt;/abbr-2&gt;&lt;/periodical&gt;&lt;pages&gt;115&lt;/pages&gt;&lt;volume&gt;15&lt;/volume&gt;&lt;dates&gt;&lt;year&gt;2017&lt;/year&gt;&lt;pub-dates&gt;&lt;date&gt;12/11/online&lt;/date&gt;&lt;/pub-dates&gt;&lt;/dates&gt;&lt;isbn&gt;1548-7105 (Electronic)&amp;#xD;1548-7091 (Linking)&lt;/isbn&gt;&lt;accession-num&gt;29256495&lt;/accession-num&gt;&lt;urls&gt;&lt;related-urls&gt;&lt;url&gt;https://doi.org/10.1038/nmeth.4536&lt;/url&gt;&lt;/related-urls&gt;&lt;/urls&gt;&lt;electronic-resource-num&gt;10.1038/nmeth.4536&lt;/electronic-resource-num&gt;&lt;/record&gt;&lt;/Cite&gt;&lt;/EndNote&gt;</w:instrText>
      </w:r>
      <w:r w:rsidR="00230421">
        <w:fldChar w:fldCharType="separate"/>
      </w:r>
      <w:r w:rsidR="00B67140" w:rsidRPr="00B67140">
        <w:rPr>
          <w:noProof/>
          <w:vertAlign w:val="superscript"/>
        </w:rPr>
        <w:t>1</w:t>
      </w:r>
      <w:r w:rsidR="00230421">
        <w:fldChar w:fldCharType="end"/>
      </w:r>
      <w:r>
        <w:t xml:space="preserve"> result: </w:t>
      </w:r>
      <m:oMath>
        <m:r>
          <w:rPr>
            <w:rFonts w:ascii="Cambria Math" w:hAnsi="Cambria Math"/>
          </w:rPr>
          <m:t>θ</m:t>
        </m:r>
      </m:oMath>
      <w:r>
        <w:t xml:space="preserve"> is biased systematically towards higher values when </w:t>
      </w:r>
      <m:oMath>
        <m:r>
          <w:rPr>
            <w:rFonts w:ascii="Cambria Math" w:hAnsi="Cambria Math"/>
          </w:rPr>
          <m:t>θ</m:t>
        </m:r>
      </m:oMath>
      <w:r>
        <w:t xml:space="preserve"> is very low because noise generally causes an increase in the best-fit sinusoid’s amplitude. This effect decreases with increasing signal-to-noise. </w:t>
      </w:r>
      <w:r w:rsidRPr="000E29BC">
        <w:rPr>
          <w:b/>
          <w:bCs/>
        </w:rPr>
        <w:t>f)</w:t>
      </w:r>
      <w:r>
        <w:t xml:space="preserve"> Range of curves shown in </w:t>
      </w:r>
      <w:r w:rsidRPr="00983531">
        <w:rPr>
          <w:b/>
          <w:bCs/>
        </w:rPr>
        <w:t>a-d</w:t>
      </w:r>
      <w:r>
        <w:t xml:space="preserve"> showing the amplitude of the variation with respect to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t xml:space="preserve">. The curve for </w:t>
      </w:r>
      <m:oMath>
        <m:sSub>
          <m:sSubPr>
            <m:ctrlPr>
              <w:rPr>
                <w:rFonts w:ascii="Cambria Math" w:hAnsi="Cambria Math"/>
                <w:i/>
              </w:rPr>
            </m:ctrlPr>
          </m:sSubPr>
          <m:e>
            <m:r>
              <w:rPr>
                <w:rFonts w:ascii="Cambria Math" w:hAnsi="Cambria Math"/>
              </w:rPr>
              <m:t>ε</m:t>
            </m:r>
          </m:e>
          <m:sub>
            <m:r>
              <w:rPr>
                <w:rFonts w:ascii="Cambria Math" w:hAnsi="Cambria Math"/>
              </w:rPr>
              <m:t>θ</m:t>
            </m:r>
          </m:sub>
        </m:sSub>
      </m:oMath>
      <w:r>
        <w:t xml:space="preserve"> is not shown because </w:t>
      </w:r>
      <m:oMath>
        <m:sSub>
          <m:sSubPr>
            <m:ctrlPr>
              <w:rPr>
                <w:rFonts w:ascii="Cambria Math" w:hAnsi="Cambria Math"/>
                <w:i/>
              </w:rPr>
            </m:ctrlPr>
          </m:sSubPr>
          <m:e>
            <m:r>
              <w:rPr>
                <w:rFonts w:ascii="Cambria Math" w:hAnsi="Cambria Math"/>
              </w:rPr>
              <m:t>σ</m:t>
            </m:r>
          </m:e>
          <m:sub>
            <m:r>
              <w:rPr>
                <w:rFonts w:ascii="Cambria Math" w:hAnsi="Cambria Math"/>
              </w:rPr>
              <m:t>θ</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θ</m:t>
            </m:r>
          </m:sub>
        </m:sSub>
      </m:oMath>
      <w:r>
        <w:t xml:space="preserve"> when </w:t>
      </w:r>
      <m:oMath>
        <m:r>
          <w:rPr>
            <w:rFonts w:ascii="Cambria Math" w:hAnsi="Cambria Math"/>
          </w:rPr>
          <m:t>θ=90°</m:t>
        </m:r>
      </m:oMath>
      <w:r>
        <w:t xml:space="preserve">, making the two range curves equivalent. </w:t>
      </w:r>
      <w:r w:rsidRPr="00983531">
        <w:rPr>
          <w:b/>
          <w:bCs/>
        </w:rPr>
        <w:t>g)</w:t>
      </w:r>
      <w:r w:rsidR="00342632">
        <w:t xml:space="preserve"> Average of </w:t>
      </w:r>
      <m:oMath>
        <m:sSub>
          <m:sSubPr>
            <m:ctrlPr>
              <w:rPr>
                <w:rFonts w:ascii="Cambria Math" w:hAnsi="Cambria Math"/>
                <w:i/>
              </w:rPr>
            </m:ctrlPr>
          </m:sSubPr>
          <m:e>
            <m:r>
              <w:rPr>
                <w:rFonts w:ascii="Cambria Math" w:hAnsi="Cambria Math"/>
              </w:rPr>
              <m:t>ε</m:t>
            </m:r>
          </m:e>
          <m:sub>
            <m:r>
              <w:rPr>
                <w:rFonts w:ascii="Cambria Math" w:hAnsi="Cambria Math"/>
              </w:rPr>
              <m:t>θ</m:t>
            </m:r>
          </m:sub>
        </m:sSub>
      </m:oMath>
      <w:r w:rsidR="00342632">
        <w:t xml:space="preserve">, </w:t>
      </w:r>
      <m:oMath>
        <m:sSub>
          <m:sSubPr>
            <m:ctrlPr>
              <w:rPr>
                <w:rFonts w:ascii="Cambria Math" w:hAnsi="Cambria Math"/>
                <w:i/>
              </w:rPr>
            </m:ctrlPr>
          </m:sSubPr>
          <m:e>
            <m:r>
              <w:rPr>
                <w:rFonts w:ascii="Cambria Math" w:hAnsi="Cambria Math"/>
              </w:rPr>
              <m:t>ε</m:t>
            </m:r>
          </m:e>
          <m:sub>
            <m:r>
              <w:rPr>
                <w:rFonts w:ascii="Cambria Math" w:hAnsi="Cambria Math"/>
              </w:rPr>
              <m:t>ϕ</m:t>
            </m:r>
          </m:sub>
        </m:sSub>
      </m:oMath>
      <w:r w:rsidR="00342632">
        <w:t xml:space="preserve">, </w:t>
      </w:r>
      <m:oMath>
        <m:sSub>
          <m:sSubPr>
            <m:ctrlPr>
              <w:rPr>
                <w:rFonts w:ascii="Cambria Math" w:hAnsi="Cambria Math"/>
                <w:i/>
              </w:rPr>
            </m:ctrlPr>
          </m:sSubPr>
          <m:e>
            <m:r>
              <w:rPr>
                <w:rFonts w:ascii="Cambria Math" w:hAnsi="Cambria Math"/>
              </w:rPr>
              <m:t>σ</m:t>
            </m:r>
          </m:e>
          <m:sub>
            <m:r>
              <w:rPr>
                <w:rFonts w:ascii="Cambria Math" w:hAnsi="Cambria Math"/>
              </w:rPr>
              <m:t>θ</m:t>
            </m:r>
          </m:sub>
        </m:sSub>
      </m:oMath>
      <w:r w:rsidR="00342632">
        <w:t xml:space="preserve">, and </w:t>
      </w:r>
      <m:oMath>
        <m:sSub>
          <m:sSubPr>
            <m:ctrlPr>
              <w:rPr>
                <w:rFonts w:ascii="Cambria Math" w:hAnsi="Cambria Math"/>
                <w:i/>
              </w:rPr>
            </m:ctrlPr>
          </m:sSubPr>
          <m:e>
            <m:r>
              <w:rPr>
                <w:rFonts w:ascii="Cambria Math" w:hAnsi="Cambria Math"/>
              </w:rPr>
              <m:t>σ</m:t>
            </m:r>
          </m:e>
          <m:sub>
            <m:r>
              <w:rPr>
                <w:rFonts w:ascii="Cambria Math" w:hAnsi="Cambria Math"/>
              </w:rPr>
              <m:t>ϕ</m:t>
            </m:r>
          </m:sub>
        </m:sSub>
      </m:oMath>
      <w:r w:rsidR="00342632">
        <w:t xml:space="preserve"> curves shown in </w:t>
      </w:r>
      <w:r w:rsidR="00342632" w:rsidRPr="00342632">
        <w:rPr>
          <w:b/>
          <w:bCs/>
        </w:rPr>
        <w:t>a-d</w:t>
      </w:r>
      <w:r w:rsidR="00342632">
        <w:t xml:space="preserve"> as a function of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rsidR="00342632">
        <w:t>, showing that all four types of error decrease with increasing signal-to-noise.</w:t>
      </w:r>
    </w:p>
    <w:bookmarkEnd w:id="54"/>
    <w:p w14:paraId="2C67B1CC" w14:textId="3A9C6D7B" w:rsidR="00426EFB" w:rsidRDefault="00426EFB">
      <w:pPr>
        <w:spacing w:after="160" w:line="259" w:lineRule="auto"/>
        <w:ind w:firstLine="0"/>
        <w:jc w:val="left"/>
        <w:rPr>
          <w:b/>
          <w:bCs/>
        </w:rPr>
      </w:pPr>
      <w:r>
        <w:rPr>
          <w:b/>
          <w:bCs/>
        </w:rPr>
        <w:br w:type="page"/>
      </w:r>
      <w:r w:rsidR="00983531">
        <w:rPr>
          <w:b/>
          <w:bCs/>
        </w:rPr>
        <w:lastRenderedPageBreak/>
        <w:t xml:space="preserve"> </w:t>
      </w:r>
    </w:p>
    <w:p w14:paraId="10B216AD" w14:textId="77777777" w:rsidR="00E620F3" w:rsidRPr="00426EFB" w:rsidRDefault="00E620F3" w:rsidP="00E620F3">
      <w:pPr>
        <w:spacing w:after="160" w:line="259" w:lineRule="auto"/>
        <w:ind w:firstLine="0"/>
        <w:jc w:val="left"/>
        <w:rPr>
          <w:b/>
          <w:bCs/>
        </w:rPr>
      </w:pPr>
    </w:p>
    <w:p w14:paraId="19EF0C6F" w14:textId="77777777" w:rsidR="00FE4766" w:rsidRDefault="00840363">
      <w:pPr>
        <w:spacing w:after="160" w:line="259" w:lineRule="auto"/>
        <w:ind w:firstLine="0"/>
        <w:jc w:val="left"/>
      </w:pPr>
      <w:r>
        <w:rPr>
          <w:noProof/>
        </w:rPr>
        <w:drawing>
          <wp:inline distT="0" distB="0" distL="0" distR="0" wp14:anchorId="3582A766" wp14:editId="084B22B3">
            <wp:extent cx="5943600" cy="21666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166620"/>
                    </a:xfrm>
                    <a:prstGeom prst="rect">
                      <a:avLst/>
                    </a:prstGeom>
                    <a:noFill/>
                    <a:ln>
                      <a:noFill/>
                    </a:ln>
                  </pic:spPr>
                </pic:pic>
              </a:graphicData>
            </a:graphic>
          </wp:inline>
        </w:drawing>
      </w:r>
    </w:p>
    <w:p w14:paraId="02BCB4CD" w14:textId="7798C945" w:rsidR="00FE4766" w:rsidRDefault="00FE4766" w:rsidP="00FE4766">
      <w:pPr>
        <w:pStyle w:val="Heading2"/>
      </w:pPr>
      <w:bookmarkStart w:id="55" w:name="_Toc47832205"/>
      <w:bookmarkStart w:id="56" w:name="_Toc47832260"/>
      <w:bookmarkStart w:id="57" w:name="_Toc51022541"/>
      <w:r w:rsidRPr="0006589F">
        <w:t xml:space="preserve">Figure </w:t>
      </w:r>
      <w:r w:rsidR="00426EFB">
        <w:t>S6</w:t>
      </w:r>
      <w:r w:rsidRPr="0006589F">
        <w:t xml:space="preserve">: </w:t>
      </w:r>
      <w:bookmarkStart w:id="58" w:name="_Hlk45138355"/>
      <w:r>
        <w:t xml:space="preserve">Dependence of measured </w:t>
      </w:r>
      <m:oMath>
        <m:r>
          <m:rPr>
            <m:sty m:val="bi"/>
          </m:rPr>
          <w:rPr>
            <w:rFonts w:ascii="Cambria Math" w:hAnsi="Cambria Math"/>
          </w:rPr>
          <m:t>⟨θ⟩</m:t>
        </m:r>
      </m:oMath>
      <w:r>
        <w:t xml:space="preserve"> on measured </w:t>
      </w:r>
      <m:oMath>
        <m:r>
          <m:rPr>
            <m:sty m:val="bi"/>
          </m:rPr>
          <w:rPr>
            <w:rFonts w:ascii="Cambria Math" w:hAnsi="Cambria Math"/>
          </w:rPr>
          <m:t>ϕ</m:t>
        </m:r>
      </m:oMath>
      <w:r>
        <w:t xml:space="preserve"> values.</w:t>
      </w:r>
      <w:bookmarkEnd w:id="55"/>
      <w:bookmarkEnd w:id="56"/>
      <w:bookmarkEnd w:id="57"/>
    </w:p>
    <w:p w14:paraId="3B6E4318" w14:textId="77777777" w:rsidR="0091320E" w:rsidRPr="0091320E" w:rsidRDefault="0091320E" w:rsidP="0091320E"/>
    <w:p w14:paraId="4B29C7E4" w14:textId="41B06062" w:rsidR="001E6781" w:rsidRDefault="00342632" w:rsidP="00A13645">
      <w:pPr>
        <w:ind w:firstLine="0"/>
      </w:pPr>
      <w:r w:rsidRPr="00342632">
        <w:t xml:space="preserve">A </w:t>
      </w:r>
      <w:r>
        <w:t xml:space="preserve">500-point </w:t>
      </w:r>
      <w:r w:rsidRPr="00342632">
        <w:t xml:space="preserve">rolling </w:t>
      </w:r>
      <w:r>
        <w:t xml:space="preserve">average of </w:t>
      </w:r>
      <m:oMath>
        <m:r>
          <w:rPr>
            <w:rFonts w:ascii="Cambria Math" w:hAnsi="Cambria Math"/>
          </w:rPr>
          <m:t>θ</m:t>
        </m:r>
      </m:oMath>
      <w:r>
        <w:t xml:space="preserve"> values accumulated from </w:t>
      </w:r>
      <w:r w:rsidR="000E29BC">
        <w:t>3</w:t>
      </w:r>
      <w:r>
        <w:t xml:space="preserve">7 platelet images as a function of </w:t>
      </w:r>
      <m:oMath>
        <m:r>
          <w:rPr>
            <w:rFonts w:ascii="Cambria Math" w:hAnsi="Cambria Math"/>
          </w:rPr>
          <m:t>ϕ</m:t>
        </m:r>
      </m:oMath>
      <w:r>
        <w:t xml:space="preserve">. Plot is shown with the y-axis spanning the full range of potential </w:t>
      </w:r>
      <m:oMath>
        <m:r>
          <w:rPr>
            <w:rFonts w:ascii="Cambria Math" w:hAnsi="Cambria Math"/>
          </w:rPr>
          <m:t>θ</m:t>
        </m:r>
      </m:oMath>
      <w:r>
        <w:t xml:space="preserve"> values (left) and a zoom in on the curves</w:t>
      </w:r>
      <w:r w:rsidR="0057450E">
        <w:t xml:space="preserve"> (right)</w:t>
      </w:r>
      <w:r>
        <w:t>. Three curves are shown, with thresholds cutoffs set as the 67</w:t>
      </w:r>
      <w:r w:rsidRPr="00342632">
        <w:rPr>
          <w:vertAlign w:val="superscript"/>
        </w:rPr>
        <w:t>th</w:t>
      </w:r>
      <w:r>
        <w:t>, 84</w:t>
      </w:r>
      <w:r w:rsidRPr="00342632">
        <w:rPr>
          <w:vertAlign w:val="superscript"/>
        </w:rPr>
        <w:t>th</w:t>
      </w:r>
      <w:r>
        <w:t>, and 97</w:t>
      </w:r>
      <w:r w:rsidRPr="00342632">
        <w:rPr>
          <w:vertAlign w:val="superscript"/>
        </w:rPr>
        <w:t>th</w:t>
      </w:r>
      <w:r>
        <w:t xml:space="preserve"> percentiles of the accumulated dataset’s intensity values</w:t>
      </w:r>
      <w:r w:rsidR="0057450E">
        <w:t xml:space="preserve">. The similarity between the curves shows that the slight variation with respect to </w:t>
      </w:r>
      <m:oMath>
        <m:r>
          <w:rPr>
            <w:rFonts w:ascii="Cambria Math" w:hAnsi="Cambria Math"/>
          </w:rPr>
          <m:t>ϕ</m:t>
        </m:r>
      </m:oMath>
      <w:r w:rsidR="0057450E">
        <w:t xml:space="preserve"> is not an artifact of the selected signal threshold cutoff.</w:t>
      </w:r>
    </w:p>
    <w:p w14:paraId="660A6E02" w14:textId="77777777" w:rsidR="00523997" w:rsidRDefault="001E6781">
      <w:pPr>
        <w:spacing w:after="160" w:line="259" w:lineRule="auto"/>
        <w:ind w:firstLine="0"/>
        <w:jc w:val="left"/>
      </w:pPr>
      <w:r>
        <w:br w:type="page"/>
      </w:r>
      <w:r w:rsidR="00523997">
        <w:rPr>
          <w:noProof/>
        </w:rPr>
        <w:lastRenderedPageBreak/>
        <w:drawing>
          <wp:inline distT="0" distB="0" distL="0" distR="0" wp14:anchorId="1D58AE11" wp14:editId="5427DB06">
            <wp:extent cx="5859780" cy="4152900"/>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59780" cy="4152900"/>
                    </a:xfrm>
                    <a:prstGeom prst="rect">
                      <a:avLst/>
                    </a:prstGeom>
                    <a:noFill/>
                    <a:ln>
                      <a:noFill/>
                    </a:ln>
                  </pic:spPr>
                </pic:pic>
              </a:graphicData>
            </a:graphic>
          </wp:inline>
        </w:drawing>
      </w:r>
    </w:p>
    <w:p w14:paraId="392B2987" w14:textId="2AC97364" w:rsidR="00523997" w:rsidRDefault="00523997" w:rsidP="00523997">
      <w:pPr>
        <w:pStyle w:val="Heading2"/>
      </w:pPr>
      <w:bookmarkStart w:id="59" w:name="_Toc47832206"/>
      <w:bookmarkStart w:id="60" w:name="_Toc47832261"/>
      <w:bookmarkStart w:id="61" w:name="_Toc51022542"/>
      <w:r w:rsidRPr="0006589F">
        <w:t xml:space="preserve">Figure </w:t>
      </w:r>
      <w:r>
        <w:t>S7</w:t>
      </w:r>
      <w:r w:rsidRPr="0006589F">
        <w:t xml:space="preserve">: </w:t>
      </w:r>
      <w:r>
        <w:t>Quantification of tension area</w:t>
      </w:r>
      <w:bookmarkEnd w:id="59"/>
      <w:bookmarkEnd w:id="60"/>
      <w:bookmarkEnd w:id="61"/>
    </w:p>
    <w:p w14:paraId="0D5C8E43" w14:textId="77777777" w:rsidR="0091320E" w:rsidRPr="0091320E" w:rsidRDefault="0091320E" w:rsidP="0091320E"/>
    <w:p w14:paraId="3AF4B2DE" w14:textId="0D33E211" w:rsidR="00FE0EBE" w:rsidRDefault="00523997" w:rsidP="00A13645">
      <w:pPr>
        <w:ind w:firstLine="0"/>
      </w:pPr>
      <w:r>
        <w:t>Tension area (</w:t>
      </w:r>
      <m:oMath>
        <m:r>
          <w:rPr>
            <w:rFonts w:ascii="Cambria Math" w:hAnsi="Cambria Math"/>
          </w:rPr>
          <m:t>T</m:t>
        </m:r>
      </m:oMath>
      <w:r>
        <w:t xml:space="preserve">) was quantified using a thresholding-based process shown here. And </w:t>
      </w:r>
      <m:oMath>
        <m:sSub>
          <m:sSubPr>
            <m:ctrlPr>
              <w:rPr>
                <w:rFonts w:ascii="Cambria Math" w:hAnsi="Cambria Math"/>
                <w:i/>
              </w:rPr>
            </m:ctrlPr>
          </m:sSubPr>
          <m:e>
            <m:r>
              <w:rPr>
                <w:rFonts w:ascii="Cambria Math" w:hAnsi="Cambria Math"/>
              </w:rPr>
              <m:t>I</m:t>
            </m:r>
          </m:e>
          <m:sub>
            <m:r>
              <w:rPr>
                <w:rFonts w:ascii="Cambria Math" w:hAnsi="Cambria Math"/>
              </w:rPr>
              <m:t>avg</m:t>
            </m:r>
          </m:sub>
        </m:sSub>
      </m:oMath>
      <w:r>
        <w:t xml:space="preserve"> image was first thresholded such that pixels with a greater than 50% increase in intensity compared to background were kept. Then, Objects smaller than 20 pixels were removed. This simple two</w:t>
      </w:r>
      <w:r w:rsidR="00473CD7">
        <w:t>-</w:t>
      </w:r>
      <w:r>
        <w:t>step combination produces a mask that retains the vast majority of molecular tension signal, yet simultaneously discards cell-free background pixels with high fidelity. Tension area was then calculated by multiplying the number of pixels in the mask by the area per pixel (equal to (41.7 nm)</w:t>
      </w:r>
      <w:r w:rsidRPr="00523997">
        <w:rPr>
          <w:vertAlign w:val="superscript"/>
        </w:rPr>
        <w:t>2</w:t>
      </w:r>
      <w:r>
        <w:t>). For timelapse quantification of tension area, this process was repeated on each image in the stack.</w:t>
      </w:r>
    </w:p>
    <w:p w14:paraId="13962CCF" w14:textId="77777777" w:rsidR="00FE0EBE" w:rsidRDefault="00FE0EBE">
      <w:pPr>
        <w:spacing w:after="160" w:line="259" w:lineRule="auto"/>
        <w:ind w:firstLine="0"/>
        <w:jc w:val="left"/>
      </w:pPr>
      <w:r>
        <w:br w:type="page"/>
      </w:r>
    </w:p>
    <w:p w14:paraId="0FD2CADE" w14:textId="2914B8DC" w:rsidR="00045650" w:rsidRDefault="00045650">
      <w:pPr>
        <w:spacing w:after="160" w:line="259" w:lineRule="auto"/>
        <w:ind w:firstLine="0"/>
        <w:jc w:val="left"/>
      </w:pPr>
      <w:r>
        <w:rPr>
          <w:noProof/>
        </w:rPr>
        <w:lastRenderedPageBreak/>
        <w:drawing>
          <wp:inline distT="0" distB="0" distL="0" distR="0" wp14:anchorId="4CC28BC2" wp14:editId="69B176FC">
            <wp:extent cx="5928360" cy="364540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928360" cy="3645407"/>
                    </a:xfrm>
                    <a:prstGeom prst="rect">
                      <a:avLst/>
                    </a:prstGeom>
                    <a:noFill/>
                    <a:ln>
                      <a:noFill/>
                    </a:ln>
                  </pic:spPr>
                </pic:pic>
              </a:graphicData>
            </a:graphic>
          </wp:inline>
        </w:drawing>
      </w:r>
      <w:r>
        <w:t xml:space="preserve"> </w:t>
      </w:r>
    </w:p>
    <w:p w14:paraId="7CA0F9C9" w14:textId="5B47ACCB" w:rsidR="00045650" w:rsidRDefault="00045650" w:rsidP="00045650">
      <w:pPr>
        <w:pStyle w:val="Heading2"/>
      </w:pPr>
      <w:bookmarkStart w:id="62" w:name="_Toc47832207"/>
      <w:bookmarkStart w:id="63" w:name="_Toc47832262"/>
      <w:bookmarkStart w:id="64" w:name="_Toc51022543"/>
      <w:r w:rsidRPr="0006589F">
        <w:t xml:space="preserve">Figure </w:t>
      </w:r>
      <w:r>
        <w:t>S</w:t>
      </w:r>
      <w:r w:rsidR="00FE0EBE">
        <w:t>8</w:t>
      </w:r>
      <w:r w:rsidRPr="0006589F">
        <w:t xml:space="preserve">: </w:t>
      </w:r>
      <w:r>
        <w:t>Quantification of the alignment parameter and primary axis of contraction</w:t>
      </w:r>
      <w:bookmarkEnd w:id="62"/>
      <w:bookmarkEnd w:id="63"/>
      <w:bookmarkEnd w:id="64"/>
    </w:p>
    <w:p w14:paraId="44B3CC24" w14:textId="77777777" w:rsidR="0091320E" w:rsidRPr="0091320E" w:rsidRDefault="0091320E" w:rsidP="0091320E"/>
    <w:p w14:paraId="469B8FE0" w14:textId="0F5FA2FD" w:rsidR="00FE0EBE" w:rsidRDefault="00045650" w:rsidP="00045650">
      <w:pPr>
        <w:ind w:firstLine="0"/>
      </w:pPr>
      <w:r>
        <w:t>The alignment parameter</w:t>
      </w:r>
      <w:r w:rsidR="0091320E">
        <w:fldChar w:fldCharType="begin"/>
      </w:r>
      <w:r w:rsidR="005242B6">
        <w:instrText xml:space="preserve"> ADDIN EN.CITE &lt;EndNote&gt;&lt;Cite&gt;&lt;Year&gt;1999&lt;/Year&gt;&lt;RecNum&gt;418&lt;/RecNum&gt;&lt;DisplayText&gt;&lt;style face="superscript"&gt;4&lt;/style&gt;&lt;/DisplayText&gt;&lt;record&gt;&lt;rec-number&gt;418&lt;/rec-number&gt;&lt;foreign-keys&gt;&lt;key app="EN" db-id="pp0zrzdw6s9vz3eza5fvff2fzdat0vpaeet5" timestamp="1599059812"&gt;418&lt;/key&gt;&lt;/foreign-keys&gt;&lt;ref-type name="Book Section"&gt;5&lt;/ref-type&gt;&lt;contributors&gt;&lt;/contributors&gt;&lt;titles&gt;&lt;title&gt;Summary Statistics&lt;/title&gt;&lt;secondary-title&gt;Directional Statistics&lt;/secondary-title&gt;&lt;/titles&gt;&lt;pages&gt;13-24&lt;/pages&gt;&lt;dates&gt;&lt;year&gt;1999&lt;/year&gt;&lt;/dates&gt;&lt;urls&gt;&lt;related-urls&gt;&lt;url&gt;https://onlinelibrary.wiley.com/doi/abs/10.1002/9780470316979.ch2&lt;/url&gt;&lt;/related-urls&gt;&lt;/urls&gt;&lt;electronic-resource-num&gt;10.1002/9780470316979.ch2&lt;/electronic-resource-num&gt;&lt;/record&gt;&lt;/Cite&gt;&lt;/EndNote&gt;</w:instrText>
      </w:r>
      <w:r w:rsidR="0091320E">
        <w:fldChar w:fldCharType="separate"/>
      </w:r>
      <w:r w:rsidR="005242B6" w:rsidRPr="005242B6">
        <w:rPr>
          <w:noProof/>
          <w:vertAlign w:val="superscript"/>
        </w:rPr>
        <w:t>4</w:t>
      </w:r>
      <w:r w:rsidR="0091320E">
        <w:fldChar w:fldCharType="end"/>
      </w:r>
      <w:r>
        <w:t xml:space="preserve"> (</w:t>
      </w:r>
      <m:oMath>
        <m:r>
          <w:rPr>
            <w:rFonts w:ascii="Cambria Math" w:hAnsi="Cambria Math"/>
          </w:rPr>
          <m:t>R</m:t>
        </m:r>
      </m:oMath>
      <w:r>
        <w:t>) and the axis of contraction were determined via a process described in the figure.</w:t>
      </w:r>
      <w:r w:rsidR="0091320E">
        <w:t xml:space="preserve"> </w:t>
      </w:r>
    </w:p>
    <w:p w14:paraId="62FC8253" w14:textId="77777777" w:rsidR="00FE0EBE" w:rsidRDefault="00FE0EBE">
      <w:pPr>
        <w:spacing w:after="160" w:line="259" w:lineRule="auto"/>
        <w:ind w:firstLine="0"/>
        <w:jc w:val="left"/>
      </w:pPr>
      <w:r>
        <w:br w:type="page"/>
      </w:r>
    </w:p>
    <w:p w14:paraId="0C208FC2" w14:textId="77777777" w:rsidR="00FE0EBE" w:rsidRDefault="00FE0EBE" w:rsidP="00FE0EBE">
      <w:pPr>
        <w:ind w:firstLine="0"/>
      </w:pPr>
      <w:r>
        <w:rPr>
          <w:noProof/>
        </w:rPr>
        <w:lastRenderedPageBreak/>
        <w:drawing>
          <wp:inline distT="0" distB="0" distL="0" distR="0" wp14:anchorId="7B5F5812" wp14:editId="13C29757">
            <wp:extent cx="5943600" cy="64401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6440170"/>
                    </a:xfrm>
                    <a:prstGeom prst="rect">
                      <a:avLst/>
                    </a:prstGeom>
                    <a:noFill/>
                    <a:ln>
                      <a:noFill/>
                    </a:ln>
                  </pic:spPr>
                </pic:pic>
              </a:graphicData>
            </a:graphic>
          </wp:inline>
        </w:drawing>
      </w:r>
      <w:r>
        <w:t xml:space="preserve"> </w:t>
      </w:r>
    </w:p>
    <w:p w14:paraId="5837C4A4" w14:textId="5399F847" w:rsidR="00FE0EBE" w:rsidRDefault="00FE0EBE" w:rsidP="00FE0EBE">
      <w:pPr>
        <w:pStyle w:val="Heading2"/>
      </w:pPr>
      <w:bookmarkStart w:id="65" w:name="_Toc51022544"/>
      <w:r w:rsidRPr="0006589F">
        <w:t xml:space="preserve">Figure </w:t>
      </w:r>
      <w:r>
        <w:t>S9</w:t>
      </w:r>
      <w:r w:rsidRPr="0006589F">
        <w:t xml:space="preserve">: </w:t>
      </w:r>
      <w:r>
        <w:t>Quantification of the alignment parameter and primary axis of contraction</w:t>
      </w:r>
      <w:bookmarkEnd w:id="65"/>
    </w:p>
    <w:p w14:paraId="6E7FA623" w14:textId="77777777" w:rsidR="00FE0EBE" w:rsidRPr="0091320E" w:rsidRDefault="00FE0EBE" w:rsidP="00FE0EBE"/>
    <w:p w14:paraId="32156F66" w14:textId="4D8BACF5" w:rsidR="00FE0EBE" w:rsidRDefault="00473CD7" w:rsidP="00FE0EBE">
      <w:pPr>
        <w:ind w:firstLine="0"/>
      </w:pPr>
      <w:r>
        <w:t>Four example timelapses of platelets spreading on surfaces, exhibiting gradual increases in alignment. For each timelapse, tension area (black circles) and the calculated alignment parameter (blue circles) are plotted on the right.</w:t>
      </w:r>
    </w:p>
    <w:p w14:paraId="1A2B6F75" w14:textId="77777777" w:rsidR="00045650" w:rsidRDefault="00045650" w:rsidP="00045650">
      <w:pPr>
        <w:ind w:firstLine="0"/>
      </w:pPr>
    </w:p>
    <w:p w14:paraId="59DAE046" w14:textId="08D2D4C6" w:rsidR="00516E89" w:rsidRDefault="00045650">
      <w:pPr>
        <w:spacing w:after="160" w:line="259" w:lineRule="auto"/>
        <w:ind w:firstLine="0"/>
        <w:jc w:val="left"/>
      </w:pPr>
      <w:r>
        <w:br w:type="page"/>
      </w:r>
      <w:r w:rsidR="00516E89">
        <w:rPr>
          <w:noProof/>
        </w:rPr>
        <w:lastRenderedPageBreak/>
        <w:drawing>
          <wp:inline distT="0" distB="0" distL="0" distR="0" wp14:anchorId="46084C5E" wp14:editId="185D5DB7">
            <wp:extent cx="5902211" cy="5097780"/>
            <wp:effectExtent l="0" t="0" r="381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902211" cy="5097780"/>
                    </a:xfrm>
                    <a:prstGeom prst="rect">
                      <a:avLst/>
                    </a:prstGeom>
                    <a:noFill/>
                    <a:ln>
                      <a:noFill/>
                    </a:ln>
                  </pic:spPr>
                </pic:pic>
              </a:graphicData>
            </a:graphic>
          </wp:inline>
        </w:drawing>
      </w:r>
      <w:r w:rsidR="00516E89">
        <w:t xml:space="preserve"> </w:t>
      </w:r>
    </w:p>
    <w:p w14:paraId="121BDE73" w14:textId="711346CB" w:rsidR="00516E89" w:rsidRDefault="00516E89" w:rsidP="008840BB">
      <w:pPr>
        <w:pStyle w:val="Heading2"/>
      </w:pPr>
      <w:bookmarkStart w:id="66" w:name="_Toc51022545"/>
      <w:r w:rsidRPr="00516E89">
        <w:t>Figure S</w:t>
      </w:r>
      <w:r w:rsidR="00FE0EBE">
        <w:t>10</w:t>
      </w:r>
      <w:r w:rsidRPr="00516E89">
        <w:t>: Simulated photobleaching suggests that increasing alignment is likely not a photobleaching-induced artifact.</w:t>
      </w:r>
      <w:bookmarkEnd w:id="66"/>
    </w:p>
    <w:p w14:paraId="0B8FC6FF" w14:textId="77777777" w:rsidR="008840BB" w:rsidRPr="008840BB" w:rsidRDefault="008840BB" w:rsidP="008840BB"/>
    <w:p w14:paraId="7F21D8AF" w14:textId="1DB56419" w:rsidR="00516E89" w:rsidRDefault="00516E89" w:rsidP="0023673D">
      <w:pPr>
        <w:spacing w:after="160" w:line="259" w:lineRule="auto"/>
        <w:ind w:firstLine="0"/>
      </w:pPr>
      <w:r w:rsidRPr="00996D5E">
        <w:rPr>
          <w:b/>
          <w:bCs/>
        </w:rPr>
        <w:t>a)</w:t>
      </w:r>
      <w:r>
        <w:t xml:space="preserve"> </w:t>
      </w:r>
      <w:r w:rsidR="00996D5E">
        <w:t xml:space="preserve">Simulated photobleaching as performed by gradually scaling the fluorescence intensity of an image. A montage of images is shown, each depicting the platelet shown in </w:t>
      </w:r>
      <w:r w:rsidR="00996D5E" w:rsidRPr="00473CD7">
        <w:rPr>
          <w:b/>
          <w:bCs/>
        </w:rPr>
        <w:t>Fig. 4a</w:t>
      </w:r>
      <w:r w:rsidR="00996D5E">
        <w:t xml:space="preserve"> at </w:t>
      </w:r>
      <m:oMath>
        <m:r>
          <w:rPr>
            <w:rFonts w:ascii="Cambria Math" w:hAnsi="Cambria Math"/>
          </w:rPr>
          <m:t>t=22 min</m:t>
        </m:r>
      </m:oMath>
      <w:r w:rsidR="00996D5E">
        <w:t xml:space="preserve"> with its intensity reduced by an amount denoted in the image (e.g. </w:t>
      </w:r>
      <w:r w:rsidR="00473CD7">
        <w:t>32</w:t>
      </w:r>
      <w:r w:rsidR="00996D5E">
        <w:t xml:space="preserve">% reduction). As the intensity is decreased, </w:t>
      </w:r>
      <w:r w:rsidR="00473CD7">
        <w:t>certain</w:t>
      </w:r>
      <w:r w:rsidR="00996D5E">
        <w:t xml:space="preserve"> regions of the image fail to </w:t>
      </w:r>
      <w:r w:rsidR="00473CD7">
        <w:t>persist through</w:t>
      </w:r>
      <w:r w:rsidR="00996D5E">
        <w:t xml:space="preserve"> the intensity cutoff and become excluded from the </w:t>
      </w:r>
      <m:oMath>
        <m:r>
          <w:rPr>
            <w:rFonts w:ascii="Cambria Math" w:hAnsi="Cambria Math"/>
          </w:rPr>
          <m:t>R</m:t>
        </m:r>
      </m:oMath>
      <w:r w:rsidR="00996D5E">
        <w:t xml:space="preserve"> and </w:t>
      </w:r>
      <m:oMath>
        <m:r>
          <w:rPr>
            <w:rFonts w:ascii="Cambria Math" w:hAnsi="Cambria Math"/>
          </w:rPr>
          <m:t>T</m:t>
        </m:r>
      </m:oMath>
      <w:r w:rsidR="00996D5E">
        <w:t xml:space="preserve"> calculations. </w:t>
      </w:r>
      <w:r w:rsidR="00996D5E" w:rsidRPr="00996D5E">
        <w:rPr>
          <w:b/>
          <w:bCs/>
        </w:rPr>
        <w:t>b)</w:t>
      </w:r>
      <w:r w:rsidR="00996D5E">
        <w:t xml:space="preserve"> Tension area (</w:t>
      </w:r>
      <m:oMath>
        <m:r>
          <w:rPr>
            <w:rFonts w:ascii="Cambria Math" w:hAnsi="Cambria Math"/>
          </w:rPr>
          <m:t>T</m:t>
        </m:r>
      </m:oMath>
      <w:r w:rsidR="00996D5E">
        <w:t>) and the alignment parameter (</w:t>
      </w:r>
      <m:oMath>
        <m:r>
          <w:rPr>
            <w:rFonts w:ascii="Cambria Math" w:hAnsi="Cambria Math"/>
          </w:rPr>
          <m:t>R</m:t>
        </m:r>
      </m:oMath>
      <w:r w:rsidR="00996D5E">
        <w:t xml:space="preserve">) measured as a function of the amount of simulated photobleaching. While </w:t>
      </w:r>
      <m:oMath>
        <m:r>
          <w:rPr>
            <w:rFonts w:ascii="Cambria Math" w:hAnsi="Cambria Math"/>
          </w:rPr>
          <m:t>T</m:t>
        </m:r>
      </m:oMath>
      <w:r w:rsidR="00996D5E">
        <w:t xml:space="preserve"> decreases monotonically, </w:t>
      </w:r>
      <m:oMath>
        <m:r>
          <w:rPr>
            <w:rFonts w:ascii="Cambria Math" w:hAnsi="Cambria Math"/>
          </w:rPr>
          <m:t>R</m:t>
        </m:r>
      </m:oMath>
      <w:r w:rsidR="00996D5E">
        <w:t xml:space="preserve"> stays constant until about 25% intensity reduction, at which point it begins to increase to and eventually converge towards </w:t>
      </w:r>
      <m:oMath>
        <m:r>
          <w:rPr>
            <w:rFonts w:ascii="Cambria Math" w:hAnsi="Cambria Math"/>
          </w:rPr>
          <m:t>R=1</m:t>
        </m:r>
      </m:oMath>
      <w:r w:rsidR="00996D5E">
        <w:t xml:space="preserve">. </w:t>
      </w:r>
      <w:r w:rsidR="00996D5E" w:rsidRPr="00996D5E">
        <w:rPr>
          <w:b/>
          <w:bCs/>
        </w:rPr>
        <w:t>c)</w:t>
      </w:r>
      <w:r w:rsidR="00996D5E">
        <w:t xml:space="preserve"> A </w:t>
      </w:r>
      <w:r w:rsidR="00F26FAD">
        <w:t xml:space="preserve">Pearson’s </w:t>
      </w:r>
      <w:r w:rsidR="00996D5E">
        <w:t>correlation</w:t>
      </w:r>
      <w:r w:rsidR="00F26FAD">
        <w:t xml:space="preserve"> analysis</w:t>
      </w:r>
      <w:r w:rsidR="00996D5E">
        <w:t xml:space="preserve"> of </w:t>
      </w:r>
      <m:oMath>
        <m:r>
          <w:rPr>
            <w:rFonts w:ascii="Cambria Math" w:hAnsi="Cambria Math"/>
          </w:rPr>
          <m:t>R</m:t>
        </m:r>
      </m:oMath>
      <w:r w:rsidR="00F26FAD">
        <w:t xml:space="preserve"> and </w:t>
      </w:r>
      <m:oMath>
        <m:r>
          <w:rPr>
            <w:rFonts w:ascii="Cambria Math" w:hAnsi="Cambria Math"/>
          </w:rPr>
          <m:t>T</m:t>
        </m:r>
      </m:oMath>
      <w:r w:rsidR="00F26FAD">
        <w:t xml:space="preserve"> including all datapoints from simulated photobleaching of all 22 increasing-alignment platelets at their timepoint of </w:t>
      </w:r>
      <w:r w:rsidR="00720101">
        <w:t>initial adhesion</w:t>
      </w:r>
      <w:r w:rsidR="00F26FAD">
        <w:t xml:space="preserve"> revealed a highly significant negative correlation between </w:t>
      </w:r>
      <m:oMath>
        <m:r>
          <w:rPr>
            <w:rFonts w:ascii="Cambria Math" w:hAnsi="Cambria Math"/>
          </w:rPr>
          <m:t>T</m:t>
        </m:r>
      </m:oMath>
      <w:r w:rsidR="00F26FAD">
        <w:t xml:space="preserve"> and </w:t>
      </w:r>
      <m:oMath>
        <m:r>
          <w:rPr>
            <w:rFonts w:ascii="Cambria Math" w:hAnsi="Cambria Math"/>
          </w:rPr>
          <m:t>R</m:t>
        </m:r>
      </m:oMath>
      <w:r w:rsidR="00F26FAD">
        <w:t>.</w:t>
      </w:r>
      <w:r w:rsidR="00720101">
        <w:t xml:space="preserve"> This analysis included only simulated photobleaching conditions where </w:t>
      </w:r>
      <m:oMath>
        <m:r>
          <w:rPr>
            <w:rFonts w:ascii="Cambria Math" w:hAnsi="Cambria Math"/>
          </w:rPr>
          <m:t>T&gt;5 μ</m:t>
        </m:r>
        <m:sSup>
          <m:sSupPr>
            <m:ctrlPr>
              <w:rPr>
                <w:rFonts w:ascii="Cambria Math" w:hAnsi="Cambria Math"/>
                <w:i/>
              </w:rPr>
            </m:ctrlPr>
          </m:sSupPr>
          <m:e>
            <m:r>
              <w:rPr>
                <w:rFonts w:ascii="Cambria Math" w:hAnsi="Cambria Math"/>
              </w:rPr>
              <m:t>m</m:t>
            </m:r>
          </m:e>
          <m:sup>
            <m:r>
              <w:rPr>
                <w:rFonts w:ascii="Cambria Math" w:hAnsi="Cambria Math"/>
              </w:rPr>
              <m:t>2</m:t>
            </m:r>
          </m:sup>
        </m:sSup>
      </m:oMath>
      <w:r w:rsidR="00720101">
        <w:t>.</w:t>
      </w:r>
      <w:r w:rsidR="00F26FAD">
        <w:t xml:space="preserve"> </w:t>
      </w:r>
      <w:r w:rsidR="00F26FAD" w:rsidRPr="00F26FAD">
        <w:rPr>
          <w:b/>
          <w:bCs/>
        </w:rPr>
        <w:t>d)</w:t>
      </w:r>
      <w:r w:rsidR="00F26FAD">
        <w:t xml:space="preserve"> In contrast, a Pearson’s correlation analysis of all datapoints from the same 2</w:t>
      </w:r>
      <w:r w:rsidR="00473CD7">
        <w:t>8</w:t>
      </w:r>
      <w:r w:rsidR="00F26FAD">
        <w:t xml:space="preserve"> platelets at timepoints between </w:t>
      </w:r>
      <m:oMath>
        <m:sSub>
          <m:sSubPr>
            <m:ctrlPr>
              <w:rPr>
                <w:rFonts w:ascii="Cambria Math" w:hAnsi="Cambria Math"/>
                <w:i/>
              </w:rPr>
            </m:ctrlPr>
          </m:sSubPr>
          <m:e>
            <m:r>
              <w:rPr>
                <w:rFonts w:ascii="Cambria Math" w:hAnsi="Cambria Math"/>
              </w:rPr>
              <m:t>t</m:t>
            </m:r>
          </m:e>
          <m:sub>
            <m:r>
              <w:rPr>
                <w:rFonts w:ascii="Cambria Math" w:hAnsi="Cambria Math"/>
              </w:rPr>
              <m:t>attach</m:t>
            </m:r>
          </m:sub>
        </m:sSub>
      </m:oMath>
      <w:r w:rsidR="00F26FAD">
        <w:t xml:space="preserve"> and </w:t>
      </w:r>
      <m:oMath>
        <m:sSub>
          <m:sSubPr>
            <m:ctrlPr>
              <w:rPr>
                <w:rFonts w:ascii="Cambria Math" w:hAnsi="Cambria Math"/>
                <w:i/>
              </w:rPr>
            </m:ctrlPr>
          </m:sSubPr>
          <m:e>
            <m:r>
              <w:rPr>
                <w:rFonts w:ascii="Cambria Math" w:hAnsi="Cambria Math"/>
              </w:rPr>
              <m:t>t</m:t>
            </m:r>
          </m:e>
          <m:sub>
            <m:r>
              <w:rPr>
                <w:rFonts w:ascii="Cambria Math" w:hAnsi="Cambria Math"/>
              </w:rPr>
              <m:t>attach</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detach</m:t>
            </m:r>
          </m:sub>
        </m:sSub>
      </m:oMath>
      <w:r w:rsidR="00F26FAD">
        <w:t xml:space="preserve"> revealed no significant correlation between </w:t>
      </w:r>
      <m:oMath>
        <m:r>
          <w:rPr>
            <w:rFonts w:ascii="Cambria Math" w:hAnsi="Cambria Math"/>
          </w:rPr>
          <m:t>T</m:t>
        </m:r>
      </m:oMath>
      <w:r w:rsidR="00F26FAD">
        <w:t xml:space="preserve"> and </w:t>
      </w:r>
      <m:oMath>
        <m:r>
          <w:rPr>
            <w:rFonts w:ascii="Cambria Math" w:hAnsi="Cambria Math"/>
          </w:rPr>
          <m:t>R</m:t>
        </m:r>
      </m:oMath>
      <w:r w:rsidR="00F26FAD">
        <w:t xml:space="preserve">. Therefore, it does not appear that photobleaching is meaningfully resulting in artificially-increased </w:t>
      </w:r>
      <m:oMath>
        <m:r>
          <w:rPr>
            <w:rFonts w:ascii="Cambria Math" w:hAnsi="Cambria Math"/>
          </w:rPr>
          <m:t>R</m:t>
        </m:r>
      </m:oMath>
      <w:r w:rsidR="00F26FAD">
        <w:t xml:space="preserve"> values.</w:t>
      </w:r>
      <w:r>
        <w:br w:type="page"/>
      </w:r>
    </w:p>
    <w:p w14:paraId="0A82FC4D" w14:textId="6307CB5A" w:rsidR="00017BE4" w:rsidRDefault="00017BE4">
      <w:pPr>
        <w:spacing w:after="160" w:line="259" w:lineRule="auto"/>
        <w:ind w:firstLine="0"/>
        <w:jc w:val="left"/>
      </w:pPr>
      <w:r>
        <w:rPr>
          <w:noProof/>
        </w:rPr>
        <w:lastRenderedPageBreak/>
        <w:drawing>
          <wp:inline distT="0" distB="0" distL="0" distR="0" wp14:anchorId="0A620F46" wp14:editId="015CDFF1">
            <wp:extent cx="5885815" cy="477139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85815" cy="4771390"/>
                    </a:xfrm>
                    <a:prstGeom prst="rect">
                      <a:avLst/>
                    </a:prstGeom>
                    <a:noFill/>
                    <a:ln>
                      <a:noFill/>
                    </a:ln>
                  </pic:spPr>
                </pic:pic>
              </a:graphicData>
            </a:graphic>
          </wp:inline>
        </w:drawing>
      </w:r>
      <w:r w:rsidR="00A22EE5">
        <w:t xml:space="preserve"> </w:t>
      </w:r>
    </w:p>
    <w:p w14:paraId="5E15C40D" w14:textId="5133594D" w:rsidR="00017BE4" w:rsidRDefault="00017BE4" w:rsidP="00017BE4">
      <w:pPr>
        <w:pStyle w:val="Heading2"/>
      </w:pPr>
      <w:bookmarkStart w:id="67" w:name="_Toc51022546"/>
      <w:r w:rsidRPr="0006589F">
        <w:t xml:space="preserve">Figure </w:t>
      </w:r>
      <w:r>
        <w:t>S1</w:t>
      </w:r>
      <w:r w:rsidR="00FE0EBE">
        <w:t>1</w:t>
      </w:r>
      <w:r w:rsidRPr="0006589F">
        <w:t xml:space="preserve">: </w:t>
      </w:r>
      <w:r>
        <w:t>Measurement of experimental photobleaching and expected effect on results</w:t>
      </w:r>
      <w:bookmarkEnd w:id="67"/>
    </w:p>
    <w:p w14:paraId="0A66C88E" w14:textId="77777777" w:rsidR="0091320E" w:rsidRPr="0091320E" w:rsidRDefault="0091320E" w:rsidP="0091320E"/>
    <w:p w14:paraId="77CC67CE" w14:textId="1B983CFD" w:rsidR="00E84F24" w:rsidRDefault="00017BE4" w:rsidP="0023673D">
      <w:pPr>
        <w:ind w:firstLine="0"/>
      </w:pPr>
      <w:r w:rsidRPr="00017BE4">
        <w:rPr>
          <w:b/>
          <w:bCs/>
        </w:rPr>
        <w:t>a)</w:t>
      </w:r>
      <w:r w:rsidRPr="00017BE4">
        <w:t xml:space="preserve"> </w:t>
      </w:r>
      <w:r>
        <w:t>The fluorescence intensity of the quenched tension sensor background (with the 200 a.u. camera baseline subtracted) was measured</w:t>
      </w:r>
      <w:r w:rsidR="000F4620">
        <w:t xml:space="preserve"> by averaging </w:t>
      </w:r>
      <m:oMath>
        <m:sSub>
          <m:sSubPr>
            <m:ctrlPr>
              <w:rPr>
                <w:rFonts w:ascii="Cambria Math" w:hAnsi="Cambria Math"/>
                <w:i/>
              </w:rPr>
            </m:ctrlPr>
          </m:sSubPr>
          <m:e>
            <m:r>
              <w:rPr>
                <w:rFonts w:ascii="Cambria Math" w:hAnsi="Cambria Math"/>
              </w:rPr>
              <m:t>I</m:t>
            </m:r>
          </m:e>
          <m:sub>
            <m:r>
              <w:rPr>
                <w:rFonts w:ascii="Cambria Math" w:hAnsi="Cambria Math"/>
              </w:rPr>
              <m:t>avg</m:t>
            </m:r>
          </m:sub>
        </m:sSub>
      </m:oMath>
      <w:r w:rsidR="000F4620">
        <w:t xml:space="preserve"> within a platelet-free region of a SIM-MFM timelapses (blue circles). Photobleaching was then quantified by fitting an exponential decay function to th</w:t>
      </w:r>
      <w:r w:rsidR="00473CD7">
        <w:t>e average background intensity</w:t>
      </w:r>
      <w:r w:rsidR="000F4620">
        <w:t xml:space="preserve"> (red curve). The exponential decay rate constant of </w:t>
      </w:r>
      <m:oMath>
        <m:sSub>
          <m:sSubPr>
            <m:ctrlPr>
              <w:rPr>
                <w:rFonts w:ascii="Cambria Math" w:hAnsi="Cambria Math"/>
                <w:i/>
              </w:rPr>
            </m:ctrlPr>
          </m:sSubPr>
          <m:e>
            <m:r>
              <w:rPr>
                <w:rFonts w:ascii="Cambria Math" w:hAnsi="Cambria Math"/>
              </w:rPr>
              <m:t>k</m:t>
            </m:r>
          </m:e>
          <m:sub>
            <m:r>
              <w:rPr>
                <w:rFonts w:ascii="Cambria Math" w:hAnsi="Cambria Math"/>
              </w:rPr>
              <m:t>bleach,bkrd</m:t>
            </m:r>
          </m:sub>
        </m:sSub>
        <m:r>
          <w:rPr>
            <w:rFonts w:ascii="Cambria Math" w:hAnsi="Cambria Math"/>
          </w:rPr>
          <m:t>=0.0124</m:t>
        </m:r>
      </m:oMath>
      <w:r w:rsidR="000F4620">
        <w:t xml:space="preserve"> corresponds to 1.24% photobleaching per SIM-MFM acquisition. </w:t>
      </w:r>
      <w:r w:rsidR="000F4620" w:rsidRPr="000F4620">
        <w:rPr>
          <w:b/>
          <w:bCs/>
        </w:rPr>
        <w:t>b)</w:t>
      </w:r>
      <w:r w:rsidR="000F4620">
        <w:t xml:space="preserve"> Boxplot showing the best-fit percent photobleaching per SIM-MFM acquisition for 25 different timelapses (gray circles). An average (red line) of ~1% was measured. Red shading denotes standard error of the mean and purple denotes 95% confidence interval. </w:t>
      </w:r>
      <w:r w:rsidR="000F4620" w:rsidRPr="002D608B">
        <w:rPr>
          <w:b/>
          <w:bCs/>
        </w:rPr>
        <w:t>c)</w:t>
      </w:r>
      <w:r w:rsidR="000F4620">
        <w:t xml:space="preserve"> Histogram (with logarithmic y-axis) of intensity fold-increase over background (</w:t>
      </w:r>
      <m:oMath>
        <m:r>
          <w:rPr>
            <w:rFonts w:ascii="Cambria Math" w:hAnsi="Cambria Math"/>
          </w:rPr>
          <m:t>FI</m:t>
        </m:r>
      </m:oMath>
      <w:r w:rsidR="000F4620">
        <w:t>) of all pixels included in the 81 masked platelet timelapses collected for this work.</w:t>
      </w:r>
      <w:r w:rsidR="00E74562">
        <w:t xml:space="preserve"> </w:t>
      </w:r>
      <w:r w:rsidR="000F4620">
        <w:t>Vertical dotted lines denote the 50</w:t>
      </w:r>
      <w:r w:rsidR="000F4620" w:rsidRPr="000F4620">
        <w:rPr>
          <w:vertAlign w:val="superscript"/>
        </w:rPr>
        <w:t>th</w:t>
      </w:r>
      <w:r w:rsidR="000F4620">
        <w:t>, 90</w:t>
      </w:r>
      <w:r w:rsidR="000F4620" w:rsidRPr="000F4620">
        <w:rPr>
          <w:vertAlign w:val="superscript"/>
        </w:rPr>
        <w:t>th</w:t>
      </w:r>
      <w:r w:rsidR="000F4620">
        <w:t>, 99</w:t>
      </w:r>
      <w:r w:rsidR="000F4620" w:rsidRPr="000F4620">
        <w:rPr>
          <w:vertAlign w:val="superscript"/>
        </w:rPr>
        <w:t>th</w:t>
      </w:r>
      <w:r w:rsidR="000F4620">
        <w:t>, and 99.9</w:t>
      </w:r>
      <w:r w:rsidR="000F4620" w:rsidRPr="000F4620">
        <w:rPr>
          <w:vertAlign w:val="superscript"/>
        </w:rPr>
        <w:t>th</w:t>
      </w:r>
      <w:r w:rsidR="000F4620">
        <w:t xml:space="preserve"> percentiles of </w:t>
      </w:r>
      <m:oMath>
        <m:r>
          <w:rPr>
            <w:rFonts w:ascii="Cambria Math" w:hAnsi="Cambria Math"/>
          </w:rPr>
          <m:t>FI</m:t>
        </m:r>
      </m:oMath>
      <w:r w:rsidR="000F4620">
        <w:t xml:space="preserve">. </w:t>
      </w:r>
      <w:r w:rsidR="000F4620" w:rsidRPr="000F4620">
        <w:rPr>
          <w:b/>
          <w:bCs/>
        </w:rPr>
        <w:t>d)</w:t>
      </w:r>
      <w:r w:rsidR="009F4D3A">
        <w:t xml:space="preserve"> </w:t>
      </w:r>
      <w:r w:rsidR="002D608B">
        <w:t xml:space="preserve">Plot of expected </w:t>
      </w:r>
      <m:oMath>
        <m:r>
          <w:rPr>
            <w:rFonts w:ascii="Cambria Math" w:hAnsi="Cambria Math"/>
          </w:rPr>
          <m:t>FI</m:t>
        </m:r>
      </m:oMath>
      <w:r w:rsidR="002D608B">
        <w:t xml:space="preserve"> after photobleaching</w:t>
      </w:r>
      <w:r w:rsidR="00E84F24">
        <w:t xml:space="preserve">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oMath>
      <w:r w:rsidR="00E84F24">
        <w:t>)</w:t>
      </w:r>
      <w:r w:rsidR="002D608B">
        <w:t xml:space="preserve"> as a function of </w:t>
      </w:r>
      <m:oMath>
        <m:r>
          <w:rPr>
            <w:rFonts w:ascii="Cambria Math" w:hAnsi="Cambria Math"/>
          </w:rPr>
          <m:t>FI</m:t>
        </m:r>
      </m:oMath>
      <w:r w:rsidR="002D608B">
        <w:t xml:space="preserve"> before photobleaching</w:t>
      </w:r>
      <w:r w:rsidR="00E84F24">
        <w:t xml:space="preserve">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rsidR="00E84F24">
        <w:t>)</w:t>
      </w:r>
      <w:r w:rsidR="002D608B">
        <w:t xml:space="preserve"> </w:t>
      </w:r>
      <w:r w:rsidR="00E84F24">
        <w:t>due to</w:t>
      </w:r>
      <w:r w:rsidR="002D608B">
        <w:t xml:space="preserve"> 15 full SIM-MFM acquisitions (blue curve).</w:t>
      </w:r>
      <w:r w:rsidR="00204520">
        <w:t xml:space="preserve"> The threshold of </w:t>
      </w:r>
      <m:oMath>
        <m:r>
          <w:rPr>
            <w:rFonts w:ascii="Cambria Math" w:hAnsi="Cambria Math"/>
          </w:rPr>
          <m:t>FI=0.5</m:t>
        </m:r>
      </m:oMath>
      <w:r w:rsidR="00204520">
        <w:t xml:space="preserve"> used in the masking procedure is shown with a green dashed line, and a black line shows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rsidR="00204520">
        <w:t>.</w:t>
      </w:r>
      <w:r w:rsidR="002D608B">
        <w:t xml:space="preserve"> This calculation was performed using an estimate of 1% photobleaching of the quenched background per acquisition</w:t>
      </w:r>
      <w:r w:rsidR="00E84F24">
        <w:t xml:space="preserve"> as shown in </w:t>
      </w:r>
      <w:r w:rsidR="00E84F24" w:rsidRPr="00E84F24">
        <w:rPr>
          <w:b/>
          <w:bCs/>
        </w:rPr>
        <w:t>b</w:t>
      </w:r>
      <w:r w:rsidR="002D608B">
        <w:t>. Opened tension probes are expected to bleach more rapidly than quenched probes,</w:t>
      </w:r>
      <w:r w:rsidR="00F33E3B">
        <w:t xml:space="preserve"> so</w:t>
      </w:r>
      <w:r w:rsidR="002D608B">
        <w:t xml:space="preserve"> the rate of photobleaching</w:t>
      </w:r>
      <w:r w:rsidR="00F33E3B">
        <w:t xml:space="preserve"> of opened tension probes can be </w:t>
      </w:r>
      <w:r w:rsidR="00E84F24">
        <w:t>calculated</w:t>
      </w:r>
      <w:r w:rsidR="00F33E3B">
        <w:t xml:space="preserve"> from the</w:t>
      </w:r>
      <w:r w:rsidR="002D608B">
        <w:t xml:space="preserve"> quenching efficiency (QE)</w:t>
      </w:r>
      <w:r w:rsidR="009100C6">
        <w:t>:</w:t>
      </w:r>
    </w:p>
    <w:p w14:paraId="1C129425" w14:textId="77B74278" w:rsidR="00F33E3B" w:rsidRPr="00E84F24" w:rsidRDefault="00F6521F" w:rsidP="00017BE4">
      <m:oMathPara>
        <m:oMath>
          <m:sSub>
            <m:sSubPr>
              <m:ctrlPr>
                <w:rPr>
                  <w:rFonts w:ascii="Cambria Math" w:hAnsi="Cambria Math"/>
                  <w:i/>
                </w:rPr>
              </m:ctrlPr>
            </m:sSubPr>
            <m:e>
              <m:r>
                <w:rPr>
                  <w:rFonts w:ascii="Cambria Math" w:hAnsi="Cambria Math"/>
                </w:rPr>
                <m:t>k</m:t>
              </m:r>
            </m:e>
            <m:sub>
              <m:r>
                <w:rPr>
                  <w:rFonts w:ascii="Cambria Math" w:hAnsi="Cambria Math"/>
                </w:rPr>
                <m:t>bleach</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bleach,bkrd</m:t>
                  </m:r>
                </m:sub>
              </m:sSub>
            </m:num>
            <m:den>
              <m:r>
                <w:rPr>
                  <w:rFonts w:ascii="Cambria Math" w:hAnsi="Cambria Math"/>
                </w:rPr>
                <m:t>1-QE</m:t>
              </m:r>
            </m:den>
          </m:f>
        </m:oMath>
      </m:oMathPara>
    </w:p>
    <w:p w14:paraId="4C7DE084" w14:textId="77777777" w:rsidR="00E84F24" w:rsidRPr="00F33E3B" w:rsidRDefault="00E84F24" w:rsidP="00017BE4"/>
    <w:p w14:paraId="13E8DF34" w14:textId="237A401F" w:rsidR="00E74562" w:rsidRDefault="00204520" w:rsidP="00F33E3B">
      <w:pPr>
        <w:ind w:firstLine="0"/>
      </w:pPr>
      <w:r>
        <w:t>If tension probes</w:t>
      </w:r>
      <w:r w:rsidR="009100C6">
        <w:t xml:space="preserve"> within a local region corresponding to a single pixel</w:t>
      </w:r>
      <w:r>
        <w:t xml:space="preserve"> are considered from a population level and</w:t>
      </w:r>
      <w:r w:rsidR="009100C6">
        <w:t xml:space="preserve"> assumed to exchange between acquisitions (this assumption is reasonable because the integrin-ligand bond lifetime is generally known</w:t>
      </w:r>
      <w:r w:rsidR="009100C6">
        <w:fldChar w:fldCharType="begin"/>
      </w:r>
      <w:r w:rsidR="005242B6">
        <w:instrText xml:space="preserve"> ADDIN EN.CITE &lt;EndNote&gt;&lt;Cite&gt;&lt;Author&gt;Zhu&lt;/Author&gt;&lt;Year&gt;2013&lt;/Year&gt;&lt;RecNum&gt;408&lt;/RecNum&gt;&lt;DisplayText&gt;&lt;style face="superscript"&gt;5&lt;/style&gt;&lt;/DisplayText&gt;&lt;record&gt;&lt;rec-number&gt;408&lt;/rec-number&gt;&lt;foreign-keys&gt;&lt;key app="EN" db-id="pp0zrzdw6s9vz3eza5fvff2fzdat0vpaeet5" timestamp="1598931385"&gt;408&lt;/key&gt;&lt;/foreign-keys&gt;&lt;ref-type name="Book Section"&gt;5&lt;/ref-type&gt;&lt;contributors&gt;&lt;authors&gt;&lt;author&gt;Zhu, Cheng&lt;/author&gt;&lt;author&gt;Chen, Wei&lt;/author&gt;&lt;/authors&gt;&lt;secondary-authors&gt;&lt;author&gt;Oberhauser, Andres F.&lt;/author&gt;&lt;/secondary-authors&gt;&lt;/contributors&gt;&lt;titles&gt;&lt;title&gt;Catch Bonds of Integrin/Ligand Interactions&lt;/title&gt;&lt;secondary-title&gt;Single-molecule Studies of Proteins&lt;/secondary-title&gt;&lt;/titles&gt;&lt;pages&gt;77-96&lt;/pages&gt;&lt;dates&gt;&lt;year&gt;2013&lt;/year&gt;&lt;pub-dates&gt;&lt;date&gt;2013//&lt;/date&gt;&lt;/pub-dates&gt;&lt;/dates&gt;&lt;pub-location&gt;New York, NY&lt;/pub-location&gt;&lt;publisher&gt;Springer New York&lt;/publisher&gt;&lt;isbn&gt;978-1-4614-4921-8&lt;/isbn&gt;&lt;urls&gt;&lt;related-urls&gt;&lt;url&gt;https://doi.org/10.1007/978-1-4614-4921-8_3&lt;/url&gt;&lt;/related-urls&gt;&lt;/urls&gt;&lt;electronic-resource-num&gt;10.1007/978-1-4614-4921-8_3&lt;/electronic-resource-num&gt;&lt;/record&gt;&lt;/Cite&gt;&lt;/EndNote&gt;</w:instrText>
      </w:r>
      <w:r w:rsidR="009100C6">
        <w:fldChar w:fldCharType="separate"/>
      </w:r>
      <w:r w:rsidR="005242B6" w:rsidRPr="005242B6">
        <w:rPr>
          <w:noProof/>
          <w:vertAlign w:val="superscript"/>
        </w:rPr>
        <w:t>5</w:t>
      </w:r>
      <w:r w:rsidR="009100C6">
        <w:fldChar w:fldCharType="end"/>
      </w:r>
      <w:r w:rsidR="009100C6">
        <w:t xml:space="preserve"> to be on the order of 10 seconds and our images are taken at an interval of 2 minutes)</w:t>
      </w:r>
      <w:r w:rsidR="00E74562">
        <w:t xml:space="preserve"> can also be calculated from the quenching efficiency:</w:t>
      </w:r>
    </w:p>
    <w:p w14:paraId="3640A5E8" w14:textId="77777777" w:rsidR="00E84F24" w:rsidRDefault="00E84F24" w:rsidP="00F33E3B">
      <w:pPr>
        <w:ind w:firstLine="0"/>
      </w:pPr>
    </w:p>
    <w:p w14:paraId="6A61D456" w14:textId="77777777" w:rsidR="00E74562" w:rsidRDefault="00E74562" w:rsidP="00F33E3B">
      <w:pPr>
        <w:ind w:firstLine="0"/>
      </w:pPr>
    </w:p>
    <w:p w14:paraId="36D89A1B" w14:textId="2BBE526F" w:rsidR="00E74562" w:rsidRPr="00E84F24" w:rsidRDefault="00E74562" w:rsidP="00F33E3B">
      <w:pPr>
        <w:ind w:firstLine="0"/>
      </w:pPr>
      <m:oMathPara>
        <m:oMath>
          <m:r>
            <w:rPr>
              <w:rFonts w:ascii="Cambria Math" w:hAnsi="Cambria Math"/>
            </w:rPr>
            <m:t>FI=</m:t>
          </m:r>
          <m:f>
            <m:fPr>
              <m:ctrlPr>
                <w:rPr>
                  <w:rFonts w:ascii="Cambria Math" w:hAnsi="Cambria Math"/>
                  <w:i/>
                </w:rPr>
              </m:ctrlPr>
            </m:fPr>
            <m:num>
              <m:r>
                <w:rPr>
                  <w:rFonts w:ascii="Cambria Math" w:hAnsi="Cambria Math"/>
                </w:rPr>
                <m:t>I</m:t>
              </m:r>
            </m:num>
            <m:den>
              <m:sSub>
                <m:sSubPr>
                  <m:ctrlPr>
                    <w:rPr>
                      <w:rFonts w:ascii="Cambria Math" w:hAnsi="Cambria Math"/>
                      <w:i/>
                    </w:rPr>
                  </m:ctrlPr>
                </m:sSubPr>
                <m:e>
                  <m:r>
                    <w:rPr>
                      <w:rFonts w:ascii="Cambria Math" w:hAnsi="Cambria Math"/>
                    </w:rPr>
                    <m:t>I</m:t>
                  </m:r>
                </m:e>
                <m:sub>
                  <m:r>
                    <w:rPr>
                      <w:rFonts w:ascii="Cambria Math" w:hAnsi="Cambria Math"/>
                    </w:rPr>
                    <m:t>bkrd</m:t>
                  </m:r>
                </m:sub>
              </m:sSub>
            </m:den>
          </m:f>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open</m:t>
                  </m:r>
                </m:sub>
              </m:sSub>
            </m:num>
            <m:den>
              <m:r>
                <w:rPr>
                  <w:rFonts w:ascii="Cambria Math" w:hAnsi="Cambria Math"/>
                </w:rPr>
                <m:t>1-QE</m:t>
              </m:r>
            </m:den>
          </m:f>
        </m:oMath>
      </m:oMathPara>
    </w:p>
    <w:p w14:paraId="3F6D35AE" w14:textId="77777777" w:rsidR="00E84F24" w:rsidRDefault="00E84F24" w:rsidP="00F33E3B">
      <w:pPr>
        <w:ind w:firstLine="0"/>
      </w:pPr>
    </w:p>
    <w:p w14:paraId="72D768A5" w14:textId="2C1B78EF" w:rsidR="00E74562" w:rsidRDefault="00E74562" w:rsidP="00F33E3B">
      <w:pPr>
        <w:ind w:firstLine="0"/>
      </w:pPr>
      <w:r>
        <w:t xml:space="preserve">where </w:t>
      </w:r>
      <m:oMath>
        <m:sSub>
          <m:sSubPr>
            <m:ctrlPr>
              <w:rPr>
                <w:rFonts w:ascii="Cambria Math" w:hAnsi="Cambria Math"/>
                <w:i/>
              </w:rPr>
            </m:ctrlPr>
          </m:sSubPr>
          <m:e>
            <m:r>
              <w:rPr>
                <w:rFonts w:ascii="Cambria Math" w:hAnsi="Cambria Math"/>
              </w:rPr>
              <m:t>p</m:t>
            </m:r>
          </m:e>
          <m:sub>
            <m:r>
              <w:rPr>
                <w:rFonts w:ascii="Cambria Math" w:hAnsi="Cambria Math"/>
              </w:rPr>
              <m:t>open</m:t>
            </m:r>
          </m:sub>
        </m:sSub>
      </m:oMath>
      <w:r>
        <w:t xml:space="preserve"> is the proportion of tension probes open within a given region and </w:t>
      </w:r>
      <m:oMath>
        <m:sSub>
          <m:sSubPr>
            <m:ctrlPr>
              <w:rPr>
                <w:rFonts w:ascii="Cambria Math" w:hAnsi="Cambria Math"/>
                <w:i/>
              </w:rPr>
            </m:ctrlPr>
          </m:sSubPr>
          <m:e>
            <m:r>
              <w:rPr>
                <w:rFonts w:ascii="Cambria Math" w:hAnsi="Cambria Math"/>
              </w:rPr>
              <m:t>I</m:t>
            </m:r>
          </m:e>
          <m:sub>
            <m:r>
              <w:rPr>
                <w:rFonts w:ascii="Cambria Math" w:hAnsi="Cambria Math"/>
              </w:rPr>
              <m:t>bkrd</m:t>
            </m:r>
          </m:sub>
        </m:sSub>
      </m:oMath>
      <w:r>
        <w:t xml:space="preserve"> is the intensity of the fluorescent background.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oMath>
      <w:r>
        <w:t xml:space="preserve"> can be expressed as a function of </w:t>
      </w:r>
      <m:oMath>
        <m:sSub>
          <m:sSubPr>
            <m:ctrlPr>
              <w:rPr>
                <w:rFonts w:ascii="Cambria Math" w:hAnsi="Cambria Math"/>
                <w:i/>
              </w:rPr>
            </m:ctrlPr>
          </m:sSubPr>
          <m:e>
            <m:r>
              <w:rPr>
                <w:rFonts w:ascii="Cambria Math" w:hAnsi="Cambria Math"/>
              </w:rPr>
              <m:t>p</m:t>
            </m:r>
          </m:e>
          <m:sub>
            <m:r>
              <w:rPr>
                <w:rFonts w:ascii="Cambria Math" w:hAnsi="Cambria Math"/>
              </w:rPr>
              <m:t>open</m:t>
            </m:r>
          </m:sub>
        </m:sSub>
      </m:oMath>
      <w:r>
        <w:t xml:space="preserve">, </w:t>
      </w:r>
      <m:oMath>
        <m:sSub>
          <m:sSubPr>
            <m:ctrlPr>
              <w:rPr>
                <w:rFonts w:ascii="Cambria Math" w:hAnsi="Cambria Math"/>
                <w:i/>
              </w:rPr>
            </m:ctrlPr>
          </m:sSubPr>
          <m:e>
            <m:r>
              <w:rPr>
                <w:rFonts w:ascii="Cambria Math" w:hAnsi="Cambria Math"/>
              </w:rPr>
              <m:t>k</m:t>
            </m:r>
          </m:e>
          <m:sub>
            <m:r>
              <w:rPr>
                <w:rFonts w:ascii="Cambria Math" w:hAnsi="Cambria Math"/>
              </w:rPr>
              <m:t>bleach</m:t>
            </m:r>
          </m:sub>
        </m:sSub>
      </m:oMath>
      <w:r>
        <w:t xml:space="preserve">, </w:t>
      </w:r>
      <w:r w:rsidR="00E84F24">
        <w:t>and</w:t>
      </w:r>
      <w:r>
        <w:t xml:space="preserve">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t>:</w:t>
      </w:r>
    </w:p>
    <w:p w14:paraId="355C29DA" w14:textId="77777777" w:rsidR="00E84F24" w:rsidRDefault="00E84F24" w:rsidP="00F33E3B">
      <w:pPr>
        <w:ind w:firstLine="0"/>
      </w:pPr>
    </w:p>
    <w:p w14:paraId="59E472DD" w14:textId="0EB345A9" w:rsidR="00E74562" w:rsidRPr="00E84F24" w:rsidRDefault="00E74562" w:rsidP="00F33E3B">
      <w:pPr>
        <w:ind w:firstLine="0"/>
      </w:pPr>
      <m:oMathPara>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d>
            <m:dPr>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open</m:t>
                          </m:r>
                        </m:sub>
                      </m:sSub>
                      <m:sSub>
                        <m:sSubPr>
                          <m:ctrlPr>
                            <w:rPr>
                              <w:rFonts w:ascii="Cambria Math" w:hAnsi="Cambria Math"/>
                              <w:i/>
                            </w:rPr>
                          </m:ctrlPr>
                        </m:sSubPr>
                        <m:e>
                          <m:r>
                            <w:rPr>
                              <w:rFonts w:ascii="Cambria Math" w:hAnsi="Cambria Math"/>
                            </w:rPr>
                            <m:t>k</m:t>
                          </m:r>
                        </m:e>
                        <m:sub>
                          <m:r>
                            <w:rPr>
                              <w:rFonts w:ascii="Cambria Math" w:hAnsi="Cambria Math"/>
                            </w:rPr>
                            <m:t>bleach</m:t>
                          </m:r>
                        </m:sub>
                      </m:sSub>
                    </m:e>
                  </m:d>
                </m:e>
                <m:sup>
                  <m:r>
                    <w:rPr>
                      <w:rFonts w:ascii="Cambria Math" w:hAnsi="Cambria Math"/>
                    </w:rPr>
                    <m:t>n</m:t>
                  </m:r>
                </m:sup>
              </m:sSup>
            </m:e>
          </m:d>
        </m:oMath>
      </m:oMathPara>
    </w:p>
    <w:p w14:paraId="220B71DA" w14:textId="77777777" w:rsidR="00E84F24" w:rsidRPr="00E74562" w:rsidRDefault="00E84F24" w:rsidP="00F33E3B">
      <w:pPr>
        <w:ind w:firstLine="0"/>
      </w:pPr>
    </w:p>
    <w:p w14:paraId="23ED7266" w14:textId="33338045" w:rsidR="00E74562" w:rsidRDefault="00E74562" w:rsidP="00F33E3B">
      <w:pPr>
        <w:ind w:firstLine="0"/>
      </w:pPr>
      <w:r>
        <w:t xml:space="preserve">where </w:t>
      </w:r>
      <m:oMath>
        <m:r>
          <w:rPr>
            <w:rFonts w:ascii="Cambria Math" w:hAnsi="Cambria Math"/>
          </w:rPr>
          <m:t>n</m:t>
        </m:r>
      </m:oMath>
      <w:r>
        <w:t xml:space="preserve"> denotes the number of SIM-MFM acquisitions.</w:t>
      </w:r>
      <w:r w:rsidR="00E84F24">
        <w:t xml:space="preserve"> This equation simplifies such that </w:t>
      </w:r>
      <m:oMath>
        <m:r>
          <w:rPr>
            <w:rFonts w:ascii="Cambria Math" w:hAnsi="Cambria Math"/>
          </w:rPr>
          <m:t>QE</m:t>
        </m:r>
      </m:oMath>
      <w:r w:rsidR="00E84F24">
        <w:t xml:space="preserve">, which was previously measured as ~97% (ref. </w:t>
      </w:r>
      <w:r w:rsidR="00E84F24" w:rsidRPr="00E84F24">
        <w:fldChar w:fldCharType="begin">
          <w:fldData xml:space="preserve">PEVuZE5vdGU+PENpdGU+PEF1dGhvcj5aaGFuZzwvQXV0aG9yPjxZZWFyPjIwMTQ8L1llYXI+PFJl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</w:fldData>
        </w:fldChar>
      </w:r>
      <w:r w:rsidR="005242B6">
        <w:instrText xml:space="preserve"> ADDIN EN.CITE </w:instrText>
      </w:r>
      <w:r w:rsidR="005242B6">
        <w:fldChar w:fldCharType="begin">
          <w:fldData xml:space="preserve">PEVuZE5vdGU+PENpdGU+PEF1dGhvcj5aaGFuZzwvQXV0aG9yPjxZZWFyPjIwMTQ8L1llYXI+PFJl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</w:fldData>
        </w:fldChar>
      </w:r>
      <w:r w:rsidR="005242B6">
        <w:instrText xml:space="preserve"> ADDIN EN.CITE.DATA </w:instrText>
      </w:r>
      <w:r w:rsidR="005242B6">
        <w:fldChar w:fldCharType="end"/>
      </w:r>
      <w:r w:rsidR="00E84F24" w:rsidRPr="00E84F24">
        <w:fldChar w:fldCharType="separate"/>
      </w:r>
      <w:r w:rsidR="005242B6" w:rsidRPr="005242B6">
        <w:rPr>
          <w:noProof/>
          <w:vertAlign w:val="superscript"/>
        </w:rPr>
        <w:t>6</w:t>
      </w:r>
      <w:r w:rsidR="00E84F24" w:rsidRPr="00E84F24">
        <w:fldChar w:fldCharType="end"/>
      </w:r>
      <w:r w:rsidR="00E84F24">
        <w:t>), drops out of the equation:</w:t>
      </w:r>
    </w:p>
    <w:p w14:paraId="126D3B08" w14:textId="77777777" w:rsidR="00E84F24" w:rsidRDefault="00E84F24" w:rsidP="00F33E3B">
      <w:pPr>
        <w:ind w:firstLine="0"/>
      </w:pPr>
    </w:p>
    <w:p w14:paraId="26F621D0" w14:textId="40BBA616" w:rsidR="00E84F24" w:rsidRPr="00E84F24" w:rsidRDefault="00E84F24" w:rsidP="00F33E3B">
      <w:pPr>
        <w:ind w:firstLine="0"/>
      </w:pPr>
      <m:oMathPara>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d>
            <m:dPr>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1-FI</m:t>
                      </m:r>
                      <m:d>
                        <m:dPr>
                          <m:ctrlPr>
                            <w:rPr>
                              <w:rFonts w:ascii="Cambria Math" w:hAnsi="Cambria Math"/>
                              <w:i/>
                            </w:rPr>
                          </m:ctrlPr>
                        </m:dPr>
                        <m:e>
                          <m:r>
                            <w:rPr>
                              <w:rFonts w:ascii="Cambria Math" w:hAnsi="Cambria Math"/>
                            </w:rPr>
                            <m:t>1-QE</m:t>
                          </m:r>
                        </m:e>
                      </m:d>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bleach,bkrd</m:t>
                              </m:r>
                            </m:sub>
                          </m:sSub>
                        </m:num>
                        <m:den>
                          <m:r>
                            <w:rPr>
                              <w:rFonts w:ascii="Cambria Math" w:hAnsi="Cambria Math"/>
                            </w:rPr>
                            <m:t>1-QE</m:t>
                          </m:r>
                        </m:den>
                      </m:f>
                    </m:e>
                  </m:d>
                </m:e>
                <m:sup>
                  <m:r>
                    <w:rPr>
                      <w:rFonts w:ascii="Cambria Math" w:hAnsi="Cambria Math"/>
                    </w:rPr>
                    <m:t>n</m:t>
                  </m:r>
                </m:sup>
              </m:sSup>
            </m:e>
          </m:d>
        </m:oMath>
      </m:oMathPara>
    </w:p>
    <w:p w14:paraId="0A8DD17F" w14:textId="63277A2A" w:rsidR="00E84F24" w:rsidRPr="00E84F24" w:rsidRDefault="00E84F24" w:rsidP="00F33E3B">
      <w:pPr>
        <w:ind w:firstLine="0"/>
      </w:pPr>
      <m:oMathPara>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d>
            <m:dPr>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k</m:t>
                          </m:r>
                        </m:e>
                        <m:sub>
                          <m:r>
                            <w:rPr>
                              <w:rFonts w:ascii="Cambria Math" w:hAnsi="Cambria Math"/>
                            </w:rPr>
                            <m:t>bleach,bkrd</m:t>
                          </m:r>
                        </m:sub>
                      </m:sSub>
                      <m:r>
                        <w:rPr>
                          <w:rFonts w:ascii="Cambria Math" w:hAnsi="Cambria Math"/>
                        </w:rPr>
                        <m:t>FI</m:t>
                      </m:r>
                    </m:e>
                  </m:d>
                </m:e>
                <m:sup>
                  <m:r>
                    <w:rPr>
                      <w:rFonts w:ascii="Cambria Math" w:hAnsi="Cambria Math"/>
                    </w:rPr>
                    <m:t>n</m:t>
                  </m:r>
                </m:sup>
              </m:sSup>
            </m:e>
          </m:d>
        </m:oMath>
      </m:oMathPara>
    </w:p>
    <w:p w14:paraId="435618AD" w14:textId="77777777" w:rsidR="00E84F24" w:rsidRDefault="00E84F24" w:rsidP="00F33E3B">
      <w:pPr>
        <w:ind w:firstLine="0"/>
      </w:pPr>
    </w:p>
    <w:p w14:paraId="040F1BC4" w14:textId="3E6A7AE3" w:rsidR="00017BE4" w:rsidRPr="00017BE4" w:rsidRDefault="00E84F24" w:rsidP="002D608B">
      <w:pPr>
        <w:ind w:firstLine="0"/>
        <w:rPr>
          <w:b/>
          <w:bCs/>
        </w:rPr>
      </w:pPr>
      <w:r>
        <w:t xml:space="preserve">We used this equation to calculate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after</m:t>
            </m:r>
          </m:sub>
        </m:sSub>
      </m:oMath>
      <w:r>
        <w:t xml:space="preserve"> as a function of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rsidR="00204520">
        <w:t>. Our results</w:t>
      </w:r>
      <w:r>
        <w:t xml:space="preserve"> show</w:t>
      </w:r>
      <w:r w:rsidR="00204520">
        <w:t xml:space="preserve"> </w:t>
      </w:r>
      <w:r>
        <w:t xml:space="preserve">that pixels with higher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t xml:space="preserve"> </w:t>
      </w:r>
      <w:r w:rsidR="00204520">
        <w:t xml:space="preserve">exhibit larger extents of photobleaching, but only the dimmest pixels (those with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rsidR="00537310">
        <w:t>&lt;~0.54</w:t>
      </w:r>
      <w:r w:rsidR="00204520">
        <w:t xml:space="preserve">) </w:t>
      </w:r>
      <w:r w:rsidR="00537310">
        <w:t>transition</w:t>
      </w:r>
      <w:r w:rsidR="00204520">
        <w:t xml:space="preserve"> below the</w:t>
      </w:r>
      <w:r w:rsidR="00537310">
        <w:t xml:space="preserve"> </w:t>
      </w:r>
      <m:oMath>
        <m:r>
          <w:rPr>
            <w:rFonts w:ascii="Cambria Math" w:hAnsi="Cambria Math"/>
          </w:rPr>
          <m:t>FI=0.5</m:t>
        </m:r>
      </m:oMath>
      <w:r w:rsidR="00204520">
        <w:t xml:space="preserve"> cu</w:t>
      </w:r>
      <w:r w:rsidR="00537310">
        <w:t>toff due to photobleaching and</w:t>
      </w:r>
      <w:r w:rsidR="00204520">
        <w:t xml:space="preserve"> drop out of the masking procedure</w:t>
      </w:r>
      <w:r w:rsidR="00E74562">
        <w:t>.</w:t>
      </w:r>
      <w:r w:rsidR="00F33E3B">
        <w:t xml:space="preserve"> </w:t>
      </w:r>
      <w:r w:rsidR="00537310" w:rsidRPr="00537310">
        <w:rPr>
          <w:b/>
          <w:bCs/>
        </w:rPr>
        <w:t>e)</w:t>
      </w:r>
      <w:r w:rsidR="00537310">
        <w:t xml:space="preserve"> A plot of the percent of pixels that drop out</w:t>
      </w:r>
      <w:r w:rsidR="009100C6">
        <w:t xml:space="preserve"> (assuming a distribution of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before</m:t>
            </m:r>
          </m:sub>
        </m:sSub>
      </m:oMath>
      <w:r w:rsidR="009100C6">
        <w:t xml:space="preserve"> shown in </w:t>
      </w:r>
      <w:r w:rsidR="009100C6" w:rsidRPr="009100C6">
        <w:rPr>
          <w:b/>
          <w:bCs/>
        </w:rPr>
        <w:t>c</w:t>
      </w:r>
      <w:r w:rsidR="009100C6">
        <w:t>)</w:t>
      </w:r>
      <w:r w:rsidR="00537310">
        <w:t xml:space="preserve"> of the masking procedure due to photobleaching as a function of </w:t>
      </w:r>
      <m:oMath>
        <m:r>
          <w:rPr>
            <w:rFonts w:ascii="Cambria Math" w:hAnsi="Cambria Math"/>
          </w:rPr>
          <m:t>n</m:t>
        </m:r>
      </m:oMath>
      <w:r w:rsidR="009100C6">
        <w:t>, showing a linear trend with a slope of 0.93% drop-out per image</w:t>
      </w:r>
      <w:r w:rsidR="00537310">
        <w:t xml:space="preserve">. Dotted line shows </w:t>
      </w:r>
      <w:r w:rsidR="009100C6">
        <w:t xml:space="preserve">that at </w:t>
      </w:r>
      <m:oMath>
        <m:r>
          <w:rPr>
            <w:rFonts w:ascii="Cambria Math" w:hAnsi="Cambria Math"/>
          </w:rPr>
          <m:t>n=15</m:t>
        </m:r>
      </m:oMath>
      <w:r w:rsidR="009100C6">
        <w:t>, ~14% of pixels drop out of the masking procedure due to photobleaching.</w:t>
      </w:r>
    </w:p>
    <w:p w14:paraId="03100626" w14:textId="56056D17" w:rsidR="00875CC4" w:rsidRDefault="00875CC4">
      <w:pPr>
        <w:spacing w:after="160" w:line="259" w:lineRule="auto"/>
        <w:ind w:firstLine="0"/>
        <w:jc w:val="left"/>
      </w:pPr>
      <w:r>
        <w:br w:type="page"/>
      </w:r>
    </w:p>
    <w:p w14:paraId="6ED47C37" w14:textId="0DF4CAAD" w:rsidR="00342632" w:rsidRDefault="001E6781" w:rsidP="001E6781">
      <w:pPr>
        <w:ind w:firstLine="0"/>
      </w:pPr>
      <w:r>
        <w:rPr>
          <w:noProof/>
        </w:rPr>
        <w:lastRenderedPageBreak/>
        <w:drawing>
          <wp:inline distT="0" distB="0" distL="0" distR="0" wp14:anchorId="20DEBF28" wp14:editId="793CD3A9">
            <wp:extent cx="5907742" cy="638238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15306" cy="6390554"/>
                    </a:xfrm>
                    <a:prstGeom prst="rect">
                      <a:avLst/>
                    </a:prstGeom>
                    <a:noFill/>
                    <a:ln>
                      <a:noFill/>
                    </a:ln>
                  </pic:spPr>
                </pic:pic>
              </a:graphicData>
            </a:graphic>
          </wp:inline>
        </w:drawing>
      </w:r>
    </w:p>
    <w:p w14:paraId="43DF6730" w14:textId="24BC9E58" w:rsidR="0091320E" w:rsidRDefault="003720A0" w:rsidP="0091320E">
      <w:pPr>
        <w:pStyle w:val="Heading2"/>
      </w:pPr>
      <w:bookmarkStart w:id="68" w:name="_Toc47832208"/>
      <w:bookmarkStart w:id="69" w:name="_Toc47832263"/>
      <w:bookmarkStart w:id="70" w:name="_Toc51022547"/>
      <w:r w:rsidRPr="0006589F">
        <w:t xml:space="preserve">Figure </w:t>
      </w:r>
      <w:r>
        <w:t>S</w:t>
      </w:r>
      <w:r w:rsidR="00F26FAD">
        <w:t>1</w:t>
      </w:r>
      <w:r w:rsidR="00FE0EBE">
        <w:t>2</w:t>
      </w:r>
      <w:r w:rsidRPr="0006589F">
        <w:t xml:space="preserve">: </w:t>
      </w:r>
      <w:r w:rsidR="0023673D">
        <w:t>Comparison of</w:t>
      </w:r>
      <w:r w:rsidR="00EE689B">
        <w:t xml:space="preserve"> SIM-MFM signal produced by T-cell receptor and platelet integrin forces</w:t>
      </w:r>
      <w:bookmarkEnd w:id="68"/>
      <w:bookmarkEnd w:id="69"/>
      <w:bookmarkEnd w:id="70"/>
    </w:p>
    <w:p w14:paraId="2EC50780" w14:textId="77777777" w:rsidR="0091320E" w:rsidRPr="0091320E" w:rsidRDefault="0091320E" w:rsidP="0091320E"/>
    <w:p w14:paraId="71094B72" w14:textId="0318A567" w:rsidR="00EE689B" w:rsidRDefault="003720A0" w:rsidP="00D57F47">
      <w:pPr>
        <w:ind w:firstLine="0"/>
      </w:pPr>
      <w:bookmarkStart w:id="71" w:name="_Hlk45141000"/>
      <w:r>
        <w:t xml:space="preserve">This figure is divided in two sections that have the same structure. The top half of the figure shows representative T-cell data, while the bottom half shows representative data for platelets, which serve as a control. Each panel shows twelve representative cells (one in each platelet) and has 6 rows corresponding to </w:t>
      </w:r>
      <m:oMath>
        <m:sSub>
          <m:sSubPr>
            <m:ctrlPr>
              <w:rPr>
                <w:rFonts w:ascii="Cambria Math" w:hAnsi="Cambria Math"/>
                <w:i/>
              </w:rPr>
            </m:ctrlPr>
          </m:sSubPr>
          <m:e>
            <m:r>
              <w:rPr>
                <w:rFonts w:ascii="Cambria Math" w:hAnsi="Cambria Math"/>
              </w:rPr>
              <m:t>I</m:t>
            </m:r>
          </m:e>
          <m:sub>
            <m:r>
              <w:rPr>
                <w:rFonts w:ascii="Cambria Math" w:hAnsi="Cambria Math"/>
              </w:rPr>
              <m:t>max</m:t>
            </m:r>
          </m:sub>
        </m:sSub>
      </m:oMath>
      <w:r>
        <w:t xml:space="preserve">, </w:t>
      </w:r>
      <m:oMath>
        <m:r>
          <w:rPr>
            <w:rFonts w:ascii="Cambria Math" w:hAnsi="Cambria Math"/>
          </w:rPr>
          <m:t>A</m:t>
        </m:r>
      </m:oMath>
      <w:r>
        <w:t xml:space="preserve">, </w:t>
      </w:r>
      <m:oMath>
        <m:r>
          <w:rPr>
            <w:rFonts w:ascii="Cambria Math" w:hAnsi="Cambria Math"/>
          </w:rPr>
          <m:t>c</m:t>
        </m:r>
      </m:oMath>
      <w:r>
        <w:t xml:space="preserve">, </w:t>
      </w:r>
      <m:oMath>
        <m:r>
          <w:rPr>
            <w:rFonts w:ascii="Cambria Math" w:hAnsi="Cambria Math"/>
          </w:rPr>
          <m:t>ϕ</m:t>
        </m:r>
      </m:oMath>
      <w:r>
        <w:t xml:space="preserve">, and the cell and background masks used to quantify </w:t>
      </w:r>
      <m:oMath>
        <m:r>
          <w:rPr>
            <w:rFonts w:ascii="Cambria Math" w:hAnsi="Cambria Math"/>
          </w:rPr>
          <m:t>⟨A⟩</m:t>
        </m:r>
      </m:oMath>
      <w:r>
        <w:t xml:space="preserve"> and </w:t>
      </w:r>
      <m:oMath>
        <m:r>
          <w:rPr>
            <w:rFonts w:ascii="Cambria Math" w:hAnsi="Cambria Math"/>
          </w:rPr>
          <m:t>⟨c⟩</m:t>
        </m:r>
      </m:oMath>
      <w:r>
        <w:t xml:space="preserve"> within the cells and the cell-free background. Notably, the T-cell </w:t>
      </w:r>
      <m:oMath>
        <m:r>
          <w:rPr>
            <w:rFonts w:ascii="Cambria Math" w:hAnsi="Cambria Math"/>
          </w:rPr>
          <m:t>A</m:t>
        </m:r>
      </m:oMath>
      <w:r>
        <w:t xml:space="preserve"> images show signal that is barely distinguishable from background, while platelet </w:t>
      </w:r>
      <m:oMath>
        <m:r>
          <w:rPr>
            <w:rFonts w:ascii="Cambria Math" w:hAnsi="Cambria Math"/>
          </w:rPr>
          <m:t>A</m:t>
        </m:r>
      </m:oMath>
      <w:r>
        <w:t xml:space="preserve"> images show substantially brighter signal than background.</w:t>
      </w:r>
      <w:r w:rsidR="00CC0BC1">
        <w:t xml:space="preserve"> Additionally, the </w:t>
      </w:r>
      <m:oMath>
        <m:r>
          <w:rPr>
            <w:rFonts w:ascii="Cambria Math" w:hAnsi="Cambria Math"/>
          </w:rPr>
          <m:t>ϕ</m:t>
        </m:r>
      </m:oMath>
      <w:r w:rsidR="00CC0BC1">
        <w:t xml:space="preserve"> images for the T-cells show no distinguishable spatial pattern because the low </w:t>
      </w:r>
      <m:oMath>
        <m:r>
          <w:rPr>
            <w:rFonts w:ascii="Cambria Math" w:hAnsi="Cambria Math"/>
          </w:rPr>
          <m:t>A</m:t>
        </m:r>
      </m:oMath>
      <w:r w:rsidR="00CC0BC1">
        <w:t xml:space="preserve"> values result in </w:t>
      </w:r>
      <m:oMath>
        <m:r>
          <w:rPr>
            <w:rFonts w:ascii="Cambria Math" w:hAnsi="Cambria Math"/>
          </w:rPr>
          <m:t>ϕ</m:t>
        </m:r>
      </m:oMath>
      <w:r w:rsidR="00CC0BC1">
        <w:t xml:space="preserve"> values that are noise-dominated.</w:t>
      </w:r>
      <w:bookmarkEnd w:id="58"/>
      <w:bookmarkEnd w:id="71"/>
      <w:r w:rsidR="00EE689B">
        <w:br w:type="page"/>
      </w:r>
    </w:p>
    <w:p w14:paraId="2E77CCFA" w14:textId="6F0ADA3E" w:rsidR="0021400B" w:rsidRDefault="0021400B" w:rsidP="0021400B">
      <w:pPr>
        <w:pStyle w:val="Heading1"/>
      </w:pPr>
      <w:bookmarkStart w:id="72" w:name="_Toc15383700"/>
      <w:bookmarkStart w:id="73" w:name="_Toc51022548"/>
      <w:bookmarkStart w:id="74" w:name="_Toc47832209"/>
      <w:bookmarkStart w:id="75" w:name="_Toc47832264"/>
      <w:bookmarkStart w:id="76" w:name="_Hlk45141482"/>
      <w:r w:rsidRPr="007C1EC0">
        <w:lastRenderedPageBreak/>
        <w:t>Table S1 – Oligonucleotide sequences</w:t>
      </w:r>
      <w:bookmarkEnd w:id="72"/>
      <w:bookmarkEnd w:id="73"/>
      <w:r w:rsidRPr="007C1EC0">
        <w:t xml:space="preserve"> </w:t>
      </w:r>
    </w:p>
    <w:p w14:paraId="0E636175" w14:textId="77777777" w:rsidR="00DF1B40" w:rsidRPr="00DF1B40" w:rsidRDefault="00DF1B40" w:rsidP="00DF1B40"/>
    <w:tbl>
      <w:tblPr>
        <w:tblStyle w:val="TableGrid"/>
        <w:tblW w:w="93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0"/>
        <w:gridCol w:w="7344"/>
      </w:tblGrid>
      <w:tr w:rsidR="0021400B" w:rsidRPr="007C1EC0" w14:paraId="0D17CDBA" w14:textId="77777777" w:rsidTr="0021400B">
        <w:tc>
          <w:tcPr>
            <w:tcW w:w="1960" w:type="dxa"/>
            <w:tcBorders>
              <w:top w:val="single" w:sz="4" w:space="0" w:color="auto"/>
              <w:bottom w:val="single" w:sz="4" w:space="0" w:color="auto"/>
            </w:tcBorders>
          </w:tcPr>
          <w:p w14:paraId="44FF4DB7" w14:textId="77777777" w:rsidR="0021400B" w:rsidRPr="00DF1B40" w:rsidRDefault="0021400B" w:rsidP="007F226A">
            <w:pPr>
              <w:rPr>
                <w:b/>
                <w:bCs/>
              </w:rPr>
            </w:pPr>
            <w:r w:rsidRPr="00DF1B40">
              <w:rPr>
                <w:b/>
                <w:bCs/>
              </w:rPr>
              <w:t>Name</w:t>
            </w:r>
          </w:p>
        </w:tc>
        <w:tc>
          <w:tcPr>
            <w:tcW w:w="7344" w:type="dxa"/>
            <w:tcBorders>
              <w:top w:val="single" w:sz="4" w:space="0" w:color="auto"/>
              <w:bottom w:val="single" w:sz="4" w:space="0" w:color="auto"/>
            </w:tcBorders>
          </w:tcPr>
          <w:p w14:paraId="1155367B" w14:textId="77777777" w:rsidR="0021400B" w:rsidRPr="00DF1B40" w:rsidRDefault="0021400B" w:rsidP="0021400B">
            <w:pPr>
              <w:ind w:firstLine="0"/>
              <w:rPr>
                <w:b/>
                <w:bCs/>
              </w:rPr>
            </w:pPr>
            <w:r w:rsidRPr="00DF1B40">
              <w:rPr>
                <w:b/>
                <w:bCs/>
              </w:rPr>
              <w:t>Sequence (5’-3’)</w:t>
            </w:r>
          </w:p>
        </w:tc>
      </w:tr>
      <w:tr w:rsidR="0021400B" w:rsidRPr="007C1EC0" w14:paraId="4883B91A" w14:textId="77777777" w:rsidTr="005E5637">
        <w:trPr>
          <w:trHeight w:val="144"/>
        </w:trPr>
        <w:tc>
          <w:tcPr>
            <w:tcW w:w="1960" w:type="dxa"/>
            <w:tcBorders>
              <w:top w:val="single" w:sz="4" w:space="0" w:color="auto"/>
            </w:tcBorders>
          </w:tcPr>
          <w:p w14:paraId="653BFF28" w14:textId="6F58DFFE" w:rsidR="0021400B" w:rsidRPr="00D8019A" w:rsidRDefault="0021400B" w:rsidP="0021400B">
            <w:pPr>
              <w:ind w:firstLine="0"/>
              <w:jc w:val="left"/>
              <w:rPr>
                <w:sz w:val="20"/>
              </w:rPr>
            </w:pPr>
          </w:p>
        </w:tc>
        <w:tc>
          <w:tcPr>
            <w:tcW w:w="7344" w:type="dxa"/>
            <w:tcBorders>
              <w:top w:val="single" w:sz="4" w:space="0" w:color="auto"/>
            </w:tcBorders>
          </w:tcPr>
          <w:p w14:paraId="49B89046" w14:textId="0D9A3110" w:rsidR="0021400B" w:rsidRPr="00D8019A" w:rsidRDefault="0021400B" w:rsidP="0021400B">
            <w:pPr>
              <w:ind w:firstLine="0"/>
              <w:rPr>
                <w:sz w:val="20"/>
              </w:rPr>
            </w:pPr>
          </w:p>
        </w:tc>
      </w:tr>
      <w:tr w:rsidR="005E5637" w:rsidRPr="007C1EC0" w14:paraId="7D163A46" w14:textId="77777777" w:rsidTr="00DF1B40">
        <w:trPr>
          <w:trHeight w:val="720"/>
        </w:trPr>
        <w:tc>
          <w:tcPr>
            <w:tcW w:w="1960" w:type="dxa"/>
          </w:tcPr>
          <w:p w14:paraId="1285D276" w14:textId="5123EB85" w:rsidR="005E5637" w:rsidRDefault="005E5637" w:rsidP="005E5637">
            <w:pPr>
              <w:ind w:firstLine="0"/>
              <w:jc w:val="left"/>
              <w:rPr>
                <w:sz w:val="20"/>
              </w:rPr>
            </w:pPr>
            <w:r>
              <w:rPr>
                <w:sz w:val="20"/>
              </w:rPr>
              <w:t>cRGDfK-presenting strand</w:t>
            </w:r>
          </w:p>
        </w:tc>
        <w:tc>
          <w:tcPr>
            <w:tcW w:w="7344" w:type="dxa"/>
          </w:tcPr>
          <w:p w14:paraId="32E7AE4B" w14:textId="6A0F1B04" w:rsidR="005E5637" w:rsidRPr="0021400B" w:rsidRDefault="005E5637" w:rsidP="005E5637">
            <w:pPr>
              <w:ind w:firstLine="0"/>
              <w:rPr>
                <w:sz w:val="20"/>
              </w:rPr>
            </w:pPr>
            <w:r w:rsidRPr="0021400B">
              <w:rPr>
                <w:sz w:val="20"/>
              </w:rPr>
              <w:t>5’-/5Hexynyl/-TTT GCT GGG CTA CGT GGC GCT CTT-/3AmMO/-3’</w:t>
            </w:r>
          </w:p>
        </w:tc>
      </w:tr>
      <w:tr w:rsidR="005E5637" w:rsidRPr="007C1EC0" w14:paraId="463EF835" w14:textId="77777777" w:rsidTr="00DF1B40">
        <w:trPr>
          <w:trHeight w:val="720"/>
        </w:trPr>
        <w:tc>
          <w:tcPr>
            <w:tcW w:w="1960" w:type="dxa"/>
          </w:tcPr>
          <w:p w14:paraId="0060F4F7" w14:textId="32C33AC2" w:rsidR="005E5637" w:rsidRPr="00D8019A" w:rsidRDefault="005E5637" w:rsidP="005E5637">
            <w:pPr>
              <w:ind w:firstLine="0"/>
              <w:jc w:val="left"/>
              <w:rPr>
                <w:sz w:val="20"/>
              </w:rPr>
            </w:pPr>
            <w:r>
              <w:rPr>
                <w:sz w:val="20"/>
              </w:rPr>
              <w:t>Anchor strand for glass</w:t>
            </w:r>
          </w:p>
        </w:tc>
        <w:tc>
          <w:tcPr>
            <w:tcW w:w="7344" w:type="dxa"/>
          </w:tcPr>
          <w:p w14:paraId="22A24508" w14:textId="51B8288F" w:rsidR="005E5637" w:rsidRPr="00D8019A" w:rsidRDefault="005E5637" w:rsidP="005E5637">
            <w:pPr>
              <w:ind w:firstLine="0"/>
              <w:rPr>
                <w:sz w:val="20"/>
              </w:rPr>
            </w:pPr>
            <w:r w:rsidRPr="0021400B">
              <w:rPr>
                <w:sz w:val="20"/>
              </w:rPr>
              <w:t>5’-/BHQ 1/-CGC ATC TGT GCG GTA TTT CAC TTT-/3Bio/-3</w:t>
            </w:r>
            <w:r>
              <w:rPr>
                <w:sz w:val="20"/>
              </w:rPr>
              <w:t>’</w:t>
            </w:r>
          </w:p>
        </w:tc>
      </w:tr>
      <w:tr w:rsidR="005E5637" w:rsidRPr="007C1EC0" w14:paraId="068AB988" w14:textId="77777777" w:rsidTr="00DF1B40">
        <w:trPr>
          <w:trHeight w:val="720"/>
        </w:trPr>
        <w:tc>
          <w:tcPr>
            <w:tcW w:w="1960" w:type="dxa"/>
          </w:tcPr>
          <w:p w14:paraId="1C64F7B6" w14:textId="5CF1A19E" w:rsidR="005E5637" w:rsidRDefault="005E5637" w:rsidP="005E5637">
            <w:pPr>
              <w:ind w:firstLine="0"/>
              <w:jc w:val="left"/>
              <w:rPr>
                <w:sz w:val="20"/>
              </w:rPr>
            </w:pPr>
            <w:r>
              <w:rPr>
                <w:sz w:val="20"/>
              </w:rPr>
              <w:t>Hairpin strand for glass</w:t>
            </w:r>
          </w:p>
        </w:tc>
        <w:tc>
          <w:tcPr>
            <w:tcW w:w="7344" w:type="dxa"/>
          </w:tcPr>
          <w:p w14:paraId="687FB68A" w14:textId="08F8755A" w:rsidR="005E5637" w:rsidRPr="0021400B" w:rsidRDefault="005E5637" w:rsidP="005E5637">
            <w:pPr>
              <w:ind w:firstLine="0"/>
              <w:rPr>
                <w:sz w:val="20"/>
              </w:rPr>
            </w:pPr>
            <w:r w:rsidRPr="00FB7249">
              <w:rPr>
                <w:sz w:val="20"/>
              </w:rPr>
              <w:t>5’-GTG AAATAC CGC ACA GAT GCG TTT</w:t>
            </w:r>
            <w:r>
              <w:rPr>
                <w:sz w:val="20"/>
              </w:rPr>
              <w:t xml:space="preserve"> </w:t>
            </w:r>
            <w:r w:rsidRPr="00F306B1">
              <w:rPr>
                <w:sz w:val="20"/>
                <w:u w:val="single"/>
              </w:rPr>
              <w:t>GTA TAA ATG</w:t>
            </w:r>
            <w:r>
              <w:rPr>
                <w:sz w:val="20"/>
                <w:u w:val="single"/>
              </w:rPr>
              <w:t xml:space="preserve"> </w:t>
            </w:r>
            <w:r w:rsidRPr="00FB7249">
              <w:rPr>
                <w:sz w:val="20"/>
              </w:rPr>
              <w:t>TTT TTT T</w:t>
            </w:r>
            <w:r w:rsidRPr="00F306B1">
              <w:rPr>
                <w:sz w:val="20"/>
                <w:u w:val="single"/>
              </w:rPr>
              <w:t>CA TTT ATA C</w:t>
            </w:r>
            <w:r>
              <w:rPr>
                <w:sz w:val="20"/>
              </w:rPr>
              <w:t xml:space="preserve"> </w:t>
            </w:r>
            <w:r w:rsidRPr="00FB7249">
              <w:rPr>
                <w:sz w:val="20"/>
              </w:rPr>
              <w:t>TTT AAG AGC GCC ACG TAG CCC AGC-3’</w:t>
            </w:r>
          </w:p>
        </w:tc>
      </w:tr>
      <w:tr w:rsidR="005E5637" w:rsidRPr="007C1EC0" w14:paraId="7DFD384D" w14:textId="77777777" w:rsidTr="00DF1B40">
        <w:trPr>
          <w:trHeight w:val="720"/>
        </w:trPr>
        <w:tc>
          <w:tcPr>
            <w:tcW w:w="1960" w:type="dxa"/>
          </w:tcPr>
          <w:p w14:paraId="03B53EA5" w14:textId="668FEA32" w:rsidR="005E5637" w:rsidRDefault="005E5637" w:rsidP="005E5637">
            <w:pPr>
              <w:ind w:firstLine="0"/>
              <w:jc w:val="left"/>
              <w:rPr>
                <w:sz w:val="20"/>
              </w:rPr>
            </w:pPr>
            <w:r>
              <w:rPr>
                <w:sz w:val="20"/>
              </w:rPr>
              <w:t>Opening strand</w:t>
            </w:r>
          </w:p>
        </w:tc>
        <w:tc>
          <w:tcPr>
            <w:tcW w:w="7344" w:type="dxa"/>
          </w:tcPr>
          <w:p w14:paraId="5B30E63A" w14:textId="0D10EF6A" w:rsidR="005E5637" w:rsidRPr="00FB7249" w:rsidRDefault="005E5637" w:rsidP="005E5637">
            <w:pPr>
              <w:ind w:firstLine="0"/>
              <w:rPr>
                <w:sz w:val="20"/>
              </w:rPr>
            </w:pPr>
            <w:r w:rsidRPr="00FB7249">
              <w:rPr>
                <w:sz w:val="20"/>
              </w:rPr>
              <w:t>GTATAAATGAAAAAAACATTTATAC</w:t>
            </w:r>
          </w:p>
        </w:tc>
      </w:tr>
      <w:tr w:rsidR="005E5637" w:rsidRPr="007C1EC0" w14:paraId="594415A7" w14:textId="77777777" w:rsidTr="00DF1B40">
        <w:trPr>
          <w:trHeight w:val="720"/>
        </w:trPr>
        <w:tc>
          <w:tcPr>
            <w:tcW w:w="1960" w:type="dxa"/>
          </w:tcPr>
          <w:p w14:paraId="734BB87C" w14:textId="2A06548A" w:rsidR="005E5637" w:rsidRDefault="005E5637" w:rsidP="005E5637">
            <w:pPr>
              <w:ind w:firstLine="0"/>
              <w:jc w:val="left"/>
              <w:rPr>
                <w:sz w:val="20"/>
              </w:rPr>
            </w:pPr>
            <w:r>
              <w:rPr>
                <w:sz w:val="20"/>
              </w:rPr>
              <w:t>pMHC-presenting strand</w:t>
            </w:r>
          </w:p>
        </w:tc>
        <w:tc>
          <w:tcPr>
            <w:tcW w:w="7344" w:type="dxa"/>
          </w:tcPr>
          <w:p w14:paraId="3AF161DC" w14:textId="7F88B3C3" w:rsidR="005E5637" w:rsidRPr="00FB7249" w:rsidRDefault="005E5637" w:rsidP="005E5637">
            <w:pPr>
              <w:ind w:firstLine="0"/>
              <w:rPr>
                <w:sz w:val="20"/>
              </w:rPr>
            </w:pPr>
            <w:r w:rsidRPr="00FB7249">
              <w:rPr>
                <w:sz w:val="20"/>
              </w:rPr>
              <w:t>/5AmMC6/-CGC ATC TGT GCG GTA TTT CAC TTT-/3Bio/-3</w:t>
            </w:r>
          </w:p>
        </w:tc>
      </w:tr>
      <w:tr w:rsidR="005E5637" w:rsidRPr="007C1EC0" w14:paraId="0C7EDEEE" w14:textId="77777777" w:rsidTr="00DF1B40">
        <w:trPr>
          <w:trHeight w:val="720"/>
        </w:trPr>
        <w:tc>
          <w:tcPr>
            <w:tcW w:w="1960" w:type="dxa"/>
          </w:tcPr>
          <w:p w14:paraId="3E2FB010" w14:textId="0F00ABF7" w:rsidR="005E5637" w:rsidRDefault="005E5637" w:rsidP="005E5637">
            <w:pPr>
              <w:ind w:firstLine="0"/>
              <w:jc w:val="left"/>
              <w:rPr>
                <w:sz w:val="20"/>
              </w:rPr>
            </w:pPr>
            <w:r>
              <w:rPr>
                <w:sz w:val="20"/>
              </w:rPr>
              <w:t>A</w:t>
            </w:r>
            <w:r w:rsidRPr="00FB7249">
              <w:rPr>
                <w:sz w:val="20"/>
              </w:rPr>
              <w:t>nchor strand</w:t>
            </w:r>
            <w:r>
              <w:rPr>
                <w:sz w:val="20"/>
              </w:rPr>
              <w:t xml:space="preserve"> for AuNP</w:t>
            </w:r>
          </w:p>
        </w:tc>
        <w:tc>
          <w:tcPr>
            <w:tcW w:w="7344" w:type="dxa"/>
          </w:tcPr>
          <w:p w14:paraId="468236D8" w14:textId="246C6063" w:rsidR="005E5637" w:rsidRPr="00FB7249" w:rsidRDefault="005E5637" w:rsidP="005E5637">
            <w:pPr>
              <w:ind w:firstLine="0"/>
              <w:rPr>
                <w:sz w:val="20"/>
              </w:rPr>
            </w:pPr>
            <w:r w:rsidRPr="00FB7249">
              <w:rPr>
                <w:sz w:val="20"/>
              </w:rPr>
              <w:t>/5ThiolMC6-D/-TTT GCT GGG CTA CGT GGC GCT CTT-/3BHQ_2/-3</w:t>
            </w:r>
            <w:r>
              <w:rPr>
                <w:sz w:val="20"/>
              </w:rPr>
              <w:t>’</w:t>
            </w:r>
          </w:p>
        </w:tc>
      </w:tr>
      <w:tr w:rsidR="005E5637" w:rsidRPr="007C1EC0" w14:paraId="17CFE21E" w14:textId="77777777" w:rsidTr="00DF1B40">
        <w:trPr>
          <w:trHeight w:val="720"/>
        </w:trPr>
        <w:tc>
          <w:tcPr>
            <w:tcW w:w="1960" w:type="dxa"/>
            <w:tcBorders>
              <w:bottom w:val="single" w:sz="4" w:space="0" w:color="auto"/>
            </w:tcBorders>
          </w:tcPr>
          <w:p w14:paraId="022DCF50" w14:textId="6A283762" w:rsidR="005E5637" w:rsidRPr="00D8019A" w:rsidRDefault="005E5637" w:rsidP="005E5637">
            <w:pPr>
              <w:ind w:firstLine="0"/>
              <w:jc w:val="left"/>
              <w:rPr>
                <w:sz w:val="20"/>
              </w:rPr>
            </w:pPr>
            <w:r>
              <w:rPr>
                <w:sz w:val="20"/>
              </w:rPr>
              <w:t>Hairpin for AuNP</w:t>
            </w:r>
          </w:p>
        </w:tc>
        <w:tc>
          <w:tcPr>
            <w:tcW w:w="7344" w:type="dxa"/>
            <w:tcBorders>
              <w:bottom w:val="single" w:sz="4" w:space="0" w:color="auto"/>
            </w:tcBorders>
          </w:tcPr>
          <w:p w14:paraId="69105318" w14:textId="0846C951" w:rsidR="005E5637" w:rsidRPr="00F306B1" w:rsidRDefault="005E5637" w:rsidP="005E5637">
            <w:pPr>
              <w:autoSpaceDE w:val="0"/>
              <w:autoSpaceDN w:val="0"/>
              <w:adjustRightInd w:val="0"/>
              <w:ind w:firstLine="0"/>
              <w:rPr>
                <w:rFonts w:eastAsia="CIDFont+F3" w:cstheme="minorHAnsi"/>
                <w:sz w:val="20"/>
                <w:szCs w:val="20"/>
              </w:rPr>
            </w:pPr>
            <w:r>
              <w:rPr>
                <w:rFonts w:eastAsia="CIDFont+F3" w:cstheme="minorHAnsi"/>
                <w:sz w:val="20"/>
                <w:szCs w:val="20"/>
              </w:rPr>
              <w:t>5’-</w:t>
            </w:r>
            <w:r w:rsidRPr="00F306B1">
              <w:rPr>
                <w:rFonts w:eastAsia="CIDFont+F3" w:cstheme="minorHAnsi"/>
                <w:sz w:val="20"/>
                <w:szCs w:val="20"/>
              </w:rPr>
              <w:t xml:space="preserve">GTG AAA TAC CGC ACA GAT GCG TTT </w:t>
            </w:r>
            <w:r w:rsidRPr="00F306B1">
              <w:rPr>
                <w:rFonts w:eastAsia="CIDFont+F3" w:cstheme="minorHAnsi"/>
                <w:sz w:val="20"/>
                <w:szCs w:val="20"/>
                <w:u w:val="single"/>
              </w:rPr>
              <w:t>GTA TAA ATG</w:t>
            </w:r>
            <w:r w:rsidRPr="00F306B1">
              <w:rPr>
                <w:rFonts w:eastAsia="CIDFont+F3" w:cstheme="minorHAnsi"/>
                <w:sz w:val="20"/>
                <w:szCs w:val="20"/>
              </w:rPr>
              <w:t xml:space="preserve"> TTT TTT T</w:t>
            </w:r>
            <w:r w:rsidRPr="00F306B1">
              <w:rPr>
                <w:rFonts w:eastAsia="CIDFont+F3" w:cstheme="minorHAnsi"/>
                <w:sz w:val="20"/>
                <w:szCs w:val="20"/>
                <w:u w:val="single"/>
              </w:rPr>
              <w:t>CA TTT ATA C</w:t>
            </w:r>
            <w:r w:rsidRPr="00F306B1">
              <w:rPr>
                <w:rFonts w:eastAsia="CIDFont+F3" w:cstheme="minorHAnsi"/>
                <w:sz w:val="20"/>
                <w:szCs w:val="20"/>
              </w:rPr>
              <w:t>TTTAA GAG CGC CAC GTA GCC CAG C</w:t>
            </w:r>
            <w:r>
              <w:rPr>
                <w:rFonts w:eastAsia="CIDFont+F3" w:cstheme="minorHAnsi"/>
                <w:sz w:val="20"/>
                <w:szCs w:val="20"/>
              </w:rPr>
              <w:t>-3’</w:t>
            </w:r>
          </w:p>
          <w:p w14:paraId="3276EF87" w14:textId="38CB4484" w:rsidR="005E5637" w:rsidRPr="00F306B1" w:rsidRDefault="005E5637" w:rsidP="005E5637">
            <w:pPr>
              <w:ind w:firstLine="0"/>
              <w:rPr>
                <w:sz w:val="20"/>
                <w:szCs w:val="20"/>
              </w:rPr>
            </w:pPr>
          </w:p>
        </w:tc>
      </w:tr>
    </w:tbl>
    <w:p w14:paraId="36EE5666" w14:textId="1B468671" w:rsidR="0021400B" w:rsidRDefault="00FB7249">
      <w:pPr>
        <w:spacing w:after="160" w:line="259" w:lineRule="auto"/>
        <w:ind w:firstLine="0"/>
        <w:jc w:val="left"/>
        <w:rPr>
          <w:b/>
          <w:bCs/>
          <w:sz w:val="28"/>
          <w:szCs w:val="28"/>
        </w:rPr>
      </w:pPr>
      <w:r w:rsidRPr="00FB7249">
        <w:t>The sequences are listed using IDT’s nomenclature. 3Bio = biotin ligated to the 3’ terminus. 5AmMC6 = 5’ amine ligated to the DNA via a 6-carbon linker. 3AmMO = amine linked</w:t>
      </w:r>
      <w:r>
        <w:t xml:space="preserve"> </w:t>
      </w:r>
      <w:r w:rsidRPr="00FB7249">
        <w:t>to the 3’ DNA terminus. 5Hexynyl = 5’ terminal alkyne. 5ThiolMC6-D = protected thiol linked to the 5’ DNA terminus via a 6-carbon linker. BHQ 1 = Black Hole Quencher-1 attached to the 5’ DNA terminus. 3BHQ 2 = Black Hole Quencher 2 attached to the 3’ DNA terminus.</w:t>
      </w:r>
      <w:r w:rsidR="00F306B1">
        <w:t xml:space="preserve"> </w:t>
      </w:r>
      <w:r w:rsidR="00F306B1" w:rsidRPr="00F306B1">
        <w:rPr>
          <w:u w:val="single"/>
        </w:rPr>
        <w:t>Underlined</w:t>
      </w:r>
      <w:r w:rsidR="00F306B1">
        <w:t xml:space="preserve"> letters denote self-complementary portions of hairpin strands.</w:t>
      </w:r>
      <w:r w:rsidR="0021400B">
        <w:br w:type="page"/>
      </w:r>
    </w:p>
    <w:p w14:paraId="25E57C02" w14:textId="1340C5BB" w:rsidR="00EE689B" w:rsidRDefault="00EE689B" w:rsidP="00EE689B">
      <w:pPr>
        <w:pStyle w:val="Heading1"/>
      </w:pPr>
      <w:bookmarkStart w:id="77" w:name="_Toc51022549"/>
      <w:r>
        <w:lastRenderedPageBreak/>
        <w:t xml:space="preserve">Supplemental Note </w:t>
      </w:r>
      <w:r w:rsidR="00A76594">
        <w:t>1</w:t>
      </w:r>
      <w:r>
        <w:t xml:space="preserve"> – </w:t>
      </w:r>
      <w:r w:rsidR="008D330E">
        <w:t>D</w:t>
      </w:r>
      <w:r>
        <w:t>erivation of equations for analytical orientation measurement</w:t>
      </w:r>
      <w:bookmarkEnd w:id="74"/>
      <w:bookmarkEnd w:id="75"/>
      <w:bookmarkEnd w:id="77"/>
    </w:p>
    <w:p w14:paraId="1118FD75" w14:textId="301DD189" w:rsidR="004043D8" w:rsidRDefault="004043D8" w:rsidP="004043D8">
      <w:r>
        <w:t>To obtain a method for calculating force orientation analytically for each set of three intensity measurements (</w:t>
      </w:r>
      <m:oMath>
        <m:sSub>
          <m:sSubPr>
            <m:ctrlPr>
              <w:rPr>
                <w:rFonts w:ascii="Cambria Math" w:hAnsi="Cambria Math"/>
                <w:i/>
              </w:rPr>
            </m:ctrlPr>
          </m:sSubPr>
          <m:e>
            <m:r>
              <w:rPr>
                <w:rFonts w:ascii="Cambria Math" w:hAnsi="Cambria Math"/>
              </w:rPr>
              <m:t>I</m:t>
            </m:r>
          </m:e>
          <m:sub>
            <m:r>
              <w:rPr>
                <w:rFonts w:ascii="Cambria Math" w:hAnsi="Cambria Math"/>
              </w:rPr>
              <m:t>1</m:t>
            </m:r>
          </m:sub>
        </m:sSub>
      </m:oMath>
      <w:r>
        <w:t xml:space="preserve">, </w:t>
      </w:r>
      <m:oMath>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and </w:t>
      </w:r>
      <m:oMath>
        <m:sSub>
          <m:sSubPr>
            <m:ctrlPr>
              <w:rPr>
                <w:rFonts w:ascii="Cambria Math" w:hAnsi="Cambria Math"/>
                <w:i/>
              </w:rPr>
            </m:ctrlPr>
          </m:sSubPr>
          <m:e>
            <m:r>
              <w:rPr>
                <w:rFonts w:ascii="Cambria Math" w:hAnsi="Cambria Math"/>
              </w:rPr>
              <m:t>I</m:t>
            </m:r>
          </m:e>
          <m:sub>
            <m:r>
              <w:rPr>
                <w:rFonts w:ascii="Cambria Math" w:hAnsi="Cambria Math"/>
              </w:rPr>
              <m:t>3</m:t>
            </m:r>
          </m:sub>
        </m:sSub>
      </m:oMath>
      <w:r>
        <w:t>), we consider equations that can be used to represent fluorescence intensity:</w:t>
      </w:r>
    </w:p>
    <w:p w14:paraId="02FC4A44" w14:textId="77777777" w:rsidR="00D57DE3" w:rsidRDefault="00D57DE3" w:rsidP="004043D8"/>
    <w:p w14:paraId="66DFE5FB" w14:textId="7B68C53E" w:rsidR="004043D8" w:rsidRPr="004043D8" w:rsidRDefault="00F6521F" w:rsidP="004043D8">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1a</m:t>
                  </m:r>
                </m:e>
              </m:d>
            </m:e>
          </m:eqArr>
        </m:oMath>
      </m:oMathPara>
    </w:p>
    <w:p w14:paraId="123A6111" w14:textId="64AA7C20" w:rsidR="004043D8" w:rsidRPr="004043D8" w:rsidRDefault="00F6521F" w:rsidP="004043D8">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1b</m:t>
                  </m:r>
                </m:e>
              </m:d>
            </m:e>
          </m:eqArr>
        </m:oMath>
      </m:oMathPara>
    </w:p>
    <w:p w14:paraId="3499A9B3" w14:textId="23B9CFD9" w:rsidR="004043D8" w:rsidRPr="00D57DE3" w:rsidRDefault="00F6521F" w:rsidP="004043D8">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3</m:t>
                          </m:r>
                        </m:sub>
                      </m:sSub>
                      <m:r>
                        <w:rPr>
                          <w:rFonts w:ascii="Cambria Math" w:hAnsi="Cambria Math"/>
                        </w:rPr>
                        <m:t>-ϕ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1c</m:t>
                  </m:r>
                </m:e>
              </m:d>
            </m:e>
          </m:eqArr>
        </m:oMath>
      </m:oMathPara>
    </w:p>
    <w:p w14:paraId="2A6773B4" w14:textId="77777777" w:rsidR="00D57DE3" w:rsidRPr="004043D8" w:rsidRDefault="00D57DE3" w:rsidP="004043D8"/>
    <w:p w14:paraId="22EF237B" w14:textId="5DCE8FE3" w:rsidR="004043D8" w:rsidRDefault="00304356" w:rsidP="00304356">
      <w:pPr>
        <w:ind w:firstLine="0"/>
      </w:pPr>
      <w:r>
        <w:t xml:space="preserve">where </w:t>
      </w:r>
      <m:oMath>
        <m:r>
          <w:rPr>
            <w:rFonts w:ascii="Cambria Math" w:hAnsi="Cambria Math"/>
          </w:rPr>
          <m:t>α</m:t>
        </m:r>
      </m:oMath>
      <w:r>
        <w:t xml:space="preserve"> is the polarization angle of the excitation beam, </w:t>
      </w:r>
      <m:oMath>
        <m:r>
          <w:rPr>
            <w:rFonts w:ascii="Cambria Math" w:hAnsi="Cambria Math"/>
          </w:rPr>
          <m:t>ϕ</m:t>
        </m:r>
      </m:oMath>
      <w:r>
        <w:t xml:space="preserve"> is the azimuthal angle of the force vector, and and </w:t>
      </w:r>
      <m:oMath>
        <m:r>
          <w:rPr>
            <w:rFonts w:ascii="Cambria Math" w:hAnsi="Cambria Math"/>
          </w:rPr>
          <m:t xml:space="preserve">A </m:t>
        </m:r>
      </m:oMath>
      <w:r>
        <w:t xml:space="preserve">and </w:t>
      </w:r>
      <m:oMath>
        <m:r>
          <w:rPr>
            <w:rFonts w:ascii="Cambria Math" w:hAnsi="Cambria Math"/>
          </w:rPr>
          <m:t>c</m:t>
        </m:r>
      </m:oMath>
      <w:r>
        <w:t xml:space="preserve"> are scaling constants that are related to the background intensity, number of open tension probes, and the tilt angle of the force (</w:t>
      </w:r>
      <m:oMath>
        <m:r>
          <w:rPr>
            <w:rFonts w:ascii="Cambria Math" w:hAnsi="Cambria Math"/>
          </w:rPr>
          <m:t>θ</m:t>
        </m:r>
      </m:oMath>
      <w:r>
        <w:t xml:space="preserve">). Because the three </w:t>
      </w:r>
      <m:oMath>
        <m:r>
          <w:rPr>
            <w:rFonts w:ascii="Cambria Math" w:hAnsi="Cambria Math"/>
          </w:rPr>
          <m:t>α</m:t>
        </m:r>
      </m:oMath>
      <w:r>
        <w:t xml:space="preserve"> angles are related to each other by rotations of </w:t>
      </w:r>
      <m:oMath>
        <m:r>
          <w:rPr>
            <w:rFonts w:ascii="Cambria Math" w:hAnsi="Cambria Math"/>
          </w:rPr>
          <m:t>60°</m:t>
        </m:r>
      </m:oMath>
      <w:r>
        <w:t>, we can re-write these equations simply as:</w:t>
      </w:r>
    </w:p>
    <w:p w14:paraId="5872ECF4" w14:textId="77777777" w:rsidR="00D57DE3" w:rsidRDefault="00D57DE3" w:rsidP="00304356">
      <w:pPr>
        <w:ind w:firstLine="0"/>
      </w:pPr>
    </w:p>
    <w:p w14:paraId="7CEE37EC" w14:textId="589A2D81" w:rsidR="00304356" w:rsidRPr="004043D8" w:rsidRDefault="00F6521F" w:rsidP="0030435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2a</m:t>
                  </m:r>
                </m:e>
              </m:d>
            </m:e>
          </m:eqArr>
        </m:oMath>
      </m:oMathPara>
    </w:p>
    <w:p w14:paraId="59E44BE6" w14:textId="361D9D1A" w:rsidR="00304356" w:rsidRPr="004043D8" w:rsidRDefault="00F6521F" w:rsidP="0030435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+60°-ϕ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2b</m:t>
                  </m:r>
                </m:e>
              </m:d>
            </m:e>
          </m:eqArr>
        </m:oMath>
      </m:oMathPara>
    </w:p>
    <w:p w14:paraId="26409770" w14:textId="4BF91F49" w:rsidR="00304356" w:rsidRPr="00D57DE3" w:rsidRDefault="00F6521F" w:rsidP="0030435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-60°-ϕ</m:t>
                      </m:r>
                    </m:e>
                  </m:d>
                  <m:ctrlPr>
                    <w:rPr>
                      <w:rFonts w:ascii="Cambria Math" w:hAnsi="Cambria Math"/>
                      <w:i/>
                    </w:rPr>
                  </m:ctrlPr>
                </m:e>
              </m:func>
              <m:r>
                <w:rPr>
                  <w:rFonts w:ascii="Cambria Math" w:hAnsi="Cambria Math"/>
                </w:rPr>
                <m:t>+c#</m:t>
              </m:r>
              <m:d>
                <m:dPr>
                  <m:ctrlPr>
                    <w:rPr>
                      <w:rFonts w:ascii="Cambria Math" w:hAnsi="Cambria Math"/>
                      <w:i/>
                    </w:rPr>
                  </m:ctrlPr>
                </m:dPr>
                <m:e>
                  <m:r>
                    <w:rPr>
                      <w:rFonts w:ascii="Cambria Math" w:hAnsi="Cambria Math"/>
                    </w:rPr>
                    <m:t>2c</m:t>
                  </m:r>
                </m:e>
              </m:d>
            </m:e>
          </m:eqArr>
        </m:oMath>
      </m:oMathPara>
    </w:p>
    <w:p w14:paraId="2F321AC6" w14:textId="77777777" w:rsidR="00D57DE3" w:rsidRPr="004043D8" w:rsidRDefault="00D57DE3" w:rsidP="00304356"/>
    <w:p w14:paraId="18D41892" w14:textId="3039DCF2" w:rsidR="00304356" w:rsidRDefault="00EB3F26" w:rsidP="00304356">
      <w:pPr>
        <w:ind w:firstLine="0"/>
      </w:pPr>
      <w:r>
        <w:t xml:space="preserve">Applying the </w:t>
      </w:r>
      <w:r w:rsidR="00685AEE">
        <w:t>half-angle formula yields:</w:t>
      </w:r>
      <w:r>
        <w:t xml:space="preserve"> </w:t>
      </w:r>
    </w:p>
    <w:p w14:paraId="36DE008A" w14:textId="77777777" w:rsidR="00D57DE3" w:rsidRPr="00304356" w:rsidRDefault="00D57DE3" w:rsidP="00304356">
      <w:pPr>
        <w:ind w:firstLine="0"/>
      </w:pPr>
    </w:p>
    <w:p w14:paraId="63EF5B4B" w14:textId="70823796" w:rsidR="00EB3F26" w:rsidRPr="004043D8" w:rsidRDefault="00F6521F" w:rsidP="00EB3F2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r>
                    <w:rPr>
                      <w:rFonts w:ascii="Cambria Math" w:hAnsi="Cambria Math"/>
                    </w:rPr>
                    <m:t>1-</m:t>
                  </m:r>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-2ϕ</m:t>
                          </m:r>
                        </m:e>
                      </m:d>
                      <m:ctrlPr>
                        <w:rPr>
                          <w:rFonts w:ascii="Cambria Math" w:hAnsi="Cambria Math"/>
                          <w:i/>
                        </w:rPr>
                      </m:ctrlPr>
                    </m:e>
                  </m:func>
                </m:e>
              </m:d>
              <m:r>
                <w:rPr>
                  <w:rFonts w:ascii="Cambria Math" w:hAnsi="Cambria Math"/>
                </w:rPr>
                <m:t>+c#</m:t>
              </m:r>
              <m:d>
                <m:dPr>
                  <m:ctrlPr>
                    <w:rPr>
                      <w:rFonts w:ascii="Cambria Math" w:hAnsi="Cambria Math"/>
                      <w:i/>
                    </w:rPr>
                  </m:ctrlPr>
                </m:dPr>
                <m:e>
                  <m:r>
                    <w:rPr>
                      <w:rFonts w:ascii="Cambria Math" w:hAnsi="Cambria Math"/>
                    </w:rPr>
                    <m:t>3a</m:t>
                  </m:r>
                </m:e>
              </m:d>
            </m:e>
          </m:eqArr>
        </m:oMath>
      </m:oMathPara>
    </w:p>
    <w:p w14:paraId="708E3ACD" w14:textId="3ABD397B" w:rsidR="00EB3F26" w:rsidRPr="004043D8" w:rsidRDefault="00F6521F" w:rsidP="00EB3F2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r>
                    <w:rPr>
                      <w:rFonts w:ascii="Cambria Math" w:hAnsi="Cambria Math"/>
                    </w:rPr>
                    <m:t>1-</m:t>
                  </m:r>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2α</m:t>
                              </m:r>
                            </m:e>
                            <m:sub>
                              <m:r>
                                <w:rPr>
                                  <w:rFonts w:ascii="Cambria Math" w:hAnsi="Cambria Math"/>
                                </w:rPr>
                                <m:t>1</m:t>
                              </m:r>
                            </m:sub>
                          </m:sSub>
                          <m:r>
                            <w:rPr>
                              <w:rFonts w:ascii="Cambria Math" w:hAnsi="Cambria Math"/>
                            </w:rPr>
                            <m:t>+120°-2ϕ</m:t>
                          </m:r>
                        </m:e>
                      </m:d>
                      <m:ctrlPr>
                        <w:rPr>
                          <w:rFonts w:ascii="Cambria Math" w:hAnsi="Cambria Math"/>
                          <w:i/>
                        </w:rPr>
                      </m:ctrlPr>
                    </m:e>
                  </m:func>
                </m:e>
              </m:d>
              <m:r>
                <w:rPr>
                  <w:rFonts w:ascii="Cambria Math" w:hAnsi="Cambria Math"/>
                </w:rPr>
                <m:t>+c#</m:t>
              </m:r>
              <m:d>
                <m:dPr>
                  <m:ctrlPr>
                    <w:rPr>
                      <w:rFonts w:ascii="Cambria Math" w:hAnsi="Cambria Math"/>
                      <w:i/>
                    </w:rPr>
                  </m:ctrlPr>
                </m:dPr>
                <m:e>
                  <m:r>
                    <w:rPr>
                      <w:rFonts w:ascii="Cambria Math" w:hAnsi="Cambria Math"/>
                    </w:rPr>
                    <m:t>3b</m:t>
                  </m:r>
                </m:e>
              </m:d>
            </m:e>
          </m:eqArr>
        </m:oMath>
      </m:oMathPara>
    </w:p>
    <w:p w14:paraId="1B72B7DF" w14:textId="7DC772B0" w:rsidR="00EB3F26" w:rsidRPr="00D57DE3" w:rsidRDefault="00F6521F" w:rsidP="00EB3F26">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1-cos</m:t>
                      </m:r>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2α</m:t>
                              </m:r>
                            </m:e>
                            <m:sub>
                              <m:r>
                                <w:rPr>
                                  <w:rFonts w:ascii="Cambria Math" w:hAnsi="Cambria Math"/>
                                </w:rPr>
                                <m:t>1</m:t>
                              </m:r>
                            </m:sub>
                          </m:sSub>
                          <m:r>
                            <w:rPr>
                              <w:rFonts w:ascii="Cambria Math" w:hAnsi="Cambria Math"/>
                            </w:rPr>
                            <m:t>-120°-2ϕ</m:t>
                          </m:r>
                        </m:e>
                      </m:d>
                      <m:ctrlPr>
                        <w:rPr>
                          <w:rFonts w:ascii="Cambria Math" w:hAnsi="Cambria Math"/>
                          <w:i/>
                        </w:rPr>
                      </m:ctrlPr>
                    </m:e>
                  </m:func>
                </m:e>
              </m:d>
              <m:r>
                <w:rPr>
                  <w:rFonts w:ascii="Cambria Math" w:hAnsi="Cambria Math"/>
                </w:rPr>
                <m:t>+c#</m:t>
              </m:r>
              <m:d>
                <m:dPr>
                  <m:ctrlPr>
                    <w:rPr>
                      <w:rFonts w:ascii="Cambria Math" w:hAnsi="Cambria Math"/>
                      <w:i/>
                    </w:rPr>
                  </m:ctrlPr>
                </m:dPr>
                <m:e>
                  <m:r>
                    <w:rPr>
                      <w:rFonts w:ascii="Cambria Math" w:hAnsi="Cambria Math"/>
                    </w:rPr>
                    <m:t>3c</m:t>
                  </m:r>
                </m:e>
              </m:d>
            </m:e>
          </m:eqArr>
          <m:r>
            <w:rPr>
              <w:rFonts w:ascii="Cambria Math" w:hAnsi="Cambria Math"/>
            </w:rPr>
            <m:t>,</m:t>
          </m:r>
        </m:oMath>
      </m:oMathPara>
    </w:p>
    <w:p w14:paraId="6787D1DB" w14:textId="77777777" w:rsidR="00D57DE3" w:rsidRPr="004043D8" w:rsidRDefault="00D57DE3" w:rsidP="00EB3F26"/>
    <w:p w14:paraId="37B65CE5" w14:textId="608AAB94" w:rsidR="004043D8" w:rsidRDefault="00685AEE" w:rsidP="004043D8">
      <w:pPr>
        <w:ind w:firstLine="0"/>
      </w:pPr>
      <w:r>
        <w:t>and rearranging yields:</w:t>
      </w:r>
    </w:p>
    <w:p w14:paraId="42E5319F" w14:textId="77777777" w:rsidR="00D57DE3" w:rsidRDefault="00D57DE3" w:rsidP="004043D8">
      <w:pPr>
        <w:ind w:firstLine="0"/>
      </w:pPr>
    </w:p>
    <w:p w14:paraId="7552F5D2" w14:textId="33A9C957" w:rsidR="00685AEE" w:rsidRPr="004043D8" w:rsidRDefault="00F6521F" w:rsidP="00685AEE">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-2ϕ</m:t>
                      </m:r>
                    </m:e>
                  </m:d>
                  <m:ctrlPr>
                    <w:rPr>
                      <w:rFonts w:ascii="Cambria Math" w:hAnsi="Cambria Math"/>
                      <w:i/>
                    </w:rPr>
                  </m:ctrlPr>
                </m:e>
              </m:func>
              <m:r>
                <w:rPr>
                  <w:rFonts w:ascii="Cambria Math" w:hAnsi="Cambria Math"/>
                </w:rPr>
                <m:t>#</m:t>
              </m:r>
              <m:d>
                <m:dPr>
                  <m:ctrlPr>
                    <w:rPr>
                      <w:rFonts w:ascii="Cambria Math" w:hAnsi="Cambria Math"/>
                      <w:i/>
                    </w:rPr>
                  </m:ctrlPr>
                </m:dPr>
                <m:e>
                  <m:r>
                    <w:rPr>
                      <w:rFonts w:ascii="Cambria Math" w:hAnsi="Cambria Math"/>
                    </w:rPr>
                    <m:t>4a</m:t>
                  </m:r>
                </m:e>
              </m:d>
            </m:e>
          </m:eqArr>
        </m:oMath>
      </m:oMathPara>
    </w:p>
    <w:p w14:paraId="0AAD81E3" w14:textId="27E05DA5" w:rsidR="00685AEE" w:rsidRPr="004043D8" w:rsidRDefault="00F6521F" w:rsidP="00685AEE">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+120°-2ϕ</m:t>
                      </m:r>
                    </m:e>
                  </m:d>
                  <m:ctrlPr>
                    <w:rPr>
                      <w:rFonts w:ascii="Cambria Math" w:hAnsi="Cambria Math"/>
                      <w:i/>
                    </w:rPr>
                  </m:ctrlPr>
                </m:e>
              </m:func>
              <m:r>
                <w:rPr>
                  <w:rFonts w:ascii="Cambria Math" w:hAnsi="Cambria Math"/>
                </w:rPr>
                <m:t>#</m:t>
              </m:r>
              <m:d>
                <m:dPr>
                  <m:ctrlPr>
                    <w:rPr>
                      <w:rFonts w:ascii="Cambria Math" w:hAnsi="Cambria Math"/>
                      <w:i/>
                    </w:rPr>
                  </m:ctrlPr>
                </m:dPr>
                <m:e>
                  <m:r>
                    <w:rPr>
                      <w:rFonts w:ascii="Cambria Math" w:hAnsi="Cambria Math"/>
                    </w:rPr>
                    <m:t>4b</m:t>
                  </m:r>
                </m:e>
              </m:d>
            </m:e>
          </m:eqArr>
        </m:oMath>
      </m:oMathPara>
    </w:p>
    <w:p w14:paraId="3D5C9A09" w14:textId="60810CD4" w:rsidR="00685AEE" w:rsidRPr="004043D8" w:rsidRDefault="00F6521F" w:rsidP="00685AEE">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-120°-2ϕ</m:t>
                      </m:r>
                    </m:e>
                  </m:d>
                  <m:ctrlPr>
                    <w:rPr>
                      <w:rFonts w:ascii="Cambria Math" w:hAnsi="Cambria Math"/>
                      <w:i/>
                    </w:rPr>
                  </m:ctrlPr>
                </m:e>
              </m:func>
              <m:r>
                <w:rPr>
                  <w:rFonts w:ascii="Cambria Math" w:hAnsi="Cambria Math"/>
                </w:rPr>
                <m:t>#</m:t>
              </m:r>
              <m:d>
                <m:dPr>
                  <m:ctrlPr>
                    <w:rPr>
                      <w:rFonts w:ascii="Cambria Math" w:hAnsi="Cambria Math"/>
                      <w:i/>
                    </w:rPr>
                  </m:ctrlPr>
                </m:dPr>
                <m:e>
                  <m:r>
                    <w:rPr>
                      <w:rFonts w:ascii="Cambria Math" w:hAnsi="Cambria Math"/>
                    </w:rPr>
                    <m:t>4c</m:t>
                  </m:r>
                </m:e>
              </m:d>
            </m:e>
          </m:eqArr>
          <m:r>
            <w:rPr>
              <w:rFonts w:ascii="Cambria Math" w:hAnsi="Cambria Math"/>
            </w:rPr>
            <m:t>,</m:t>
          </m:r>
        </m:oMath>
      </m:oMathPara>
    </w:p>
    <w:p w14:paraId="2D632C13" w14:textId="509E9BB5" w:rsidR="00685AEE" w:rsidRDefault="00685AEE" w:rsidP="004043D8">
      <w:pPr>
        <w:ind w:firstLine="0"/>
      </w:pPr>
    </w:p>
    <w:p w14:paraId="6FC8618B" w14:textId="6DAD66F8" w:rsidR="00685AEE" w:rsidRDefault="00685AEE" w:rsidP="004043D8">
      <w:pPr>
        <w:ind w:firstLine="0"/>
      </w:pPr>
      <w:r>
        <w:t>where</w:t>
      </w:r>
    </w:p>
    <w:p w14:paraId="30541980" w14:textId="77777777" w:rsidR="00D57DE3" w:rsidRDefault="00D57DE3" w:rsidP="004043D8">
      <w:pPr>
        <w:ind w:firstLine="0"/>
      </w:pPr>
    </w:p>
    <w:p w14:paraId="36CB0C67" w14:textId="06C27844" w:rsidR="00EB3F26" w:rsidRPr="00F27B00" w:rsidRDefault="00F6521F" w:rsidP="004043D8">
      <w:pPr>
        <w:ind w:firstLine="0"/>
      </w:pPr>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3</m:t>
                      </m:r>
                    </m:sub>
                  </m:sSub>
                </m:num>
                <m:den>
                  <m:r>
                    <w:rPr>
                      <w:rFonts w:ascii="Cambria Math" w:hAnsi="Cambria Math"/>
                    </w:rPr>
                    <m:t>3</m:t>
                  </m:r>
                </m:den>
              </m:f>
              <m:r>
                <w:rPr>
                  <w:rFonts w:ascii="Cambria Math" w:hAnsi="Cambria Math"/>
                </w:rPr>
                <m:t>#</m:t>
              </m:r>
              <m:d>
                <m:dPr>
                  <m:ctrlPr>
                    <w:rPr>
                      <w:rFonts w:ascii="Cambria Math" w:hAnsi="Cambria Math"/>
                      <w:i/>
                    </w:rPr>
                  </m:ctrlPr>
                </m:dPr>
                <m:e>
                  <m:r>
                    <w:rPr>
                      <w:rFonts w:ascii="Cambria Math" w:hAnsi="Cambria Math"/>
                    </w:rPr>
                    <m:t>5</m:t>
                  </m:r>
                </m:e>
              </m:d>
            </m:e>
          </m:eqArr>
        </m:oMath>
      </m:oMathPara>
    </w:p>
    <w:p w14:paraId="1117BEF9" w14:textId="2AC9457A" w:rsidR="00820B91" w:rsidRPr="004043D8" w:rsidRDefault="00820B91" w:rsidP="00820B91">
      <w:pPr>
        <w:ind w:firstLine="0"/>
      </w:pPr>
    </w:p>
    <w:p w14:paraId="2C6D96B4" w14:textId="05BA58B8" w:rsidR="00685AEE" w:rsidRDefault="00F27B00" w:rsidP="004043D8">
      <w:pPr>
        <w:ind w:firstLine="0"/>
      </w:pPr>
      <w:r>
        <w:t xml:space="preserve">Applying the identity </w:t>
      </w:r>
      <m:oMath>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a+b</m:t>
                </m:r>
              </m:e>
            </m:d>
          </m:e>
        </m:func>
        <m:r>
          <w:rPr>
            <w:rFonts w:ascii="Cambria Math" w:hAnsi="Cambria Math"/>
          </w:rPr>
          <m:t>=</m:t>
        </m:r>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a</m:t>
                </m:r>
              </m:e>
            </m:d>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b</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a</m:t>
                </m:r>
              </m:e>
            </m:d>
          </m:e>
        </m:func>
        <m:r>
          <m:rPr>
            <m:sty m:val="p"/>
          </m:rPr>
          <w:rPr>
            <w:rFonts w:ascii="Cambria Math" w:hAnsi="Cambria Math"/>
          </w:rPr>
          <m:t>sin⁡</m:t>
        </m:r>
        <m:r>
          <w:rPr>
            <w:rFonts w:ascii="Cambria Math" w:hAnsi="Cambria Math"/>
          </w:rPr>
          <m:t>(b)</m:t>
        </m:r>
      </m:oMath>
      <w:r>
        <w:t xml:space="preserve"> yields:</w:t>
      </w:r>
    </w:p>
    <w:p w14:paraId="58EA425D" w14:textId="77777777" w:rsidR="00F27B00" w:rsidRPr="00685AEE" w:rsidRDefault="00F27B00" w:rsidP="004043D8">
      <w:pPr>
        <w:ind w:firstLine="0"/>
      </w:pPr>
    </w:p>
    <w:p w14:paraId="6BAE167C" w14:textId="565591C9" w:rsidR="00F27B00" w:rsidRPr="004043D8" w:rsidRDefault="00F6521F" w:rsidP="00F27B00">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e>
                      </m:d>
                      <m:ctrlPr>
                        <w:rPr>
                          <w:rFonts w:ascii="Cambria Math" w:hAnsi="Cambria Math"/>
                          <w:i/>
                        </w:rPr>
                      </m:ctrlPr>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e>
              </m:d>
              <m:r>
                <w:rPr>
                  <w:rFonts w:ascii="Cambria Math" w:hAnsi="Cambria Math"/>
                </w:rPr>
                <m:t>#</m:t>
              </m:r>
              <m:d>
                <m:dPr>
                  <m:ctrlPr>
                    <w:rPr>
                      <w:rFonts w:ascii="Cambria Math" w:hAnsi="Cambria Math"/>
                      <w:i/>
                    </w:rPr>
                  </m:ctrlPr>
                </m:dPr>
                <m:e>
                  <m:r>
                    <w:rPr>
                      <w:rFonts w:ascii="Cambria Math" w:hAnsi="Cambria Math"/>
                    </w:rPr>
                    <m:t>6a</m:t>
                  </m:r>
                </m:e>
              </m:d>
            </m:e>
          </m:eqArr>
        </m:oMath>
      </m:oMathPara>
    </w:p>
    <w:p w14:paraId="10A17A3A" w14:textId="7FDB4ED2" w:rsidR="00F27B00" w:rsidRPr="004043D8" w:rsidRDefault="00F6521F" w:rsidP="00F27B00">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e>
              </m:d>
              <m:r>
                <w:rPr>
                  <w:rFonts w:ascii="Cambria Math" w:hAnsi="Cambria Math"/>
                </w:rPr>
                <m:t>#</m:t>
              </m:r>
              <m:d>
                <m:dPr>
                  <m:ctrlPr>
                    <w:rPr>
                      <w:rFonts w:ascii="Cambria Math" w:hAnsi="Cambria Math"/>
                      <w:i/>
                    </w:rPr>
                  </m:ctrlPr>
                </m:dPr>
                <m:e>
                  <m:r>
                    <w:rPr>
                      <w:rFonts w:ascii="Cambria Math" w:hAnsi="Cambria Math"/>
                    </w:rPr>
                    <m:t>6b</m:t>
                  </m:r>
                </m:e>
              </m:d>
            </m:e>
          </m:eqArr>
        </m:oMath>
      </m:oMathPara>
    </w:p>
    <w:p w14:paraId="1DDABB32" w14:textId="4DCFD9AE" w:rsidR="00F27B00" w:rsidRPr="00D57DE3" w:rsidRDefault="00F6521F" w:rsidP="00F27B00">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m:t>
              </m:r>
              <m:acc>
                <m:accPr>
                  <m:chr m:val="̅"/>
                  <m:ctrlPr>
                    <w:rPr>
                      <w:rFonts w:ascii="Cambria Math" w:hAnsi="Cambria Math"/>
                      <w:i/>
                    </w:rPr>
                  </m:ctrlPr>
                </m:accPr>
                <m:e>
                  <m:r>
                    <w:rPr>
                      <w:rFonts w:ascii="Cambria Math" w:hAnsi="Cambria Math"/>
                    </w:rPr>
                    <m:t>I</m:t>
                  </m:r>
                </m:e>
              </m:ac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e>
              </m:d>
              <m:r>
                <w:rPr>
                  <w:rFonts w:ascii="Cambria Math" w:hAnsi="Cambria Math"/>
                </w:rPr>
                <m:t>#</m:t>
              </m:r>
              <m:d>
                <m:dPr>
                  <m:ctrlPr>
                    <w:rPr>
                      <w:rFonts w:ascii="Cambria Math" w:hAnsi="Cambria Math"/>
                      <w:i/>
                    </w:rPr>
                  </m:ctrlPr>
                </m:dPr>
                <m:e>
                  <m:r>
                    <w:rPr>
                      <w:rFonts w:ascii="Cambria Math" w:hAnsi="Cambria Math"/>
                    </w:rPr>
                    <m:t>6c</m:t>
                  </m:r>
                </m:e>
              </m:d>
            </m:e>
          </m:eqArr>
          <m:r>
            <w:rPr>
              <w:rFonts w:ascii="Cambria Math" w:hAnsi="Cambria Math"/>
            </w:rPr>
            <m:t>.</m:t>
          </m:r>
        </m:oMath>
      </m:oMathPara>
    </w:p>
    <w:p w14:paraId="39DEB6F6" w14:textId="77777777" w:rsidR="00D57DE3" w:rsidRPr="004043D8" w:rsidRDefault="00D57DE3" w:rsidP="00F27B00"/>
    <w:p w14:paraId="6B130E3E" w14:textId="44F77E51" w:rsidR="00820B91" w:rsidRDefault="00820B91">
      <w:pPr>
        <w:ind w:firstLine="0"/>
      </w:pPr>
      <w:r>
        <w:lastRenderedPageBreak/>
        <w:t xml:space="preserve">If we rotate our coordinate system such that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=0°</m:t>
        </m:r>
      </m:oMath>
      <w:r>
        <w:t xml:space="preserve"> and re-arrange, we obtain:</w:t>
      </w:r>
    </w:p>
    <w:p w14:paraId="7337F0D3" w14:textId="77777777" w:rsidR="00820B91" w:rsidRPr="00685AEE" w:rsidRDefault="00820B91" w:rsidP="00820B91">
      <w:pPr>
        <w:ind w:firstLine="0"/>
      </w:pPr>
    </w:p>
    <w:p w14:paraId="441EC603" w14:textId="2A44050C" w:rsidR="00820B91" w:rsidRPr="004043D8" w:rsidRDefault="00F6521F" w:rsidP="00820B91">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d>
                <m:dPr>
                  <m:ctrlPr>
                    <w:rPr>
                      <w:rFonts w:ascii="Cambria Math" w:hAnsi="Cambria Math"/>
                      <w:i/>
                    </w:rPr>
                  </m:ctrlPr>
                </m:dPr>
                <m:e>
                  <m:r>
                    <w:rPr>
                      <w:rFonts w:ascii="Cambria Math" w:hAnsi="Cambria Math"/>
                    </w:rPr>
                    <m:t>7a</m:t>
                  </m:r>
                </m:e>
              </m:d>
            </m:e>
          </m:eqArr>
        </m:oMath>
      </m:oMathPara>
    </w:p>
    <w:p w14:paraId="6B9F4890" w14:textId="040E3525" w:rsidR="00820B91" w:rsidRPr="004043D8" w:rsidRDefault="00F6521F" w:rsidP="00820B91">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e>
              </m:d>
              <m:r>
                <w:rPr>
                  <w:rFonts w:ascii="Cambria Math" w:hAnsi="Cambria Math"/>
                </w:rPr>
                <m:t>#</m:t>
              </m:r>
              <m:d>
                <m:dPr>
                  <m:ctrlPr>
                    <w:rPr>
                      <w:rFonts w:ascii="Cambria Math" w:hAnsi="Cambria Math"/>
                      <w:i/>
                    </w:rPr>
                  </m:ctrlPr>
                </m:dPr>
                <m:e>
                  <m:r>
                    <w:rPr>
                      <w:rFonts w:ascii="Cambria Math" w:hAnsi="Cambria Math"/>
                    </w:rPr>
                    <m:t>7b</m:t>
                  </m:r>
                </m:e>
              </m:d>
            </m:e>
          </m:eqArr>
        </m:oMath>
      </m:oMathPara>
    </w:p>
    <w:p w14:paraId="58AFB698" w14:textId="0BC95D51" w:rsidR="00820B91" w:rsidRPr="00D57DE3" w:rsidRDefault="00F6521F" w:rsidP="00820B91">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d>
                <m:dPr>
                  <m:ctrlPr>
                    <w:rPr>
                      <w:rFonts w:ascii="Cambria Math" w:hAnsi="Cambria Math"/>
                      <w:i/>
                    </w:rPr>
                  </m:ctrlPr>
                </m:dPr>
                <m:e>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2ϕ</m:t>
                          </m:r>
                        </m:e>
                      </m:d>
                    </m:e>
                  </m:func>
                  <m:r>
                    <w:rPr>
                      <w:rFonts w:ascii="Cambria Math" w:hAnsi="Cambria Math"/>
                    </w:rPr>
                    <m:t>+</m:t>
                  </m:r>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e>
              </m:d>
              <m:r>
                <w:rPr>
                  <w:rFonts w:ascii="Cambria Math" w:hAnsi="Cambria Math"/>
                </w:rPr>
                <m:t>#</m:t>
              </m:r>
              <m:d>
                <m:dPr>
                  <m:ctrlPr>
                    <w:rPr>
                      <w:rFonts w:ascii="Cambria Math" w:hAnsi="Cambria Math"/>
                      <w:i/>
                    </w:rPr>
                  </m:ctrlPr>
                </m:dPr>
                <m:e>
                  <m:r>
                    <w:rPr>
                      <w:rFonts w:ascii="Cambria Math" w:hAnsi="Cambria Math"/>
                    </w:rPr>
                    <m:t>7c</m:t>
                  </m:r>
                </m:e>
              </m:d>
            </m:e>
          </m:eqArr>
          <m:r>
            <w:rPr>
              <w:rFonts w:ascii="Cambria Math" w:hAnsi="Cambria Math"/>
            </w:rPr>
            <m:t>.</m:t>
          </m:r>
        </m:oMath>
      </m:oMathPara>
    </w:p>
    <w:p w14:paraId="470DAA64" w14:textId="77777777" w:rsidR="00D57DE3" w:rsidRPr="004043D8" w:rsidRDefault="00D57DE3" w:rsidP="00820B91"/>
    <w:p w14:paraId="0BAE4BE0" w14:textId="724EA07B" w:rsidR="00820B91" w:rsidRDefault="00820B91">
      <w:pPr>
        <w:ind w:firstLine="0"/>
      </w:pPr>
      <w:r>
        <w:t xml:space="preserve">Merging equations </w:t>
      </w:r>
      <m:oMath>
        <m:r>
          <w:rPr>
            <w:rFonts w:ascii="Cambria Math" w:hAnsi="Cambria Math"/>
          </w:rPr>
          <m:t>(7a)</m:t>
        </m:r>
      </m:oMath>
      <w:r>
        <w:t xml:space="preserve"> and </w:t>
      </w:r>
      <m:oMath>
        <m:r>
          <w:rPr>
            <w:rFonts w:ascii="Cambria Math" w:hAnsi="Cambria Math"/>
          </w:rPr>
          <m:t>(7b)</m:t>
        </m:r>
      </m:oMath>
      <w:r>
        <w:t xml:space="preserve"> yields:</w:t>
      </w:r>
    </w:p>
    <w:p w14:paraId="4D6F8CF0" w14:textId="77777777" w:rsidR="00D57DE3" w:rsidRDefault="00D57DE3">
      <w:pPr>
        <w:ind w:firstLine="0"/>
      </w:pPr>
    </w:p>
    <w:p w14:paraId="62230EE5" w14:textId="59318A59" w:rsidR="00820B91" w:rsidRPr="005B3767" w:rsidRDefault="00F6521F">
      <w:pPr>
        <w:ind w:firstLine="0"/>
      </w:pPr>
      <m:oMathPara>
        <m:oMath>
          <m:eqArr>
            <m:eqArrPr>
              <m:maxDist m:val="1"/>
              <m:ctrlPr>
                <w:rPr>
                  <w:rFonts w:ascii="Cambria Math" w:hAnsi="Cambria Math"/>
                  <w:i/>
                </w:rPr>
              </m:ctrlPr>
            </m:eqArr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ctrlPr>
                    <w:rPr>
                      <w:rFonts w:ascii="Cambria Math" w:hAnsi="Cambria Math"/>
                      <w:iCs/>
                    </w:rPr>
                  </m:ctrlPr>
                </m:e>
              </m:d>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r>
                <w:rPr>
                  <w:rFonts w:ascii="Cambria Math" w:hAnsi="Cambria Math"/>
                </w:rPr>
                <m:t>#</m:t>
              </m:r>
              <m:d>
                <m:dPr>
                  <m:ctrlPr>
                    <w:rPr>
                      <w:rFonts w:ascii="Cambria Math" w:hAnsi="Cambria Math"/>
                      <w:i/>
                    </w:rPr>
                  </m:ctrlPr>
                </m:dPr>
                <m:e>
                  <m:r>
                    <w:rPr>
                      <w:rFonts w:ascii="Cambria Math" w:hAnsi="Cambria Math"/>
                    </w:rPr>
                    <m:t>8</m:t>
                  </m:r>
                </m:e>
              </m:d>
            </m:e>
          </m:eqArr>
        </m:oMath>
      </m:oMathPara>
    </w:p>
    <w:p w14:paraId="562272D1" w14:textId="77777777" w:rsidR="00D57DE3" w:rsidRDefault="00D57DE3">
      <w:pPr>
        <w:ind w:firstLine="0"/>
      </w:pPr>
    </w:p>
    <w:p w14:paraId="415CB451" w14:textId="029BA2A8" w:rsidR="00820B91" w:rsidRDefault="00820B91">
      <w:pPr>
        <w:ind w:firstLine="0"/>
      </w:pPr>
      <w:r>
        <w:t>Re-arranging, we obtain</w:t>
      </w:r>
    </w:p>
    <w:p w14:paraId="27BBBBA2" w14:textId="77777777" w:rsidR="00D57DE3" w:rsidRDefault="00D57DE3">
      <w:pPr>
        <w:ind w:firstLine="0"/>
      </w:pPr>
    </w:p>
    <w:p w14:paraId="2A01A941" w14:textId="6819FCF5" w:rsidR="005B3767" w:rsidRPr="00D57DE3" w:rsidRDefault="00F6521F" w:rsidP="00820B91">
      <w:pPr>
        <w:ind w:firstLine="0"/>
      </w:pPr>
      <m:oMathPara>
        <m:oMath>
          <m:eqArr>
            <m:eqArrPr>
              <m:maxDist m:val="1"/>
              <m:ctrlPr>
                <w:rPr>
                  <w:rFonts w:ascii="Cambria Math" w:hAnsi="Cambria Math"/>
                  <w:i/>
                </w:rPr>
              </m:ctrlPr>
            </m:eqArrPr>
            <m:e>
              <m:f>
                <m:fPr>
                  <m:ctrlPr>
                    <w:rPr>
                      <w:rFonts w:ascii="Cambria Math" w:hAnsi="Cambria Math"/>
                      <w:i/>
                    </w:rPr>
                  </m:ctrlPr>
                </m:fPr>
                <m:num>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ctrlPr>
                        <w:rPr>
                          <w:rFonts w:ascii="Cambria Math" w:hAnsi="Cambria Math"/>
                          <w:iCs/>
                        </w:rPr>
                      </m:ctrlPr>
                    </m:e>
                  </m:d>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num>
                <m:den>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den>
              </m:f>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2</m:t>
                  </m:r>
                </m:den>
              </m:f>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2ϕ</m:t>
                      </m:r>
                    </m:e>
                  </m:d>
                </m:e>
              </m:func>
              <m:r>
                <w:rPr>
                  <w:rFonts w:ascii="Cambria Math" w:hAnsi="Cambria Math"/>
                </w:rPr>
                <m:t>#</m:t>
              </m:r>
              <m:d>
                <m:dPr>
                  <m:ctrlPr>
                    <w:rPr>
                      <w:rFonts w:ascii="Cambria Math" w:hAnsi="Cambria Math"/>
                      <w:i/>
                    </w:rPr>
                  </m:ctrlPr>
                </m:dPr>
                <m:e>
                  <m:r>
                    <w:rPr>
                      <w:rFonts w:ascii="Cambria Math" w:hAnsi="Cambria Math"/>
                    </w:rPr>
                    <m:t>9</m:t>
                  </m:r>
                </m:e>
              </m:d>
              <m:r>
                <w:rPr>
                  <w:rFonts w:ascii="Cambria Math" w:hAnsi="Cambria Math"/>
                </w:rPr>
                <m:t>.</m:t>
              </m:r>
            </m:e>
          </m:eqArr>
        </m:oMath>
      </m:oMathPara>
    </w:p>
    <w:p w14:paraId="480A424F" w14:textId="77777777" w:rsidR="00D57DE3" w:rsidRPr="005B3767" w:rsidRDefault="00D57DE3" w:rsidP="00820B91">
      <w:pPr>
        <w:ind w:firstLine="0"/>
      </w:pPr>
    </w:p>
    <w:p w14:paraId="6A3CD09F" w14:textId="4C9E9B7A" w:rsidR="00820B91" w:rsidRDefault="005B3767">
      <w:pPr>
        <w:ind w:firstLine="0"/>
      </w:pPr>
      <w:r>
        <w:t>Dividing equation (9</w:t>
      </w:r>
      <m:oMath>
        <m:r>
          <w:rPr>
            <w:rFonts w:ascii="Cambria Math" w:hAnsi="Cambria Math"/>
          </w:rPr>
          <m:t>)</m:t>
        </m:r>
      </m:oMath>
      <w:r>
        <w:t xml:space="preserve"> by equation </w:t>
      </w:r>
      <m:oMath>
        <m:r>
          <w:rPr>
            <w:rFonts w:ascii="Cambria Math" w:hAnsi="Cambria Math"/>
          </w:rPr>
          <m:t>(7a)</m:t>
        </m:r>
      </m:oMath>
      <w:r>
        <w:t xml:space="preserve"> rearranging yields</w:t>
      </w:r>
    </w:p>
    <w:p w14:paraId="7BBF7BCC" w14:textId="77777777" w:rsidR="00D57DE3" w:rsidRDefault="00D57DE3">
      <w:pPr>
        <w:ind w:firstLine="0"/>
      </w:pPr>
    </w:p>
    <w:p w14:paraId="401AD514" w14:textId="7BFD3133" w:rsidR="005B3767" w:rsidRPr="00D57DE3" w:rsidRDefault="00F6521F">
      <w:pPr>
        <w:ind w:firstLine="0"/>
      </w:pPr>
      <m:oMathPara>
        <m:oMath>
          <m:eqArr>
            <m:eqArrPr>
              <m:maxDist m:val="1"/>
              <m:ctrlPr>
                <w:rPr>
                  <w:rFonts w:ascii="Cambria Math" w:hAnsi="Cambria Math"/>
                  <w:i/>
                </w:rPr>
              </m:ctrlPr>
            </m:eqArrPr>
            <m:e>
              <m:func>
                <m:funcPr>
                  <m:ctrlPr>
                    <w:rPr>
                      <w:rFonts w:ascii="Cambria Math" w:hAnsi="Cambria Math"/>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2ϕ</m:t>
                      </m:r>
                    </m:e>
                  </m:d>
                </m:e>
              </m:func>
              <m:r>
                <w:rPr>
                  <w:rFonts w:ascii="Cambria Math" w:hAnsi="Cambria Math"/>
                </w:rPr>
                <m:t>=</m:t>
              </m:r>
              <m:f>
                <m:fPr>
                  <m:ctrlPr>
                    <w:rPr>
                      <w:rFonts w:ascii="Cambria Math" w:hAnsi="Cambria Math"/>
                      <w:i/>
                    </w:rPr>
                  </m:ctrlPr>
                </m:fPr>
                <m:num>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ctrlPr>
                        <w:rPr>
                          <w:rFonts w:ascii="Cambria Math" w:hAnsi="Cambria Math"/>
                          <w:iCs/>
                        </w:rPr>
                      </m:ctrlPr>
                    </m:e>
                  </m:d>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num>
                <m:den>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e>
                  </m:d>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den>
              </m:f>
              <m:r>
                <w:rPr>
                  <w:rFonts w:ascii="Cambria Math" w:hAnsi="Cambria Math"/>
                </w:rPr>
                <m:t>#</m:t>
              </m:r>
              <m:d>
                <m:dPr>
                  <m:ctrlPr>
                    <w:rPr>
                      <w:rFonts w:ascii="Cambria Math" w:hAnsi="Cambria Math"/>
                      <w:i/>
                    </w:rPr>
                  </m:ctrlPr>
                </m:dPr>
                <m:e>
                  <m:r>
                    <w:rPr>
                      <w:rFonts w:ascii="Cambria Math" w:hAnsi="Cambria Math"/>
                    </w:rPr>
                    <m:t>10</m:t>
                  </m:r>
                </m:e>
              </m:d>
            </m:e>
          </m:eqArr>
        </m:oMath>
      </m:oMathPara>
    </w:p>
    <w:p w14:paraId="3B55678A" w14:textId="77777777" w:rsidR="00D57DE3" w:rsidRPr="005B3767" w:rsidRDefault="00D57DE3">
      <w:pPr>
        <w:ind w:firstLine="0"/>
      </w:pPr>
    </w:p>
    <w:p w14:paraId="7BCC9CDC" w14:textId="5671F645" w:rsidR="005B3767" w:rsidRDefault="005B3767">
      <w:pPr>
        <w:ind w:firstLine="0"/>
      </w:pPr>
      <w:r>
        <w:t xml:space="preserve">and finally, rearranging the equation and adjusting the coordinate system to allow for arbitrary </w:t>
      </w:r>
      <m:oMath>
        <m:sSub>
          <m:sSubPr>
            <m:ctrlPr>
              <w:rPr>
                <w:rFonts w:ascii="Cambria Math" w:hAnsi="Cambria Math"/>
                <w:i/>
              </w:rPr>
            </m:ctrlPr>
          </m:sSubPr>
          <m:e>
            <m:r>
              <w:rPr>
                <w:rFonts w:ascii="Cambria Math" w:hAnsi="Cambria Math"/>
              </w:rPr>
              <m:t>α</m:t>
            </m:r>
          </m:e>
          <m:sub>
            <m:r>
              <w:rPr>
                <w:rFonts w:ascii="Cambria Math" w:hAnsi="Cambria Math"/>
              </w:rPr>
              <m:t>1</m:t>
            </m:r>
          </m:sub>
        </m:sSub>
      </m:oMath>
      <w:r>
        <w:t xml:space="preserve"> yields:</w:t>
      </w:r>
    </w:p>
    <w:p w14:paraId="6D018670" w14:textId="77777777" w:rsidR="00D57DE3" w:rsidRDefault="00D57DE3">
      <w:pPr>
        <w:ind w:firstLine="0"/>
      </w:pPr>
    </w:p>
    <w:p w14:paraId="5447CFAE" w14:textId="4FDE674C" w:rsidR="005B3767" w:rsidRPr="005B3767" w:rsidRDefault="00F6521F" w:rsidP="005B3767">
      <w:pPr>
        <w:ind w:firstLine="0"/>
        <w:rPr>
          <w:iCs/>
        </w:rPr>
      </w:pPr>
      <m:oMathPara>
        <m:oMath>
          <m:eqArr>
            <m:eqArrPr>
              <m:maxDist m:val="1"/>
              <m:ctrlPr>
                <w:rPr>
                  <w:rFonts w:ascii="Cambria Math" w:hAnsi="Cambria Math"/>
                  <w:i/>
                </w:rPr>
              </m:ctrlPr>
            </m:eqArrPr>
            <m:e>
              <m:r>
                <w:rPr>
                  <w:rFonts w:ascii="Cambria Math" w:hAnsi="Cambria Math"/>
                </w:rPr>
                <m:t>ϕ=</m:t>
              </m:r>
              <m:f>
                <m:fPr>
                  <m:ctrlPr>
                    <w:rPr>
                      <w:rFonts w:ascii="Cambria Math" w:hAnsi="Cambria Math"/>
                      <w:i/>
                    </w:rPr>
                  </m:ctrlPr>
                </m:fPr>
                <m:num>
                  <m:r>
                    <w:rPr>
                      <w:rFonts w:ascii="Cambria Math" w:hAnsi="Cambria Math"/>
                    </w:rPr>
                    <m:t>1</m:t>
                  </m:r>
                </m:num>
                <m:den>
                  <m:r>
                    <w:rPr>
                      <w:rFonts w:ascii="Cambria Math" w:hAnsi="Cambria Math"/>
                    </w:rPr>
                    <m:t>2</m:t>
                  </m:r>
                </m:den>
              </m:f>
              <m:func>
                <m:funcPr>
                  <m:ctrlPr>
                    <w:rPr>
                      <w:rFonts w:ascii="Cambria Math" w:hAnsi="Cambria Math"/>
                      <w:i/>
                    </w:rPr>
                  </m:ctrlPr>
                </m:funcPr>
                <m:fName>
                  <m:sSup>
                    <m:sSupPr>
                      <m:ctrlPr>
                        <w:rPr>
                          <w:rFonts w:ascii="Cambria Math" w:hAnsi="Cambria Math"/>
                          <w:i/>
                        </w:rPr>
                      </m:ctrlPr>
                    </m:sSupPr>
                    <m:e>
                      <m:r>
                        <m:rPr>
                          <m:sty m:val="p"/>
                        </m:rPr>
                        <w:rPr>
                          <w:rFonts w:ascii="Cambria Math" w:hAnsi="Cambria Math"/>
                        </w:rPr>
                        <m:t>tan</m:t>
                      </m:r>
                      <m:ctrlPr>
                        <w:rPr>
                          <w:rFonts w:ascii="Cambria Math" w:hAnsi="Cambria Math"/>
                        </w:rPr>
                      </m:ctrlPr>
                    </m:e>
                    <m:sup>
                      <m:r>
                        <w:rPr>
                          <w:rFonts w:ascii="Cambria Math" w:hAnsi="Cambria Math"/>
                        </w:rPr>
                        <m:t>-1</m:t>
                      </m:r>
                      <m:ctrlPr>
                        <w:rPr>
                          <w:rFonts w:ascii="Cambria Math" w:hAnsi="Cambria Math"/>
                        </w:rPr>
                      </m:ctrlPr>
                    </m:sup>
                  </m:sSup>
                </m:fName>
                <m:e>
                  <m:d>
                    <m:dPr>
                      <m:ctrlPr>
                        <w:rPr>
                          <w:rFonts w:ascii="Cambria Math" w:hAnsi="Cambria Math"/>
                          <w:i/>
                        </w:rPr>
                      </m:ctrlPr>
                    </m:dPr>
                    <m:e>
                      <m:f>
                        <m:fPr>
                          <m:ctrlPr>
                            <w:rPr>
                              <w:rFonts w:ascii="Cambria Math" w:hAnsi="Cambria Math"/>
                              <w:i/>
                            </w:rPr>
                          </m:ctrlPr>
                        </m:fPr>
                        <m:num>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ctrlPr>
                                <w:rPr>
                                  <w:rFonts w:ascii="Cambria Math" w:hAnsi="Cambria Math"/>
                                  <w:iCs/>
                                </w:rPr>
                              </m:ctrlPr>
                            </m:e>
                          </m:d>
                          <m:func>
                            <m:funcPr>
                              <m:ctrlPr>
                                <w:rPr>
                                  <w:rFonts w:ascii="Cambria Math" w:hAnsi="Cambria Math"/>
                                </w:rPr>
                              </m:ctrlPr>
                            </m:funcPr>
                            <m:fName>
                              <m:r>
                                <m:rPr>
                                  <m:sty m:val="p"/>
                                </m:rPr>
                                <w:rPr>
                                  <w:rFonts w:ascii="Cambria Math" w:hAnsi="Cambria Math"/>
                                </w:rPr>
                                <m:t>cos</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num>
                        <m:den>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e>
                          </m:d>
                          <m:func>
                            <m:funcPr>
                              <m:ctrlPr>
                                <w:rPr>
                                  <w:rFonts w:ascii="Cambria Math" w:hAnsi="Cambria Math"/>
                                </w:rPr>
                              </m:ctrlPr>
                            </m:funcPr>
                            <m:fName>
                              <m:r>
                                <m:rPr>
                                  <m:sty m:val="p"/>
                                </m:rPr>
                                <w:rPr>
                                  <w:rFonts w:ascii="Cambria Math" w:hAnsi="Cambria Math"/>
                                </w:rPr>
                                <m:t>sin</m:t>
                              </m:r>
                              <m:ctrlPr>
                                <w:rPr>
                                  <w:rFonts w:ascii="Cambria Math" w:hAnsi="Cambria Math"/>
                                  <w:i/>
                                </w:rPr>
                              </m:ctrlPr>
                            </m:fName>
                            <m:e>
                              <m:d>
                                <m:dPr>
                                  <m:ctrlPr>
                                    <w:rPr>
                                      <w:rFonts w:ascii="Cambria Math" w:hAnsi="Cambria Math"/>
                                      <w:i/>
                                    </w:rPr>
                                  </m:ctrlPr>
                                </m:dPr>
                                <m:e>
                                  <m:r>
                                    <w:rPr>
                                      <w:rFonts w:ascii="Cambria Math" w:hAnsi="Cambria Math"/>
                                    </w:rPr>
                                    <m:t>120°</m:t>
                                  </m:r>
                                </m:e>
                              </m:d>
                              <m:ctrlPr>
                                <w:rPr>
                                  <w:rFonts w:ascii="Cambria Math" w:hAnsi="Cambria Math"/>
                                  <w:i/>
                                </w:rPr>
                              </m:ctrlPr>
                            </m:e>
                          </m:func>
                        </m:den>
                      </m:f>
                    </m:e>
                  </m:d>
                </m:e>
              </m:func>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11</m:t>
                  </m:r>
                </m:e>
              </m:d>
              <m:ctrlPr>
                <w:rPr>
                  <w:rFonts w:ascii="Cambria Math" w:hAnsi="Cambria Math"/>
                  <w:i/>
                  <w:iCs/>
                </w:rPr>
              </m:ctrlPr>
            </m:e>
          </m:eqArr>
          <m:r>
            <w:rPr>
              <w:rFonts w:ascii="Cambria Math" w:hAnsi="Cambria Math"/>
            </w:rPr>
            <m:t>.</m:t>
          </m:r>
        </m:oMath>
      </m:oMathPara>
    </w:p>
    <w:p w14:paraId="74AD6CE3" w14:textId="77777777" w:rsidR="005B3767" w:rsidRPr="005B3767" w:rsidRDefault="005B3767" w:rsidP="005B3767">
      <w:pPr>
        <w:ind w:firstLine="0"/>
      </w:pPr>
    </w:p>
    <w:p w14:paraId="480A756E" w14:textId="6E8F5A90" w:rsidR="005B3767" w:rsidRDefault="00713154">
      <w:pPr>
        <w:ind w:firstLine="0"/>
      </w:pPr>
      <w:r>
        <w:t xml:space="preserve">Now that </w:t>
      </w:r>
      <m:oMath>
        <m:r>
          <w:rPr>
            <w:rFonts w:ascii="Cambria Math" w:hAnsi="Cambria Math"/>
          </w:rPr>
          <m:t>ϕ</m:t>
        </m:r>
      </m:oMath>
      <w:r>
        <w:t xml:space="preserve"> is known, </w:t>
      </w:r>
      <m:oMath>
        <m:r>
          <w:rPr>
            <w:rFonts w:ascii="Cambria Math" w:hAnsi="Cambria Math"/>
          </w:rPr>
          <m:t>A</m:t>
        </m:r>
      </m:oMath>
      <w:r>
        <w:t xml:space="preserve"> can be solved for by re-arranging equation </w:t>
      </w:r>
      <m:oMath>
        <m:r>
          <w:rPr>
            <w:rFonts w:ascii="Cambria Math" w:hAnsi="Cambria Math"/>
          </w:rPr>
          <m:t>(4a)</m:t>
        </m:r>
      </m:oMath>
      <w:r>
        <w:t>:</w:t>
      </w:r>
    </w:p>
    <w:p w14:paraId="0C924B77" w14:textId="77777777" w:rsidR="00D57DE3" w:rsidRDefault="00D57DE3">
      <w:pPr>
        <w:ind w:firstLine="0"/>
      </w:pPr>
    </w:p>
    <w:p w14:paraId="4038597E" w14:textId="6365BF2A" w:rsidR="00713154" w:rsidRPr="00D57DE3" w:rsidRDefault="00F6521F">
      <w:pPr>
        <w:ind w:firstLine="0"/>
      </w:pPr>
      <m:oMathPara>
        <m:oMath>
          <m:eqArr>
            <m:eqArrPr>
              <m:maxDist m:val="1"/>
              <m:ctrlPr>
                <w:rPr>
                  <w:rFonts w:ascii="Cambria Math" w:hAnsi="Cambria Math"/>
                  <w:i/>
                </w:rPr>
              </m:ctrlPr>
            </m:eqArrPr>
            <m:e>
              <m:r>
                <w:rPr>
                  <w:rFonts w:ascii="Cambria Math" w:hAnsi="Cambria Math"/>
                </w:rPr>
                <m:t>A=</m:t>
              </m:r>
              <m:f>
                <m:fPr>
                  <m:ctrlPr>
                    <w:rPr>
                      <w:rFonts w:ascii="Cambria Math" w:hAnsi="Cambria Math"/>
                      <w:i/>
                    </w:rPr>
                  </m:ctrlPr>
                </m:fPr>
                <m:num>
                  <m:r>
                    <w:rPr>
                      <w:rFonts w:ascii="Cambria Math" w:hAnsi="Cambria Math"/>
                    </w:rPr>
                    <m:t>2</m:t>
                  </m:r>
                  <m:d>
                    <m:dPr>
                      <m:ctrlPr>
                        <w:rPr>
                          <w:rFonts w:ascii="Cambria Math" w:hAnsi="Cambria Math"/>
                          <w:i/>
                        </w:rPr>
                      </m:ctrlPr>
                    </m:dPr>
                    <m:e>
                      <m:acc>
                        <m:accPr>
                          <m:chr m:val="̅"/>
                          <m:ctrlPr>
                            <w:rPr>
                              <w:rFonts w:ascii="Cambria Math" w:hAnsi="Cambria Math"/>
                              <w:i/>
                            </w:rPr>
                          </m:ctrlPr>
                        </m:accPr>
                        <m:e>
                          <m:r>
                            <w:rPr>
                              <w:rFonts w:ascii="Cambria Math" w:hAnsi="Cambria Math"/>
                            </w:rPr>
                            <m:t>I</m:t>
                          </m:r>
                        </m:e>
                      </m:acc>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1</m:t>
                          </m:r>
                        </m:sub>
                      </m:sSub>
                    </m:e>
                  </m:d>
                </m:num>
                <m:den>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-2ϕ</m:t>
                          </m:r>
                        </m:e>
                      </m:d>
                    </m:e>
                  </m:func>
                </m:den>
              </m:f>
              <m:r>
                <w:rPr>
                  <w:rFonts w:ascii="Cambria Math" w:hAnsi="Cambria Math"/>
                </w:rPr>
                <m:t>#</m:t>
              </m:r>
              <m:d>
                <m:dPr>
                  <m:ctrlPr>
                    <w:rPr>
                      <w:rFonts w:ascii="Cambria Math" w:hAnsi="Cambria Math"/>
                      <w:i/>
                    </w:rPr>
                  </m:ctrlPr>
                </m:dPr>
                <m:e>
                  <m:r>
                    <w:rPr>
                      <w:rFonts w:ascii="Cambria Math" w:hAnsi="Cambria Math"/>
                    </w:rPr>
                    <m:t>12</m:t>
                  </m:r>
                </m:e>
              </m:d>
            </m:e>
          </m:eqArr>
          <m:r>
            <w:rPr>
              <w:rFonts w:ascii="Cambria Math" w:hAnsi="Cambria Math"/>
            </w:rPr>
            <m:t>.</m:t>
          </m:r>
        </m:oMath>
      </m:oMathPara>
    </w:p>
    <w:p w14:paraId="51638B2B" w14:textId="77777777" w:rsidR="00D57DE3" w:rsidRPr="00405F96" w:rsidRDefault="00D57DE3">
      <w:pPr>
        <w:ind w:firstLine="0"/>
      </w:pPr>
    </w:p>
    <w:p w14:paraId="4C84E24C" w14:textId="72DED373" w:rsidR="00713154" w:rsidRDefault="00713154">
      <w:pPr>
        <w:ind w:firstLine="0"/>
      </w:pPr>
      <w:r>
        <w:t xml:space="preserve">Next, </w:t>
      </w:r>
      <m:oMath>
        <m:r>
          <w:rPr>
            <w:rFonts w:ascii="Cambria Math" w:hAnsi="Cambria Math"/>
          </w:rPr>
          <m:t>c</m:t>
        </m:r>
      </m:oMath>
      <w:r>
        <w:t xml:space="preserve"> can be obtained by re-arranging equation </w:t>
      </w:r>
      <m:oMath>
        <m:r>
          <w:rPr>
            <w:rFonts w:ascii="Cambria Math" w:hAnsi="Cambria Math"/>
          </w:rPr>
          <m:t>(1a)</m:t>
        </m:r>
      </m:oMath>
      <w:r>
        <w:t>:</w:t>
      </w:r>
    </w:p>
    <w:p w14:paraId="6962D305" w14:textId="77777777" w:rsidR="00D57DE3" w:rsidRDefault="00D57DE3">
      <w:pPr>
        <w:ind w:firstLine="0"/>
      </w:pPr>
    </w:p>
    <w:p w14:paraId="425C364F" w14:textId="0F46448E" w:rsidR="00713154" w:rsidRPr="00D57DE3" w:rsidRDefault="00F6521F">
      <w:pPr>
        <w:ind w:firstLine="0"/>
      </w:pPr>
      <m:oMathPara>
        <m:oMath>
          <m:eqArr>
            <m:eqArrPr>
              <m:maxDist m:val="1"/>
              <m:ctrlPr>
                <w:rPr>
                  <w:rFonts w:ascii="Cambria Math" w:hAnsi="Cambria Math"/>
                  <w:i/>
                </w:rPr>
              </m:ctrlPr>
            </m:eqArrPr>
            <m:e>
              <m:r>
                <w:rPr>
                  <w:rFonts w:ascii="Cambria Math" w:hAnsi="Cambria Math"/>
                </w:rPr>
                <m:t>c=</m:t>
              </m:r>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-A</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ctrlPr>
                    <w:rPr>
                      <w:rFonts w:ascii="Cambria Math" w:hAnsi="Cambria Math"/>
                      <w:i/>
                    </w:rPr>
                  </m:ctrlPr>
                </m:fName>
                <m:e>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-ϕ</m:t>
                      </m:r>
                    </m:e>
                  </m:d>
                  <m:ctrlPr>
                    <w:rPr>
                      <w:rFonts w:ascii="Cambria Math" w:hAnsi="Cambria Math"/>
                      <w:i/>
                    </w:rPr>
                  </m:ctrlPr>
                </m:e>
              </m:func>
              <m:r>
                <w:rPr>
                  <w:rFonts w:ascii="Cambria Math" w:hAnsi="Cambria Math"/>
                </w:rPr>
                <m:t>#</m:t>
              </m:r>
              <m:d>
                <m:dPr>
                  <m:ctrlPr>
                    <w:rPr>
                      <w:rFonts w:ascii="Cambria Math" w:hAnsi="Cambria Math"/>
                      <w:i/>
                    </w:rPr>
                  </m:ctrlPr>
                </m:dPr>
                <m:e>
                  <m:r>
                    <w:rPr>
                      <w:rFonts w:ascii="Cambria Math" w:hAnsi="Cambria Math"/>
                    </w:rPr>
                    <m:t>13</m:t>
                  </m:r>
                </m:e>
              </m:d>
            </m:e>
          </m:eqArr>
          <m:r>
            <w:rPr>
              <w:rFonts w:ascii="Cambria Math" w:hAnsi="Cambria Math"/>
            </w:rPr>
            <m:t>.</m:t>
          </m:r>
        </m:oMath>
      </m:oMathPara>
    </w:p>
    <w:p w14:paraId="15C0B7FB" w14:textId="77777777" w:rsidR="00D57DE3" w:rsidRPr="00405F96" w:rsidRDefault="00D57DE3">
      <w:pPr>
        <w:ind w:firstLine="0"/>
      </w:pPr>
    </w:p>
    <w:p w14:paraId="0396579C" w14:textId="1D5EDB19" w:rsidR="00405F96" w:rsidRDefault="00405F96">
      <w:pPr>
        <w:ind w:firstLine="0"/>
      </w:pPr>
      <w:r>
        <w:t xml:space="preserve">Finally, </w:t>
      </w:r>
      <m:oMath>
        <m:r>
          <w:rPr>
            <w:rFonts w:ascii="Cambria Math" w:hAnsi="Cambria Math"/>
          </w:rPr>
          <m:t>θ</m:t>
        </m:r>
      </m:oMath>
      <w:r>
        <w:t xml:space="preserve"> can be estimated using an equation that we previously derived:</w:t>
      </w:r>
    </w:p>
    <w:p w14:paraId="5B08096D" w14:textId="77777777" w:rsidR="00D57DE3" w:rsidRDefault="00D57DE3">
      <w:pPr>
        <w:ind w:firstLine="0"/>
      </w:pPr>
    </w:p>
    <w:p w14:paraId="45F79ABA" w14:textId="5E5E6F0A" w:rsidR="00405F96" w:rsidRPr="00D57DE3" w:rsidRDefault="00F6521F">
      <w:pPr>
        <w:ind w:firstLine="0"/>
      </w:pPr>
      <m:oMathPara>
        <m:oMath>
          <m:eqArr>
            <m:eqArrPr>
              <m:maxDist m:val="1"/>
              <m:ctrlPr>
                <w:rPr>
                  <w:rFonts w:ascii="Cambria Math" w:hAnsi="Cambria Math"/>
                  <w:i/>
                </w:rPr>
              </m:ctrlPr>
            </m:eqArrPr>
            <m:e>
              <m:r>
                <w:rPr>
                  <w:rFonts w:ascii="Cambria Math" w:hAnsi="Cambria Math"/>
                </w:rPr>
                <m:t>θ=</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cos</m:t>
                      </m:r>
                    </m:e>
                    <m:sup>
                      <m:r>
                        <m:rPr>
                          <m:sty m:val="p"/>
                        </m:rPr>
                        <w:rPr>
                          <w:rFonts w:ascii="Cambria Math" w:hAnsi="Cambria Math"/>
                        </w:rPr>
                        <m:t>-1</m:t>
                      </m:r>
                    </m:sup>
                  </m:sSup>
                  <m:ctrlPr>
                    <w:rPr>
                      <w:rFonts w:ascii="Cambria Math" w:hAnsi="Cambria Math"/>
                      <w:i/>
                    </w:rPr>
                  </m:ctrlPr>
                </m:fName>
                <m:e>
                  <m:d>
                    <m:dPr>
                      <m:ctrlPr>
                        <w:rPr>
                          <w:rFonts w:ascii="Cambria Math" w:hAnsi="Cambria Math"/>
                          <w:i/>
                        </w:rPr>
                      </m:ctrlPr>
                    </m:dPr>
                    <m:e>
                      <m:rad>
                        <m:radPr>
                          <m:degHide m:val="1"/>
                          <m:ctrlPr>
                            <w:rPr>
                              <w:rFonts w:ascii="Cambria Math" w:hAnsi="Cambria Math"/>
                              <w:i/>
                            </w:rPr>
                          </m:ctrlPr>
                        </m:radPr>
                        <m:deg/>
                        <m:e>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max</m:t>
                                      </m:r>
                                    </m:sub>
                                  </m:sSub>
                                </m:num>
                                <m:den>
                                  <m:r>
                                    <w:rPr>
                                      <w:rFonts w:ascii="Cambria Math" w:hAnsi="Cambria Math"/>
                                    </w:rPr>
                                    <m:t>c</m:t>
                                  </m:r>
                                </m:den>
                              </m:f>
                              <m:r>
                                <w:rPr>
                                  <w:rFonts w:ascii="Cambria Math" w:hAnsi="Cambria Math"/>
                                </w:rPr>
                                <m:t>-0.069</m:t>
                              </m:r>
                            </m:num>
                            <m:den>
                              <m:r>
                                <w:rPr>
                                  <w:rFonts w:ascii="Cambria Math" w:hAnsi="Cambria Math"/>
                                </w:rPr>
                                <m:t>1-0.069</m:t>
                              </m:r>
                            </m:den>
                          </m:f>
                        </m:e>
                      </m:rad>
                    </m:e>
                  </m:d>
                  <m:ctrlPr>
                    <w:rPr>
                      <w:rFonts w:ascii="Cambria Math" w:hAnsi="Cambria Math"/>
                      <w:i/>
                    </w:rPr>
                  </m:ctrlPr>
                </m:e>
              </m:func>
              <m:r>
                <w:rPr>
                  <w:rFonts w:ascii="Cambria Math" w:hAnsi="Cambria Math"/>
                </w:rPr>
                <m:t>#</m:t>
              </m:r>
              <m:d>
                <m:dPr>
                  <m:ctrlPr>
                    <w:rPr>
                      <w:rFonts w:ascii="Cambria Math" w:hAnsi="Cambria Math"/>
                      <w:i/>
                    </w:rPr>
                  </m:ctrlPr>
                </m:dPr>
                <m:e>
                  <m:r>
                    <w:rPr>
                      <w:rFonts w:ascii="Cambria Math" w:hAnsi="Cambria Math"/>
                    </w:rPr>
                    <m:t>14</m:t>
                  </m:r>
                </m:e>
              </m:d>
            </m:e>
          </m:eqArr>
          <m:r>
            <w:rPr>
              <w:rFonts w:ascii="Cambria Math" w:hAnsi="Cambria Math"/>
            </w:rPr>
            <m:t>,</m:t>
          </m:r>
        </m:oMath>
      </m:oMathPara>
    </w:p>
    <w:p w14:paraId="67D6C7AB" w14:textId="77777777" w:rsidR="00D57DE3" w:rsidRPr="00405F96" w:rsidRDefault="00D57DE3">
      <w:pPr>
        <w:ind w:firstLine="0"/>
      </w:pPr>
    </w:p>
    <w:p w14:paraId="73DEA953" w14:textId="35B6E0AF" w:rsidR="00405F96" w:rsidRDefault="00405F96">
      <w:pPr>
        <w:ind w:firstLine="0"/>
      </w:pPr>
      <w:r>
        <w:t xml:space="preserve">where </w:t>
      </w:r>
    </w:p>
    <w:p w14:paraId="43D67330" w14:textId="77777777" w:rsidR="00D57DE3" w:rsidRDefault="00D57DE3">
      <w:pPr>
        <w:ind w:firstLine="0"/>
      </w:pPr>
    </w:p>
    <w:p w14:paraId="075049EB" w14:textId="68D4BAA0" w:rsidR="00405F96" w:rsidRPr="00405F96" w:rsidRDefault="00F6521F">
      <w:pPr>
        <w:ind w:firstLine="0"/>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I</m:t>
                  </m:r>
                </m:e>
                <m:sub>
                  <m:r>
                    <w:rPr>
                      <w:rFonts w:ascii="Cambria Math" w:hAnsi="Cambria Math"/>
                    </w:rPr>
                    <m:t>max</m:t>
                  </m:r>
                </m:sub>
              </m:sSub>
              <m:r>
                <w:rPr>
                  <w:rFonts w:ascii="Cambria Math" w:hAnsi="Cambria Math"/>
                </w:rPr>
                <m:t>=A+c#</m:t>
              </m:r>
              <m:d>
                <m:dPr>
                  <m:ctrlPr>
                    <w:rPr>
                      <w:rFonts w:ascii="Cambria Math" w:hAnsi="Cambria Math"/>
                      <w:i/>
                    </w:rPr>
                  </m:ctrlPr>
                </m:dPr>
                <m:e>
                  <m:r>
                    <w:rPr>
                      <w:rFonts w:ascii="Cambria Math" w:hAnsi="Cambria Math"/>
                    </w:rPr>
                    <m:t>15</m:t>
                  </m:r>
                </m:e>
              </m:d>
            </m:e>
          </m:eqArr>
          <m:r>
            <w:rPr>
              <w:rFonts w:ascii="Cambria Math" w:hAnsi="Cambria Math"/>
            </w:rPr>
            <m:t>.</m:t>
          </m:r>
        </m:oMath>
      </m:oMathPara>
    </w:p>
    <w:bookmarkEnd w:id="76"/>
    <w:p w14:paraId="617F39AE" w14:textId="506E993B" w:rsidR="00EE689B" w:rsidRDefault="00EE689B">
      <w:pPr>
        <w:spacing w:after="160" w:line="259" w:lineRule="auto"/>
        <w:ind w:firstLine="0"/>
        <w:jc w:val="left"/>
      </w:pPr>
      <w:r>
        <w:br w:type="page"/>
      </w:r>
    </w:p>
    <w:p w14:paraId="3C8A7439" w14:textId="7F1E5F15" w:rsidR="00EE689B" w:rsidRDefault="00EE689B" w:rsidP="00EE689B">
      <w:pPr>
        <w:pStyle w:val="Heading1"/>
      </w:pPr>
      <w:bookmarkStart w:id="78" w:name="_Toc47832210"/>
      <w:bookmarkStart w:id="79" w:name="_Toc47832265"/>
      <w:bookmarkStart w:id="80" w:name="_Toc51022550"/>
      <w:r>
        <w:lastRenderedPageBreak/>
        <w:t>Supplemental Note 2 – Description of analysis of T-cell receptor SIM-MFM data</w:t>
      </w:r>
      <w:bookmarkEnd w:id="78"/>
      <w:bookmarkEnd w:id="79"/>
      <w:bookmarkEnd w:id="80"/>
    </w:p>
    <w:p w14:paraId="7EBE2796" w14:textId="77777777" w:rsidR="00EE689B" w:rsidRDefault="00EE689B" w:rsidP="00EE689B"/>
    <w:p w14:paraId="37D44877" w14:textId="15B080C4" w:rsidR="00EE689B" w:rsidRDefault="00EE689B" w:rsidP="004E1C1B">
      <w:r>
        <w:t xml:space="preserve">When using SIM-MFM to image DNA hairpin tension probes opened by the T-cell receptor, we found that T-cells did not exhibit any notable polarization-dependent response. To quantify this finding, we measured the ratio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r>
          <w:rPr>
            <w:rFonts w:ascii="Cambria Math" w:hAnsi="Cambria Math"/>
          </w:rPr>
          <m:t xml:space="preserve"> </m:t>
        </m:r>
      </m:oMath>
      <w:r>
        <w:t xml:space="preserve">under cells and in the background. As a control, we also quantified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for platelets. As stated in the main text, </w:t>
      </w:r>
      <m:oMath>
        <m:r>
          <w:rPr>
            <w:rFonts w:ascii="Cambria Math" w:hAnsi="Cambria Math"/>
          </w:rPr>
          <m:t>A</m:t>
        </m:r>
      </m:oMath>
      <w:r>
        <w:t xml:space="preserve"> and </w:t>
      </w:r>
      <m:oMath>
        <m:r>
          <w:rPr>
            <w:rFonts w:ascii="Cambria Math" w:hAnsi="Cambria Math"/>
          </w:rPr>
          <m:t>c</m:t>
        </m:r>
      </m:oMath>
      <w:r>
        <w:t xml:space="preserve"> are measures of the fit sinusoid for a given pixel such that </w:t>
      </w:r>
      <m:oMath>
        <m:r>
          <w:rPr>
            <w:rFonts w:ascii="Cambria Math" w:hAnsi="Cambria Math"/>
          </w:rPr>
          <m:t>A</m:t>
        </m:r>
      </m:oMath>
      <w:r>
        <w:t xml:space="preserve"> is a measure of the polarization-dependent fluorescence intensity signal and </w:t>
      </w:r>
      <m:oMath>
        <m:r>
          <w:rPr>
            <w:rFonts w:ascii="Cambria Math" w:hAnsi="Cambria Math"/>
          </w:rPr>
          <m:t>c</m:t>
        </m:r>
      </m:oMath>
      <w:r>
        <w:t xml:space="preserve"> is a measure of the polarization-independent fluorescence intensity signal – see Fig. S10b. The angle brackets </w:t>
      </w:r>
      <m:oMath>
        <m:r>
          <w:rPr>
            <w:rFonts w:ascii="Cambria Math" w:hAnsi="Cambria Math"/>
          </w:rPr>
          <m:t>⟨ ⟩</m:t>
        </m:r>
      </m:oMath>
      <w:r>
        <w:t xml:space="preserve"> denote ensemble averaging, meaning we averaged all recorded </w:t>
      </w:r>
      <m:oMath>
        <m:r>
          <w:rPr>
            <w:rFonts w:ascii="Cambria Math" w:hAnsi="Cambria Math"/>
          </w:rPr>
          <m:t>A</m:t>
        </m:r>
      </m:oMath>
      <w:r>
        <w:t xml:space="preserve"> and </w:t>
      </w:r>
      <m:oMath>
        <m:r>
          <w:rPr>
            <w:rFonts w:ascii="Cambria Math" w:hAnsi="Cambria Math"/>
          </w:rPr>
          <m:t>c</m:t>
        </m:r>
      </m:oMath>
      <w:r>
        <w:t xml:space="preserve"> values measured under the cell and in the local background near the cell. Because the intensity values are background subtracted we added 1 to </w:t>
      </w:r>
      <m:oMath>
        <m:r>
          <w:rPr>
            <w:rFonts w:ascii="Cambria Math" w:hAnsi="Cambria Math"/>
          </w:rPr>
          <m:t>⟨c⟩</m:t>
        </m:r>
      </m:oMath>
      <w:r>
        <w:t xml:space="preserve"> to prevent instabilities in the estimate of the polarization ratio. Higher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means that the polarization-dependent component of fluorescence intensity is strong, indicating the presence of temporally stable forces with a substantial in-plane component (</w:t>
      </w:r>
      <m:oMath>
        <m:r>
          <w:rPr>
            <w:rFonts w:ascii="Cambria Math" w:hAnsi="Cambria Math"/>
          </w:rPr>
          <m:t>θ≫0°</m:t>
        </m:r>
      </m:oMath>
      <w:r>
        <w:t xml:space="preserve">). Conversely, low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means that the polarization dependent component of fluorescence intensity is weak, which can have multiple interpretations discussed below.</w:t>
      </w:r>
    </w:p>
    <w:p w14:paraId="3D145A83" w14:textId="21925D0C" w:rsidR="00EE689B" w:rsidRDefault="00EE689B" w:rsidP="004E1C1B">
      <w:bookmarkStart w:id="81" w:name="_Hlk45128063"/>
      <w:r>
        <w:t xml:space="preserve">While platelets exhibited large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values (median of ~0.24), T-cells exhibited a low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(median of ~0.1) – see Fig. 6c. Measurement of </w:t>
      </w:r>
      <m:oMath>
        <m:d>
          <m:dPr>
            <m:begChr m:val="⟨"/>
            <m:endChr m:val="⟩"/>
            <m:ctrlPr>
              <w:rPr>
                <w:rFonts w:ascii="Cambria Math" w:hAnsi="Cambria Math"/>
                <w:i/>
              </w:rPr>
            </m:ctrlPr>
          </m:dPr>
          <m:e>
            <m:r>
              <w:rPr>
                <w:rFonts w:ascii="Cambria Math" w:hAnsi="Cambria Math"/>
              </w:rPr>
              <m:t>A</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+1)</m:t>
        </m:r>
      </m:oMath>
      <w:r>
        <w:t xml:space="preserve"> values in the cell-free background for both cells types exhibited values similar to that measured under T-cells (median ~0.1). Inspection of maps of </w:t>
      </w:r>
      <m:oMath>
        <m:r>
          <w:rPr>
            <w:rFonts w:ascii="Cambria Math" w:hAnsi="Cambria Math"/>
          </w:rPr>
          <m:t>A</m:t>
        </m:r>
      </m:oMath>
      <w:r>
        <w:t xml:space="preserve"> and </w:t>
      </w:r>
      <m:oMath>
        <m:r>
          <w:rPr>
            <w:rFonts w:ascii="Cambria Math" w:hAnsi="Cambria Math"/>
          </w:rPr>
          <m:t>c</m:t>
        </m:r>
      </m:oMath>
      <w:r>
        <w:t xml:space="preserve"> show that virtually all T-cell signal is polarization-independent (Fig. S1</w:t>
      </w:r>
      <w:r w:rsidR="004E1C1B">
        <w:t>1-12</w:t>
      </w:r>
      <w:r>
        <w:t xml:space="preserve">). Together, these results suggest that tension is not oriented in a manner that results in the polarization response needed for MFM to map orientation. </w:t>
      </w:r>
      <w:bookmarkEnd w:id="81"/>
    </w:p>
    <w:p w14:paraId="1A0937C1" w14:textId="77777777" w:rsidR="00E84F24" w:rsidRDefault="00E84F24">
      <w:pPr>
        <w:ind w:firstLine="0"/>
      </w:pPr>
    </w:p>
    <w:p w14:paraId="6E51A8EC" w14:textId="1EE23ABA" w:rsidR="00A76594" w:rsidRDefault="00A76594">
      <w:pPr>
        <w:spacing w:after="160" w:line="259" w:lineRule="auto"/>
        <w:ind w:firstLine="0"/>
        <w:jc w:val="left"/>
      </w:pPr>
      <w:r>
        <w:br w:type="page"/>
      </w:r>
    </w:p>
    <w:p w14:paraId="33CEBEF8" w14:textId="09C18EE5" w:rsidR="00473CD7" w:rsidRPr="00473CD7" w:rsidRDefault="00E84F24" w:rsidP="0021400B">
      <w:pPr>
        <w:pStyle w:val="Heading1"/>
        <w:rPr>
          <w:noProof/>
        </w:rPr>
      </w:pPr>
      <w:r>
        <w:lastRenderedPageBreak/>
        <w:fldChar w:fldCharType="begin"/>
      </w:r>
      <w:r>
        <w:instrText xml:space="preserve"> ADDIN EN.REFLIST </w:instrText>
      </w:r>
      <w:r>
        <w:fldChar w:fldCharType="separate"/>
      </w:r>
      <w:bookmarkStart w:id="82" w:name="_Toc51022551"/>
      <w:r w:rsidR="00473CD7" w:rsidRPr="00473CD7">
        <w:rPr>
          <w:noProof/>
        </w:rPr>
        <w:t>R</w:t>
      </w:r>
      <w:r w:rsidR="008840BB">
        <w:rPr>
          <w:noProof/>
        </w:rPr>
        <w:t>eferences</w:t>
      </w:r>
      <w:bookmarkEnd w:id="82"/>
    </w:p>
    <w:p w14:paraId="76D7B07D" w14:textId="77777777" w:rsidR="00473CD7" w:rsidRPr="00473CD7" w:rsidRDefault="00473CD7" w:rsidP="00473CD7">
      <w:pPr>
        <w:pStyle w:val="EndNoteBibliographyTitle"/>
      </w:pPr>
    </w:p>
    <w:p w14:paraId="63AD9E63" w14:textId="77777777" w:rsidR="00473CD7" w:rsidRPr="00473CD7" w:rsidRDefault="00473CD7" w:rsidP="00473CD7">
      <w:pPr>
        <w:pStyle w:val="EndNoteBibliography"/>
        <w:ind w:left="720" w:hanging="720"/>
      </w:pPr>
      <w:r w:rsidRPr="00473CD7">
        <w:t>1</w:t>
      </w:r>
      <w:r w:rsidRPr="00473CD7">
        <w:tab/>
        <w:t>Brockman, J. M.</w:t>
      </w:r>
      <w:r w:rsidRPr="00473CD7">
        <w:rPr>
          <w:i/>
        </w:rPr>
        <w:t xml:space="preserve"> et al.</w:t>
      </w:r>
      <w:r w:rsidRPr="00473CD7">
        <w:t xml:space="preserve"> Mapping the 3D orientation of piconewton integrin traction forces. </w:t>
      </w:r>
      <w:r w:rsidRPr="00473CD7">
        <w:rPr>
          <w:i/>
        </w:rPr>
        <w:t>Nat. Methods</w:t>
      </w:r>
      <w:r w:rsidRPr="00473CD7">
        <w:t xml:space="preserve"> </w:t>
      </w:r>
      <w:r w:rsidRPr="00473CD7">
        <w:rPr>
          <w:b/>
        </w:rPr>
        <w:t>15</w:t>
      </w:r>
      <w:r w:rsidRPr="00473CD7">
        <w:t>, 115, doi:10.1038/nmeth.4536 (2017).</w:t>
      </w:r>
    </w:p>
    <w:p w14:paraId="275103EB" w14:textId="77777777" w:rsidR="00473CD7" w:rsidRPr="00473CD7" w:rsidRDefault="00473CD7" w:rsidP="00473CD7">
      <w:pPr>
        <w:pStyle w:val="EndNoteBibliography"/>
        <w:ind w:left="720" w:hanging="720"/>
      </w:pPr>
      <w:r w:rsidRPr="00473CD7">
        <w:t>2</w:t>
      </w:r>
      <w:r w:rsidRPr="00473CD7">
        <w:tab/>
        <w:t>Linkert, M.</w:t>
      </w:r>
      <w:r w:rsidRPr="00473CD7">
        <w:rPr>
          <w:i/>
        </w:rPr>
        <w:t xml:space="preserve"> et al.</w:t>
      </w:r>
      <w:r w:rsidRPr="00473CD7">
        <w:t xml:space="preserve"> Metadata matters: access to image data in the real world. </w:t>
      </w:r>
      <w:r w:rsidRPr="00473CD7">
        <w:rPr>
          <w:i/>
        </w:rPr>
        <w:t>J. Cell Biol.</w:t>
      </w:r>
      <w:r w:rsidRPr="00473CD7">
        <w:t xml:space="preserve"> </w:t>
      </w:r>
      <w:r w:rsidRPr="00473CD7">
        <w:rPr>
          <w:b/>
        </w:rPr>
        <w:t>189</w:t>
      </w:r>
      <w:r w:rsidRPr="00473CD7">
        <w:t>, 777-782, doi:10.1083/jcb.201004104 %J Journal of Cell Biology (2010).</w:t>
      </w:r>
    </w:p>
    <w:p w14:paraId="3C2F63B5" w14:textId="77777777" w:rsidR="00473CD7" w:rsidRPr="00473CD7" w:rsidRDefault="00473CD7" w:rsidP="00473CD7">
      <w:pPr>
        <w:pStyle w:val="EndNoteBibliography"/>
        <w:ind w:left="720" w:hanging="720"/>
      </w:pPr>
      <w:r w:rsidRPr="00473CD7">
        <w:t>3</w:t>
      </w:r>
      <w:r w:rsidRPr="00473CD7">
        <w:tab/>
        <w:t xml:space="preserve">Blanchard, A. T., Brockman, J. M., Salaita, K. &amp; Mattheyses, A. L. Variable incidence angle linear dichroism (VALiD): a technique for unique 3D orientation measurement of fluorescent ensembles. </w:t>
      </w:r>
      <w:r w:rsidRPr="00473CD7">
        <w:rPr>
          <w:i/>
        </w:rPr>
        <w:t>Opt. Express</w:t>
      </w:r>
      <w:r w:rsidRPr="00473CD7">
        <w:t xml:space="preserve"> </w:t>
      </w:r>
      <w:r w:rsidRPr="00473CD7">
        <w:rPr>
          <w:b/>
        </w:rPr>
        <w:t>28</w:t>
      </w:r>
      <w:r w:rsidRPr="00473CD7">
        <w:t>, 10039-10061, doi:10.1364/OE.381676 (2020).</w:t>
      </w:r>
    </w:p>
    <w:p w14:paraId="7E83D013" w14:textId="1A507254" w:rsidR="00473CD7" w:rsidRPr="00473CD7" w:rsidRDefault="00473CD7" w:rsidP="00473CD7">
      <w:pPr>
        <w:pStyle w:val="EndNoteBibliography"/>
        <w:ind w:left="720" w:hanging="720"/>
      </w:pPr>
      <w:r w:rsidRPr="00473CD7">
        <w:t>4</w:t>
      </w:r>
      <w:r w:rsidRPr="00473CD7">
        <w:tab/>
        <w:t xml:space="preserve">in </w:t>
      </w:r>
      <w:r w:rsidRPr="00473CD7">
        <w:rPr>
          <w:i/>
        </w:rPr>
        <w:t>Directional Statistics</w:t>
      </w:r>
      <w:r w:rsidR="009F4D3A">
        <w:t xml:space="preserve">  </w:t>
      </w:r>
      <w:r w:rsidRPr="00473CD7">
        <w:t xml:space="preserve"> 13-24 (1999).</w:t>
      </w:r>
    </w:p>
    <w:p w14:paraId="1D6DCCAC" w14:textId="51F8FA24" w:rsidR="00473CD7" w:rsidRPr="00473CD7" w:rsidRDefault="00473CD7" w:rsidP="00473CD7">
      <w:pPr>
        <w:pStyle w:val="EndNoteBibliography"/>
        <w:ind w:left="720" w:hanging="720"/>
      </w:pPr>
      <w:r w:rsidRPr="00473CD7">
        <w:t>5</w:t>
      </w:r>
      <w:r w:rsidRPr="00473CD7">
        <w:tab/>
        <w:t xml:space="preserve">Zhu, C. &amp; Chen, W. in </w:t>
      </w:r>
      <w:r w:rsidRPr="00473CD7">
        <w:rPr>
          <w:i/>
        </w:rPr>
        <w:t>Single-molecule Studies of Proteins</w:t>
      </w:r>
      <w:r w:rsidR="009F4D3A">
        <w:t xml:space="preserve"> </w:t>
      </w:r>
      <w:r w:rsidRPr="00473CD7">
        <w:t xml:space="preserve"> (ed Andres F. Oberhauser)</w:t>
      </w:r>
      <w:r w:rsidR="009F4D3A">
        <w:t xml:space="preserve"> </w:t>
      </w:r>
      <w:r w:rsidRPr="00473CD7">
        <w:t>77-96 (Springer New York, 2013).</w:t>
      </w:r>
    </w:p>
    <w:p w14:paraId="7746D783" w14:textId="77777777" w:rsidR="00473CD7" w:rsidRPr="00473CD7" w:rsidRDefault="00473CD7" w:rsidP="00473CD7">
      <w:pPr>
        <w:pStyle w:val="EndNoteBibliography"/>
        <w:ind w:left="720" w:hanging="720"/>
      </w:pPr>
      <w:r w:rsidRPr="00473CD7">
        <w:t>6</w:t>
      </w:r>
      <w:r w:rsidRPr="00473CD7">
        <w:tab/>
        <w:t xml:space="preserve">Zhang, Y., Ge, C., Zhu, C. &amp; Salaita, K. DNA-based digital tension probes reveal integrin forces during early cell adhesion. </w:t>
      </w:r>
      <w:r w:rsidRPr="00473CD7">
        <w:rPr>
          <w:i/>
        </w:rPr>
        <w:t>Nat Commun</w:t>
      </w:r>
      <w:r w:rsidRPr="00473CD7">
        <w:t xml:space="preserve"> </w:t>
      </w:r>
      <w:r w:rsidRPr="00473CD7">
        <w:rPr>
          <w:b/>
        </w:rPr>
        <w:t>5</w:t>
      </w:r>
      <w:r w:rsidRPr="00473CD7">
        <w:t>, 5167, doi:10.1038/ncomms6167 (2014).</w:t>
      </w:r>
    </w:p>
    <w:p w14:paraId="3EE6D05D" w14:textId="0F5CD43D" w:rsidR="00EE689B" w:rsidRPr="00405F96" w:rsidRDefault="00E84F24">
      <w:pPr>
        <w:ind w:firstLine="0"/>
      </w:pPr>
      <w:r>
        <w:fldChar w:fldCharType="end"/>
      </w:r>
    </w:p>
    <w:sectPr w:rsidR="00EE689B" w:rsidRPr="00405F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82DA86" w14:textId="77777777" w:rsidR="00F6521F" w:rsidRDefault="00F6521F" w:rsidP="007017B4">
      <w:r>
        <w:separator/>
      </w:r>
    </w:p>
  </w:endnote>
  <w:endnote w:type="continuationSeparator" w:id="0">
    <w:p w14:paraId="63C0ECFA" w14:textId="77777777" w:rsidR="00F6521F" w:rsidRDefault="00F6521F" w:rsidP="0070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IDFont+F3">
    <w:altName w:val="Yu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F5FEB0" w14:textId="77777777" w:rsidR="00F6521F" w:rsidRDefault="00F6521F" w:rsidP="007017B4">
      <w:r>
        <w:separator/>
      </w:r>
    </w:p>
  </w:footnote>
  <w:footnote w:type="continuationSeparator" w:id="0">
    <w:p w14:paraId="7C1AAC01" w14:textId="77777777" w:rsidR="00F6521F" w:rsidRDefault="00F6521F" w:rsidP="0070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663624"/>
    <w:multiLevelType w:val="hybridMultilevel"/>
    <w:tmpl w:val="BD34075E"/>
    <w:lvl w:ilvl="0" w:tplc="D138E87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896EAF"/>
    <w:multiLevelType w:val="hybridMultilevel"/>
    <w:tmpl w:val="82626F54"/>
    <w:lvl w:ilvl="0" w:tplc="861436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7A4C82"/>
    <w:multiLevelType w:val="hybridMultilevel"/>
    <w:tmpl w:val="4DD0A42A"/>
    <w:lvl w:ilvl="0" w:tplc="8FE49C3A">
      <w:start w:val="1"/>
      <w:numFmt w:val="upperRoman"/>
      <w:pStyle w:val="Heading1"/>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0zrzdw6s9vz3eza5fvff2fzdat0vpaeet5&quot;&gt;Origami Tension Sensor-Saved&lt;record-ids&gt;&lt;item&gt;15&lt;/item&gt;&lt;item&gt;49&lt;/item&gt;&lt;item&gt;361&lt;/item&gt;&lt;item&gt;408&lt;/item&gt;&lt;item&gt;418&lt;/item&gt;&lt;item&gt;423&lt;/item&gt;&lt;/record-ids&gt;&lt;/item&gt;&lt;/Libraries&gt;"/>
  </w:docVars>
  <w:rsids>
    <w:rsidRoot w:val="007017B4"/>
    <w:rsid w:val="00017BE4"/>
    <w:rsid w:val="00045650"/>
    <w:rsid w:val="0005402D"/>
    <w:rsid w:val="0006589F"/>
    <w:rsid w:val="000D7D70"/>
    <w:rsid w:val="000E29BC"/>
    <w:rsid w:val="000F17F4"/>
    <w:rsid w:val="000F45E3"/>
    <w:rsid w:val="000F4620"/>
    <w:rsid w:val="001559CE"/>
    <w:rsid w:val="001639BB"/>
    <w:rsid w:val="00171AB3"/>
    <w:rsid w:val="00186CFD"/>
    <w:rsid w:val="00187598"/>
    <w:rsid w:val="001B5B14"/>
    <w:rsid w:val="001B6E3C"/>
    <w:rsid w:val="001B7D6F"/>
    <w:rsid w:val="001E6781"/>
    <w:rsid w:val="001F3426"/>
    <w:rsid w:val="00204520"/>
    <w:rsid w:val="0021369E"/>
    <w:rsid w:val="0021400B"/>
    <w:rsid w:val="00230421"/>
    <w:rsid w:val="0023673D"/>
    <w:rsid w:val="002540FB"/>
    <w:rsid w:val="00265606"/>
    <w:rsid w:val="002843FE"/>
    <w:rsid w:val="002B163F"/>
    <w:rsid w:val="002C1238"/>
    <w:rsid w:val="002D608B"/>
    <w:rsid w:val="002F5396"/>
    <w:rsid w:val="00304356"/>
    <w:rsid w:val="00342632"/>
    <w:rsid w:val="0035060E"/>
    <w:rsid w:val="003720A0"/>
    <w:rsid w:val="00374B35"/>
    <w:rsid w:val="003B31E2"/>
    <w:rsid w:val="00400861"/>
    <w:rsid w:val="004043D8"/>
    <w:rsid w:val="00405F96"/>
    <w:rsid w:val="00412141"/>
    <w:rsid w:val="00413D4F"/>
    <w:rsid w:val="00426EFB"/>
    <w:rsid w:val="00436D71"/>
    <w:rsid w:val="00445FCF"/>
    <w:rsid w:val="00473CD7"/>
    <w:rsid w:val="004814FF"/>
    <w:rsid w:val="00497DBB"/>
    <w:rsid w:val="004D33E3"/>
    <w:rsid w:val="004E1C1B"/>
    <w:rsid w:val="00516E89"/>
    <w:rsid w:val="00523997"/>
    <w:rsid w:val="005242B6"/>
    <w:rsid w:val="00534FA6"/>
    <w:rsid w:val="00537310"/>
    <w:rsid w:val="00560970"/>
    <w:rsid w:val="0057450E"/>
    <w:rsid w:val="005B3767"/>
    <w:rsid w:val="005B70E9"/>
    <w:rsid w:val="005D7EDF"/>
    <w:rsid w:val="005E5637"/>
    <w:rsid w:val="00633B62"/>
    <w:rsid w:val="006351F2"/>
    <w:rsid w:val="00653BF5"/>
    <w:rsid w:val="00684554"/>
    <w:rsid w:val="00685AEE"/>
    <w:rsid w:val="006A479E"/>
    <w:rsid w:val="006B3330"/>
    <w:rsid w:val="007017B4"/>
    <w:rsid w:val="00713154"/>
    <w:rsid w:val="0071545C"/>
    <w:rsid w:val="00720101"/>
    <w:rsid w:val="00724E7E"/>
    <w:rsid w:val="0073482D"/>
    <w:rsid w:val="0076009A"/>
    <w:rsid w:val="00765E13"/>
    <w:rsid w:val="007A434D"/>
    <w:rsid w:val="007A62CA"/>
    <w:rsid w:val="007F065E"/>
    <w:rsid w:val="007F226A"/>
    <w:rsid w:val="00807618"/>
    <w:rsid w:val="00820B91"/>
    <w:rsid w:val="008234BA"/>
    <w:rsid w:val="00840363"/>
    <w:rsid w:val="00863B28"/>
    <w:rsid w:val="00867275"/>
    <w:rsid w:val="008718FE"/>
    <w:rsid w:val="00875CC4"/>
    <w:rsid w:val="00882F15"/>
    <w:rsid w:val="008840BB"/>
    <w:rsid w:val="008B3B60"/>
    <w:rsid w:val="008D330E"/>
    <w:rsid w:val="008E4A68"/>
    <w:rsid w:val="008E6A8D"/>
    <w:rsid w:val="009100C6"/>
    <w:rsid w:val="0091320E"/>
    <w:rsid w:val="00930439"/>
    <w:rsid w:val="00951AE4"/>
    <w:rsid w:val="00972799"/>
    <w:rsid w:val="00972A96"/>
    <w:rsid w:val="00983531"/>
    <w:rsid w:val="0099560C"/>
    <w:rsid w:val="00996D5E"/>
    <w:rsid w:val="009E2F36"/>
    <w:rsid w:val="009E451F"/>
    <w:rsid w:val="009F4D3A"/>
    <w:rsid w:val="00A13645"/>
    <w:rsid w:val="00A22EE5"/>
    <w:rsid w:val="00A311DF"/>
    <w:rsid w:val="00A36739"/>
    <w:rsid w:val="00A47C69"/>
    <w:rsid w:val="00A76594"/>
    <w:rsid w:val="00AB2987"/>
    <w:rsid w:val="00AD0416"/>
    <w:rsid w:val="00AD229B"/>
    <w:rsid w:val="00B67140"/>
    <w:rsid w:val="00B80E31"/>
    <w:rsid w:val="00BB5DC7"/>
    <w:rsid w:val="00BD3A6D"/>
    <w:rsid w:val="00BD6925"/>
    <w:rsid w:val="00C26804"/>
    <w:rsid w:val="00C47CEC"/>
    <w:rsid w:val="00C7083D"/>
    <w:rsid w:val="00CB4B91"/>
    <w:rsid w:val="00CC0BC1"/>
    <w:rsid w:val="00CE04F7"/>
    <w:rsid w:val="00D21FDC"/>
    <w:rsid w:val="00D57DE3"/>
    <w:rsid w:val="00D57F47"/>
    <w:rsid w:val="00D76785"/>
    <w:rsid w:val="00DE21A3"/>
    <w:rsid w:val="00DF1B40"/>
    <w:rsid w:val="00DF373B"/>
    <w:rsid w:val="00E432F8"/>
    <w:rsid w:val="00E4382A"/>
    <w:rsid w:val="00E620F3"/>
    <w:rsid w:val="00E74562"/>
    <w:rsid w:val="00E77954"/>
    <w:rsid w:val="00E84F24"/>
    <w:rsid w:val="00EA6A9F"/>
    <w:rsid w:val="00EB096C"/>
    <w:rsid w:val="00EB3F26"/>
    <w:rsid w:val="00EB4A98"/>
    <w:rsid w:val="00ED7236"/>
    <w:rsid w:val="00EE689B"/>
    <w:rsid w:val="00F26FAD"/>
    <w:rsid w:val="00F27B00"/>
    <w:rsid w:val="00F306B1"/>
    <w:rsid w:val="00F33E3B"/>
    <w:rsid w:val="00F377F3"/>
    <w:rsid w:val="00F639DC"/>
    <w:rsid w:val="00F6521F"/>
    <w:rsid w:val="00F75929"/>
    <w:rsid w:val="00FB7249"/>
    <w:rsid w:val="00FC0BF1"/>
    <w:rsid w:val="00FD34A2"/>
    <w:rsid w:val="00FE0EBE"/>
    <w:rsid w:val="00FE4766"/>
    <w:rsid w:val="00FE4938"/>
    <w:rsid w:val="00FE5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239AF"/>
  <w15:chartTrackingRefBased/>
  <w15:docId w15:val="{FC162718-8D9C-4445-A3DC-FA75EF7AF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7B4"/>
    <w:pPr>
      <w:spacing w:after="0" w:line="240" w:lineRule="auto"/>
      <w:ind w:firstLine="720"/>
      <w:jc w:val="both"/>
    </w:pPr>
    <w:rPr>
      <w:rFonts w:ascii="Times New Roman" w:eastAsiaTheme="minorEastAsia" w:hAnsi="Times New Roman" w:cs="Times New Roman"/>
    </w:rPr>
  </w:style>
  <w:style w:type="paragraph" w:styleId="Heading1">
    <w:name w:val="heading 1"/>
    <w:basedOn w:val="ListParagraph"/>
    <w:next w:val="Normal"/>
    <w:link w:val="Heading1Char"/>
    <w:uiPriority w:val="9"/>
    <w:qFormat/>
    <w:rsid w:val="007017B4"/>
    <w:pPr>
      <w:numPr>
        <w:numId w:val="2"/>
      </w:numPr>
      <w:jc w:val="left"/>
      <w:outlineLvl w:val="0"/>
    </w:pPr>
    <w:rPr>
      <w:b/>
      <w:bCs/>
      <w:sz w:val="28"/>
      <w:szCs w:val="28"/>
    </w:rPr>
  </w:style>
  <w:style w:type="paragraph" w:styleId="Heading2">
    <w:name w:val="heading 2"/>
    <w:basedOn w:val="Normal"/>
    <w:next w:val="Normal"/>
    <w:link w:val="Heading2Char"/>
    <w:uiPriority w:val="9"/>
    <w:unhideWhenUsed/>
    <w:qFormat/>
    <w:rsid w:val="007017B4"/>
    <w:pPr>
      <w:keepNext/>
      <w:keepLines/>
      <w:spacing w:before="40"/>
      <w:ind w:firstLine="0"/>
      <w:outlineLvl w:val="1"/>
    </w:pPr>
    <w:rPr>
      <w:rFonts w:eastAsiaTheme="majorEastAsi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AuthorAffiliation">
    <w:name w:val="03. Author Affiliation"/>
    <w:basedOn w:val="NoSpacing"/>
    <w:next w:val="Normal"/>
    <w:qFormat/>
    <w:rsid w:val="007017B4"/>
    <w:pPr>
      <w:ind w:firstLine="0"/>
      <w:jc w:val="left"/>
    </w:pPr>
    <w:rPr>
      <w:rFonts w:cstheme="minorBidi"/>
      <w:i/>
      <w:sz w:val="18"/>
    </w:rPr>
  </w:style>
  <w:style w:type="paragraph" w:styleId="NoSpacing">
    <w:name w:val="No Spacing"/>
    <w:uiPriority w:val="1"/>
    <w:qFormat/>
    <w:rsid w:val="007017B4"/>
    <w:pPr>
      <w:spacing w:after="0" w:line="240" w:lineRule="auto"/>
      <w:ind w:firstLine="720"/>
      <w:jc w:val="both"/>
    </w:pPr>
    <w:rPr>
      <w:rFonts w:ascii="Times New Roman" w:eastAsiaTheme="minorEastAsia" w:hAnsi="Times New Roman" w:cs="Times New Roman"/>
    </w:rPr>
  </w:style>
  <w:style w:type="paragraph" w:styleId="ListParagraph">
    <w:name w:val="List Paragraph"/>
    <w:basedOn w:val="Normal"/>
    <w:uiPriority w:val="34"/>
    <w:qFormat/>
    <w:rsid w:val="007017B4"/>
    <w:pPr>
      <w:ind w:left="720"/>
      <w:contextualSpacing/>
    </w:pPr>
  </w:style>
  <w:style w:type="character" w:customStyle="1" w:styleId="Heading1Char">
    <w:name w:val="Heading 1 Char"/>
    <w:basedOn w:val="DefaultParagraphFont"/>
    <w:link w:val="Heading1"/>
    <w:uiPriority w:val="9"/>
    <w:rsid w:val="007017B4"/>
    <w:rPr>
      <w:rFonts w:ascii="Times New Roman" w:eastAsiaTheme="minorEastAsia" w:hAnsi="Times New Roman" w:cs="Times New Roman"/>
      <w:b/>
      <w:bCs/>
      <w:sz w:val="28"/>
      <w:szCs w:val="28"/>
    </w:rPr>
  </w:style>
  <w:style w:type="paragraph" w:styleId="BalloonText">
    <w:name w:val="Balloon Text"/>
    <w:basedOn w:val="Normal"/>
    <w:link w:val="BalloonTextChar"/>
    <w:uiPriority w:val="99"/>
    <w:semiHidden/>
    <w:unhideWhenUsed/>
    <w:rsid w:val="007017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7B4"/>
    <w:rPr>
      <w:rFonts w:ascii="Segoe UI" w:eastAsiaTheme="minorEastAsia" w:hAnsi="Segoe UI" w:cs="Segoe UI"/>
      <w:sz w:val="18"/>
      <w:szCs w:val="18"/>
    </w:rPr>
  </w:style>
  <w:style w:type="character" w:customStyle="1" w:styleId="Heading2Char">
    <w:name w:val="Heading 2 Char"/>
    <w:basedOn w:val="DefaultParagraphFont"/>
    <w:link w:val="Heading2"/>
    <w:uiPriority w:val="9"/>
    <w:rsid w:val="007017B4"/>
    <w:rPr>
      <w:rFonts w:ascii="Times New Roman" w:eastAsiaTheme="majorEastAsia" w:hAnsi="Times New Roman" w:cs="Times New Roman"/>
      <w:b/>
      <w:bCs/>
      <w:sz w:val="24"/>
      <w:szCs w:val="24"/>
    </w:rPr>
  </w:style>
  <w:style w:type="character" w:customStyle="1" w:styleId="stix">
    <w:name w:val="stix"/>
    <w:basedOn w:val="DefaultParagraphFont"/>
    <w:rsid w:val="007017B4"/>
  </w:style>
  <w:style w:type="character" w:styleId="CommentReference">
    <w:name w:val="annotation reference"/>
    <w:basedOn w:val="DefaultParagraphFont"/>
    <w:uiPriority w:val="99"/>
    <w:semiHidden/>
    <w:unhideWhenUsed/>
    <w:rsid w:val="007017B4"/>
    <w:rPr>
      <w:sz w:val="16"/>
      <w:szCs w:val="16"/>
    </w:rPr>
  </w:style>
  <w:style w:type="paragraph" w:styleId="CommentText">
    <w:name w:val="annotation text"/>
    <w:basedOn w:val="Normal"/>
    <w:link w:val="CommentTextChar"/>
    <w:uiPriority w:val="99"/>
    <w:unhideWhenUsed/>
    <w:rsid w:val="007017B4"/>
    <w:rPr>
      <w:sz w:val="20"/>
      <w:szCs w:val="20"/>
    </w:rPr>
  </w:style>
  <w:style w:type="character" w:customStyle="1" w:styleId="CommentTextChar">
    <w:name w:val="Comment Text Char"/>
    <w:basedOn w:val="DefaultParagraphFont"/>
    <w:link w:val="CommentText"/>
    <w:uiPriority w:val="99"/>
    <w:rsid w:val="007017B4"/>
    <w:rPr>
      <w:rFonts w:ascii="Times New Roman" w:eastAsiaTheme="minorEastAsia" w:hAnsi="Times New Roman" w:cs="Times New Roman"/>
      <w:sz w:val="20"/>
      <w:szCs w:val="20"/>
    </w:rPr>
  </w:style>
  <w:style w:type="paragraph" w:styleId="TOCHeading">
    <w:name w:val="TOC Heading"/>
    <w:basedOn w:val="Heading1"/>
    <w:next w:val="Normal"/>
    <w:uiPriority w:val="39"/>
    <w:unhideWhenUsed/>
    <w:qFormat/>
    <w:rsid w:val="007017B4"/>
    <w:pPr>
      <w:keepNext/>
      <w:keepLines/>
      <w:numPr>
        <w:numId w:val="0"/>
      </w:numPr>
      <w:spacing w:before="240" w:line="259" w:lineRule="auto"/>
      <w:contextualSpacing w:val="0"/>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7017B4"/>
    <w:pPr>
      <w:spacing w:after="100"/>
    </w:pPr>
  </w:style>
  <w:style w:type="paragraph" w:styleId="TOC2">
    <w:name w:val="toc 2"/>
    <w:basedOn w:val="Normal"/>
    <w:next w:val="Normal"/>
    <w:autoRedefine/>
    <w:uiPriority w:val="39"/>
    <w:unhideWhenUsed/>
    <w:rsid w:val="007017B4"/>
    <w:pPr>
      <w:spacing w:after="100"/>
      <w:ind w:left="220"/>
    </w:pPr>
  </w:style>
  <w:style w:type="character" w:styleId="Hyperlink">
    <w:name w:val="Hyperlink"/>
    <w:basedOn w:val="DefaultParagraphFont"/>
    <w:uiPriority w:val="99"/>
    <w:unhideWhenUsed/>
    <w:rsid w:val="007017B4"/>
    <w:rPr>
      <w:color w:val="0563C1" w:themeColor="hyperlink"/>
      <w:u w:val="single"/>
    </w:rPr>
  </w:style>
  <w:style w:type="paragraph" w:styleId="Header">
    <w:name w:val="header"/>
    <w:basedOn w:val="Normal"/>
    <w:link w:val="HeaderChar"/>
    <w:uiPriority w:val="99"/>
    <w:unhideWhenUsed/>
    <w:rsid w:val="007017B4"/>
    <w:pPr>
      <w:tabs>
        <w:tab w:val="center" w:pos="4680"/>
        <w:tab w:val="right" w:pos="9360"/>
      </w:tabs>
    </w:pPr>
  </w:style>
  <w:style w:type="character" w:customStyle="1" w:styleId="HeaderChar">
    <w:name w:val="Header Char"/>
    <w:basedOn w:val="DefaultParagraphFont"/>
    <w:link w:val="Header"/>
    <w:uiPriority w:val="99"/>
    <w:rsid w:val="007017B4"/>
    <w:rPr>
      <w:rFonts w:ascii="Times New Roman" w:eastAsiaTheme="minorEastAsia" w:hAnsi="Times New Roman" w:cs="Times New Roman"/>
    </w:rPr>
  </w:style>
  <w:style w:type="paragraph" w:styleId="Footer">
    <w:name w:val="footer"/>
    <w:basedOn w:val="Normal"/>
    <w:link w:val="FooterChar"/>
    <w:uiPriority w:val="99"/>
    <w:unhideWhenUsed/>
    <w:rsid w:val="007017B4"/>
    <w:pPr>
      <w:tabs>
        <w:tab w:val="center" w:pos="4680"/>
        <w:tab w:val="right" w:pos="9360"/>
      </w:tabs>
    </w:pPr>
  </w:style>
  <w:style w:type="character" w:customStyle="1" w:styleId="FooterChar">
    <w:name w:val="Footer Char"/>
    <w:basedOn w:val="DefaultParagraphFont"/>
    <w:link w:val="Footer"/>
    <w:uiPriority w:val="99"/>
    <w:rsid w:val="007017B4"/>
    <w:rPr>
      <w:rFonts w:ascii="Times New Roman" w:eastAsiaTheme="minorEastAsia" w:hAnsi="Times New Roman" w:cs="Times New Roman"/>
    </w:rPr>
  </w:style>
  <w:style w:type="paragraph" w:styleId="Title">
    <w:name w:val="Title"/>
    <w:basedOn w:val="Normal"/>
    <w:next w:val="Normal"/>
    <w:link w:val="TitleChar"/>
    <w:uiPriority w:val="10"/>
    <w:qFormat/>
    <w:rsid w:val="007017B4"/>
    <w:pPr>
      <w:spacing w:line="360" w:lineRule="auto"/>
      <w:ind w:firstLine="0"/>
      <w:jc w:val="center"/>
    </w:pPr>
    <w:rPr>
      <w:b/>
      <w:bCs/>
      <w:sz w:val="40"/>
      <w:szCs w:val="40"/>
    </w:rPr>
  </w:style>
  <w:style w:type="character" w:customStyle="1" w:styleId="TitleChar">
    <w:name w:val="Title Char"/>
    <w:basedOn w:val="DefaultParagraphFont"/>
    <w:link w:val="Title"/>
    <w:uiPriority w:val="10"/>
    <w:rsid w:val="007017B4"/>
    <w:rPr>
      <w:rFonts w:ascii="Times New Roman" w:eastAsiaTheme="minorEastAsia" w:hAnsi="Times New Roman" w:cs="Times New Roman"/>
      <w:b/>
      <w:bCs/>
      <w:sz w:val="40"/>
      <w:szCs w:val="40"/>
    </w:rPr>
  </w:style>
  <w:style w:type="paragraph" w:styleId="Subtitle">
    <w:name w:val="Subtitle"/>
    <w:basedOn w:val="Normal"/>
    <w:next w:val="Normal"/>
    <w:link w:val="SubtitleChar"/>
    <w:uiPriority w:val="11"/>
    <w:qFormat/>
    <w:rsid w:val="007017B4"/>
    <w:pPr>
      <w:spacing w:line="360" w:lineRule="auto"/>
      <w:ind w:firstLine="0"/>
      <w:jc w:val="center"/>
    </w:pPr>
    <w:rPr>
      <w:b/>
      <w:bCs/>
      <w:sz w:val="32"/>
      <w:szCs w:val="32"/>
    </w:rPr>
  </w:style>
  <w:style w:type="character" w:customStyle="1" w:styleId="SubtitleChar">
    <w:name w:val="Subtitle Char"/>
    <w:basedOn w:val="DefaultParagraphFont"/>
    <w:link w:val="Subtitle"/>
    <w:uiPriority w:val="11"/>
    <w:rsid w:val="007017B4"/>
    <w:rPr>
      <w:rFonts w:ascii="Times New Roman" w:eastAsiaTheme="minorEastAsia" w:hAnsi="Times New Roman" w:cs="Times New Roman"/>
      <w:b/>
      <w:bCs/>
      <w:sz w:val="32"/>
      <w:szCs w:val="32"/>
    </w:rPr>
  </w:style>
  <w:style w:type="character" w:styleId="PlaceholderText">
    <w:name w:val="Placeholder Text"/>
    <w:basedOn w:val="DefaultParagraphFont"/>
    <w:uiPriority w:val="99"/>
    <w:semiHidden/>
    <w:rsid w:val="004043D8"/>
    <w:rPr>
      <w:color w:val="808080"/>
    </w:rPr>
  </w:style>
  <w:style w:type="paragraph" w:styleId="CommentSubject">
    <w:name w:val="annotation subject"/>
    <w:basedOn w:val="CommentText"/>
    <w:next w:val="CommentText"/>
    <w:link w:val="CommentSubjectChar"/>
    <w:uiPriority w:val="99"/>
    <w:semiHidden/>
    <w:unhideWhenUsed/>
    <w:rsid w:val="00FC0BF1"/>
    <w:rPr>
      <w:b/>
      <w:bCs/>
    </w:rPr>
  </w:style>
  <w:style w:type="character" w:customStyle="1" w:styleId="CommentSubjectChar">
    <w:name w:val="Comment Subject Char"/>
    <w:basedOn w:val="CommentTextChar"/>
    <w:link w:val="CommentSubject"/>
    <w:uiPriority w:val="99"/>
    <w:semiHidden/>
    <w:rsid w:val="00FC0BF1"/>
    <w:rPr>
      <w:rFonts w:ascii="Times New Roman" w:eastAsiaTheme="minorEastAsia" w:hAnsi="Times New Roman" w:cs="Times New Roman"/>
      <w:b/>
      <w:bCs/>
      <w:sz w:val="20"/>
      <w:szCs w:val="20"/>
    </w:rPr>
  </w:style>
  <w:style w:type="paragraph" w:customStyle="1" w:styleId="EndNoteBibliographyTitle">
    <w:name w:val="EndNote Bibliography Title"/>
    <w:basedOn w:val="Normal"/>
    <w:link w:val="EndNoteBibliographyTitleChar"/>
    <w:rsid w:val="00E84F24"/>
    <w:pPr>
      <w:jc w:val="center"/>
    </w:pPr>
    <w:rPr>
      <w:noProof/>
    </w:rPr>
  </w:style>
  <w:style w:type="character" w:customStyle="1" w:styleId="EndNoteBibliographyTitleChar">
    <w:name w:val="EndNote Bibliography Title Char"/>
    <w:basedOn w:val="DefaultParagraphFont"/>
    <w:link w:val="EndNoteBibliographyTitle"/>
    <w:rsid w:val="00E84F24"/>
    <w:rPr>
      <w:rFonts w:ascii="Times New Roman" w:eastAsiaTheme="minorEastAsia" w:hAnsi="Times New Roman" w:cs="Times New Roman"/>
      <w:noProof/>
    </w:rPr>
  </w:style>
  <w:style w:type="paragraph" w:customStyle="1" w:styleId="EndNoteBibliography">
    <w:name w:val="EndNote Bibliography"/>
    <w:basedOn w:val="Normal"/>
    <w:link w:val="EndNoteBibliographyChar"/>
    <w:rsid w:val="00E84F24"/>
    <w:rPr>
      <w:noProof/>
    </w:rPr>
  </w:style>
  <w:style w:type="character" w:customStyle="1" w:styleId="EndNoteBibliographyChar">
    <w:name w:val="EndNote Bibliography Char"/>
    <w:basedOn w:val="DefaultParagraphFont"/>
    <w:link w:val="EndNoteBibliography"/>
    <w:rsid w:val="00E84F24"/>
    <w:rPr>
      <w:rFonts w:ascii="Times New Roman" w:eastAsiaTheme="minorEastAsia" w:hAnsi="Times New Roman" w:cs="Times New Roman"/>
      <w:noProof/>
    </w:rPr>
  </w:style>
  <w:style w:type="paragraph" w:styleId="Revision">
    <w:name w:val="Revision"/>
    <w:hidden/>
    <w:uiPriority w:val="99"/>
    <w:semiHidden/>
    <w:rsid w:val="00DE21A3"/>
    <w:pPr>
      <w:spacing w:after="0" w:line="240" w:lineRule="auto"/>
    </w:pPr>
    <w:rPr>
      <w:rFonts w:ascii="Times New Roman" w:eastAsiaTheme="minorEastAsia" w:hAnsi="Times New Roman" w:cs="Times New Roman"/>
    </w:rPr>
  </w:style>
  <w:style w:type="table" w:styleId="TableGrid">
    <w:name w:val="Table Grid"/>
    <w:basedOn w:val="TableNormal"/>
    <w:uiPriority w:val="39"/>
    <w:rsid w:val="002140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4389">
      <w:bodyDiv w:val="1"/>
      <w:marLeft w:val="0"/>
      <w:marRight w:val="0"/>
      <w:marTop w:val="0"/>
      <w:marBottom w:val="0"/>
      <w:divBdr>
        <w:top w:val="none" w:sz="0" w:space="0" w:color="auto"/>
        <w:left w:val="none" w:sz="0" w:space="0" w:color="auto"/>
        <w:bottom w:val="none" w:sz="0" w:space="0" w:color="auto"/>
        <w:right w:val="none" w:sz="0" w:space="0" w:color="auto"/>
      </w:divBdr>
    </w:div>
    <w:div w:id="565918003">
      <w:bodyDiv w:val="1"/>
      <w:marLeft w:val="0"/>
      <w:marRight w:val="0"/>
      <w:marTop w:val="0"/>
      <w:marBottom w:val="0"/>
      <w:divBdr>
        <w:top w:val="none" w:sz="0" w:space="0" w:color="auto"/>
        <w:left w:val="none" w:sz="0" w:space="0" w:color="auto"/>
        <w:bottom w:val="none" w:sz="0" w:space="0" w:color="auto"/>
        <w:right w:val="none" w:sz="0" w:space="0" w:color="auto"/>
      </w:divBdr>
    </w:div>
    <w:div w:id="2064254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C3E70-1234-694B-A0A2-A9EF2386D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26</Pages>
  <Words>8213</Words>
  <Characters>46815</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Blanchard</dc:creator>
  <cp:keywords/>
  <dc:description/>
  <cp:lastModifiedBy>Blanchard, Aaron</cp:lastModifiedBy>
  <cp:revision>5</cp:revision>
  <dcterms:created xsi:type="dcterms:W3CDTF">2020-09-25T15:44:00Z</dcterms:created>
  <dcterms:modified xsi:type="dcterms:W3CDTF">2020-09-25T17:48:00Z</dcterms:modified>
</cp:coreProperties>
</file>