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E80C6A" w14:textId="77777777" w:rsidR="00020C6B" w:rsidRDefault="00020C6B" w:rsidP="00020C6B">
      <w:pPr>
        <w:spacing w:after="120" w:line="360" w:lineRule="auto"/>
        <w:ind w:firstLine="432"/>
        <w:jc w:val="center"/>
        <w:rPr>
          <w:b/>
        </w:rPr>
      </w:pPr>
      <w:r w:rsidRPr="001F113C">
        <w:rPr>
          <w:b/>
        </w:rPr>
        <w:t>Inhibition of N6-Methyladenosine Accumulation by Targeting METTL3 Mitigates Tau Pathology and Cognitive Decline in Alzheimer’s Disease</w:t>
      </w:r>
    </w:p>
    <w:p w14:paraId="3C31070A" w14:textId="77777777" w:rsidR="00020C6B" w:rsidRPr="00B226A1" w:rsidRDefault="00020C6B" w:rsidP="00020C6B">
      <w:pPr>
        <w:spacing w:after="120" w:line="360" w:lineRule="auto"/>
        <w:ind w:firstLine="432"/>
        <w:jc w:val="center"/>
        <w:rPr>
          <w:vertAlign w:val="superscript"/>
        </w:rPr>
      </w:pPr>
      <w:r>
        <w:t xml:space="preserve">Allison Tucker </w:t>
      </w:r>
      <w:r w:rsidRPr="6E3612EC">
        <w:rPr>
          <w:vertAlign w:val="superscript"/>
        </w:rPr>
        <w:t>1, 2, 3</w:t>
      </w:r>
      <w:r>
        <w:t xml:space="preserve">, Camron Sepehri </w:t>
      </w:r>
      <w:r w:rsidRPr="6E3612EC">
        <w:rPr>
          <w:vertAlign w:val="superscript"/>
        </w:rPr>
        <w:t>1#</w:t>
      </w:r>
      <w:r>
        <w:t xml:space="preserve">, Dev Patel </w:t>
      </w:r>
      <w:r w:rsidRPr="6E3612EC">
        <w:rPr>
          <w:vertAlign w:val="superscript"/>
        </w:rPr>
        <w:t>1#</w:t>
      </w:r>
      <w:r>
        <w:t xml:space="preserve">, </w:t>
      </w:r>
      <w:proofErr w:type="spellStart"/>
      <w:r>
        <w:t>Qingbo</w:t>
      </w:r>
      <w:proofErr w:type="spellEnd"/>
      <w:r>
        <w:t xml:space="preserve"> Wang </w:t>
      </w:r>
      <w:r w:rsidRPr="6E3612EC">
        <w:rPr>
          <w:vertAlign w:val="superscript"/>
        </w:rPr>
        <w:t>1, 2</w:t>
      </w:r>
      <w:r>
        <w:t xml:space="preserve">, Shuo Yuan </w:t>
      </w:r>
      <w:r w:rsidRPr="6E3612EC">
        <w:rPr>
          <w:vertAlign w:val="superscript"/>
        </w:rPr>
        <w:t>1, 2</w:t>
      </w:r>
      <w:r>
        <w:t xml:space="preserve">, Eliana Sherman </w:t>
      </w:r>
      <w:r w:rsidRPr="6E3612EC">
        <w:rPr>
          <w:vertAlign w:val="superscript"/>
        </w:rPr>
        <w:t>1, 2</w:t>
      </w:r>
      <w:r>
        <w:t xml:space="preserve">, Yicheng Chen </w:t>
      </w:r>
      <w:r w:rsidRPr="6E3612EC">
        <w:rPr>
          <w:vertAlign w:val="superscript"/>
        </w:rPr>
        <w:t>4</w:t>
      </w:r>
      <w:r>
        <w:t xml:space="preserve">, Joey Beh </w:t>
      </w:r>
      <w:r w:rsidRPr="6E3612EC">
        <w:rPr>
          <w:vertAlign w:val="superscript"/>
        </w:rPr>
        <w:t>4</w:t>
      </w:r>
      <w:r>
        <w:t xml:space="preserve">, Addysen Downey </w:t>
      </w:r>
      <w:r w:rsidRPr="6E3612EC">
        <w:rPr>
          <w:vertAlign w:val="superscript"/>
        </w:rPr>
        <w:t>1</w:t>
      </w:r>
      <w:r>
        <w:t xml:space="preserve">, Daniel Goldberg </w:t>
      </w:r>
      <w:r w:rsidRPr="6E3612EC">
        <w:rPr>
          <w:vertAlign w:val="superscript"/>
        </w:rPr>
        <w:t>1</w:t>
      </w:r>
      <w:r>
        <w:t xml:space="preserve">, Weronika </w:t>
      </w:r>
      <w:proofErr w:type="spellStart"/>
      <w:r>
        <w:t>Gniadzik</w:t>
      </w:r>
      <w:proofErr w:type="spellEnd"/>
      <w:r>
        <w:t xml:space="preserve"> </w:t>
      </w:r>
      <w:r w:rsidRPr="6E3612EC">
        <w:rPr>
          <w:vertAlign w:val="superscript"/>
        </w:rPr>
        <w:t>1, 2, 3</w:t>
      </w:r>
      <w:r>
        <w:t xml:space="preserve">, Xin Ma </w:t>
      </w:r>
      <w:r w:rsidRPr="6E3612EC">
        <w:rPr>
          <w:vertAlign w:val="superscript"/>
        </w:rPr>
        <w:t>4</w:t>
      </w:r>
      <w:r>
        <w:t xml:space="preserve">, Lulu Jiang </w:t>
      </w:r>
      <w:r w:rsidRPr="6E3612EC">
        <w:rPr>
          <w:vertAlign w:val="superscript"/>
        </w:rPr>
        <w:t>1, 2, 3*</w:t>
      </w:r>
    </w:p>
    <w:p w14:paraId="3FE7DDE1" w14:textId="77777777" w:rsidR="00020C6B" w:rsidRPr="00523306" w:rsidRDefault="00020C6B" w:rsidP="00020C6B">
      <w:pPr>
        <w:spacing w:after="120" w:line="360" w:lineRule="auto"/>
      </w:pPr>
      <w:r w:rsidRPr="00523306">
        <w:rPr>
          <w:vertAlign w:val="superscript"/>
        </w:rPr>
        <w:t>1</w:t>
      </w:r>
      <w:r w:rsidRPr="00523306">
        <w:t xml:space="preserve">Department of Neuroscience, </w:t>
      </w:r>
      <w:r w:rsidRPr="00523306">
        <w:rPr>
          <w:vertAlign w:val="superscript"/>
        </w:rPr>
        <w:t>2</w:t>
      </w:r>
      <w:r w:rsidRPr="00523306">
        <w:t xml:space="preserve">Center for Brain Immunology and Glia (BIG), University of Virginia School of Medicine, Charlottesville, VA 22908 </w:t>
      </w:r>
    </w:p>
    <w:p w14:paraId="3D37D303" w14:textId="77777777" w:rsidR="00020C6B" w:rsidRDefault="00020C6B" w:rsidP="00020C6B">
      <w:pPr>
        <w:spacing w:after="120" w:line="360" w:lineRule="auto"/>
      </w:pPr>
      <w:r w:rsidRPr="00523306">
        <w:rPr>
          <w:vertAlign w:val="superscript"/>
        </w:rPr>
        <w:t>3</w:t>
      </w:r>
      <w:r w:rsidRPr="00523306">
        <w:t>Neuroscience Graduate Program, University of Virginia, Charlottesville, VA 22908</w:t>
      </w:r>
    </w:p>
    <w:p w14:paraId="21A6DE80" w14:textId="77777777" w:rsidR="00020C6B" w:rsidRPr="008D707F" w:rsidRDefault="00020C6B" w:rsidP="00020C6B">
      <w:pPr>
        <w:spacing w:after="120" w:line="360" w:lineRule="auto"/>
      </w:pPr>
      <w:r>
        <w:rPr>
          <w:vertAlign w:val="superscript"/>
        </w:rPr>
        <w:t>4</w:t>
      </w:r>
      <w:r>
        <w:t>Department of Chemistry, College of Arts and Sciences, University of Virginia, Charlottesville, VA 22908</w:t>
      </w:r>
    </w:p>
    <w:p w14:paraId="19B2A81F" w14:textId="77777777" w:rsidR="00020C6B" w:rsidRPr="00523306" w:rsidRDefault="00020C6B" w:rsidP="00020C6B">
      <w:pPr>
        <w:spacing w:after="120" w:line="360" w:lineRule="auto"/>
        <w:rPr>
          <w:u w:val="single"/>
        </w:rPr>
      </w:pPr>
      <w:r w:rsidRPr="00523306">
        <w:rPr>
          <w:b/>
        </w:rPr>
        <w:t>*</w:t>
      </w:r>
      <w:r w:rsidRPr="00523306">
        <w:t xml:space="preserve"> Correspondence should be addressed to: </w:t>
      </w:r>
      <w:r w:rsidRPr="00523306">
        <w:rPr>
          <w:u w:val="single"/>
        </w:rPr>
        <w:t>jiang.lulu@virginia.edu</w:t>
      </w:r>
    </w:p>
    <w:p w14:paraId="75E87C02" w14:textId="77777777" w:rsidR="00020C6B" w:rsidRPr="00EE0C56" w:rsidRDefault="00020C6B" w:rsidP="00020C6B">
      <w:pPr>
        <w:spacing w:after="120" w:line="360" w:lineRule="auto"/>
      </w:pPr>
      <w:r w:rsidRPr="00523306">
        <w:rPr>
          <w:b/>
        </w:rPr>
        <w:t xml:space="preserve"># </w:t>
      </w:r>
      <w:r w:rsidRPr="00523306">
        <w:t>These authors contributed equally</w:t>
      </w:r>
      <w:r>
        <w:t>.</w:t>
      </w:r>
    </w:p>
    <w:p w14:paraId="72EA5541" w14:textId="77777777" w:rsidR="00020C6B" w:rsidRPr="00ED117B" w:rsidRDefault="00020C6B" w:rsidP="00020C6B">
      <w:pPr>
        <w:spacing w:line="360" w:lineRule="auto"/>
        <w:jc w:val="both"/>
        <w:rPr>
          <w:bCs/>
        </w:rPr>
      </w:pPr>
      <w:r w:rsidRPr="00ED117B">
        <w:rPr>
          <w:b/>
        </w:rPr>
        <w:t xml:space="preserve">Running title: </w:t>
      </w:r>
      <w:r w:rsidRPr="00ED117B">
        <w:rPr>
          <w:bCs/>
        </w:rPr>
        <w:t xml:space="preserve">Removing </w:t>
      </w:r>
      <w:r>
        <w:rPr>
          <w:bCs/>
        </w:rPr>
        <w:t xml:space="preserve">excessive </w:t>
      </w:r>
      <w:r w:rsidRPr="00ED117B">
        <w:rPr>
          <w:bCs/>
        </w:rPr>
        <w:t xml:space="preserve">RNA </w:t>
      </w:r>
      <w:r>
        <w:rPr>
          <w:bCs/>
        </w:rPr>
        <w:t xml:space="preserve">methylation </w:t>
      </w:r>
      <w:r w:rsidRPr="00ED117B">
        <w:rPr>
          <w:bCs/>
        </w:rPr>
        <w:t>Protects Against AD</w:t>
      </w:r>
    </w:p>
    <w:p w14:paraId="22D59A9F" w14:textId="77777777" w:rsidR="00020C6B" w:rsidRDefault="00020C6B" w:rsidP="00020C6B">
      <w:pPr>
        <w:spacing w:line="276" w:lineRule="auto"/>
        <w:rPr>
          <w:b/>
        </w:rPr>
      </w:pPr>
      <w:r>
        <w:rPr>
          <w:b/>
        </w:rPr>
        <w:br w:type="page"/>
      </w:r>
    </w:p>
    <w:p w14:paraId="1A48A779" w14:textId="77777777" w:rsidR="00236031" w:rsidRPr="00A51FE3" w:rsidRDefault="00236031" w:rsidP="008A779C">
      <w:pPr>
        <w:spacing w:line="276" w:lineRule="auto"/>
        <w:rPr>
          <w:b/>
          <w:bCs/>
        </w:rPr>
      </w:pPr>
      <w:r w:rsidRPr="00A51FE3">
        <w:rPr>
          <w:b/>
          <w:bCs/>
        </w:rPr>
        <w:lastRenderedPageBreak/>
        <w:t>List of Extended Data</w:t>
      </w:r>
    </w:p>
    <w:p w14:paraId="704D7E42" w14:textId="77777777" w:rsidR="00236031" w:rsidRPr="00A51FE3" w:rsidRDefault="00236031" w:rsidP="00236031"/>
    <w:p w14:paraId="67F197BF" w14:textId="77777777" w:rsidR="00236031" w:rsidRPr="00A51FE3" w:rsidRDefault="00236031" w:rsidP="00236031">
      <w:pPr>
        <w:spacing w:line="360" w:lineRule="auto"/>
      </w:pPr>
      <w:r w:rsidRPr="00A51FE3">
        <w:rPr>
          <w:u w:val="single"/>
        </w:rPr>
        <w:t>Extended Data Figure 1.</w:t>
      </w:r>
      <w:r w:rsidRPr="00A51FE3">
        <w:t xml:space="preserve"> </w:t>
      </w:r>
      <w:r w:rsidRPr="00A51FE3">
        <w:rPr>
          <w:color w:val="000000" w:themeColor="text1"/>
        </w:rPr>
        <w:t>m</w:t>
      </w:r>
      <w:r w:rsidRPr="00A51FE3">
        <w:rPr>
          <w:color w:val="000000" w:themeColor="text1"/>
          <w:vertAlign w:val="superscript"/>
        </w:rPr>
        <w:t>6</w:t>
      </w:r>
      <w:r w:rsidRPr="00A51FE3">
        <w:rPr>
          <w:color w:val="000000" w:themeColor="text1"/>
        </w:rPr>
        <w:t>A</w:t>
      </w:r>
      <w:r w:rsidRPr="00A51FE3">
        <w:t xml:space="preserve"> levels change between 5 months and 9 months in WT and PS19 mice, related to Figure 2.</w:t>
      </w:r>
    </w:p>
    <w:p w14:paraId="3A575846" w14:textId="77777777" w:rsidR="00236031" w:rsidRPr="00A51FE3" w:rsidRDefault="00236031" w:rsidP="00236031">
      <w:pPr>
        <w:spacing w:line="360" w:lineRule="auto"/>
        <w:rPr>
          <w:color w:val="000000" w:themeColor="text1"/>
        </w:rPr>
      </w:pPr>
      <w:r w:rsidRPr="0079014D">
        <w:rPr>
          <w:u w:val="single"/>
        </w:rPr>
        <w:t xml:space="preserve">Extended Data Figure </w:t>
      </w:r>
      <w:r>
        <w:rPr>
          <w:u w:val="single"/>
        </w:rPr>
        <w:t>2</w:t>
      </w:r>
      <w:r w:rsidRPr="00A51FE3">
        <w:rPr>
          <w:u w:val="single"/>
        </w:rPr>
        <w:t>.</w:t>
      </w:r>
      <w:r w:rsidRPr="00A51FE3">
        <w:t xml:space="preserve"> </w:t>
      </w:r>
      <w:r w:rsidRPr="00853DE2">
        <w:rPr>
          <w:sz w:val="22"/>
          <w:szCs w:val="22"/>
        </w:rPr>
        <w:t>Extended Data Figure 2. Impact of STM2457 treatment on ALKBH5 protein leve</w:t>
      </w:r>
      <w:r w:rsidRPr="008C4E0A">
        <w:rPr>
          <w:sz w:val="22"/>
          <w:szCs w:val="22"/>
        </w:rPr>
        <w:t>l</w:t>
      </w:r>
      <w:r w:rsidRPr="00853DE2">
        <w:rPr>
          <w:sz w:val="22"/>
          <w:szCs w:val="22"/>
        </w:rPr>
        <w:t>s in PS19 and WT mice, related to Figure 3</w:t>
      </w:r>
      <w:r w:rsidRPr="008C4E0A">
        <w:rPr>
          <w:sz w:val="22"/>
          <w:szCs w:val="22"/>
        </w:rPr>
        <w:t>.</w:t>
      </w:r>
    </w:p>
    <w:p w14:paraId="43E23FC2" w14:textId="77777777" w:rsidR="00236031" w:rsidRPr="00A51FE3" w:rsidRDefault="00236031" w:rsidP="00236031">
      <w:pPr>
        <w:spacing w:line="360" w:lineRule="auto"/>
      </w:pPr>
      <w:r w:rsidRPr="00A51FE3">
        <w:rPr>
          <w:color w:val="000000" w:themeColor="text1"/>
          <w:u w:val="single"/>
        </w:rPr>
        <w:t xml:space="preserve">Extended Data Figure </w:t>
      </w:r>
      <w:r>
        <w:rPr>
          <w:color w:val="000000" w:themeColor="text1"/>
          <w:u w:val="single"/>
        </w:rPr>
        <w:t>3</w:t>
      </w:r>
      <w:r w:rsidRPr="00A51FE3">
        <w:rPr>
          <w:color w:val="000000" w:themeColor="text1"/>
          <w:u w:val="single"/>
        </w:rPr>
        <w:t>.</w:t>
      </w:r>
      <w:r w:rsidRPr="00A51FE3">
        <w:rPr>
          <w:color w:val="000000" w:themeColor="text1"/>
        </w:rPr>
        <w:t xml:space="preserve"> Representative Images of the CA3 and CTX levels of MC1 tau in PS19 control and STM2457 treated mice, related to Figure 5.</w:t>
      </w:r>
    </w:p>
    <w:p w14:paraId="59B4D682" w14:textId="77777777" w:rsidR="00236031" w:rsidRDefault="00236031" w:rsidP="00236031">
      <w:pPr>
        <w:spacing w:line="360" w:lineRule="auto"/>
        <w:jc w:val="both"/>
      </w:pPr>
    </w:p>
    <w:p w14:paraId="09961BB0" w14:textId="77777777" w:rsidR="00236031" w:rsidRDefault="00236031" w:rsidP="00236031">
      <w:pPr>
        <w:spacing w:line="360" w:lineRule="auto"/>
        <w:jc w:val="both"/>
      </w:pPr>
    </w:p>
    <w:p w14:paraId="5EB0D5F9" w14:textId="77777777" w:rsidR="00236031" w:rsidRDefault="00236031" w:rsidP="00236031">
      <w:pPr>
        <w:spacing w:line="360" w:lineRule="auto"/>
        <w:jc w:val="both"/>
      </w:pPr>
    </w:p>
    <w:p w14:paraId="410DA3A6" w14:textId="77777777" w:rsidR="00236031" w:rsidRDefault="00236031" w:rsidP="00236031">
      <w:pPr>
        <w:spacing w:line="360" w:lineRule="auto"/>
        <w:jc w:val="both"/>
      </w:pPr>
    </w:p>
    <w:p w14:paraId="434BEA40" w14:textId="77777777" w:rsidR="00236031" w:rsidRDefault="00236031" w:rsidP="00236031">
      <w:pPr>
        <w:spacing w:line="360" w:lineRule="auto"/>
        <w:jc w:val="both"/>
      </w:pPr>
    </w:p>
    <w:p w14:paraId="52667603" w14:textId="77777777" w:rsidR="00236031" w:rsidRDefault="00236031" w:rsidP="00236031">
      <w:pPr>
        <w:spacing w:line="360" w:lineRule="auto"/>
        <w:jc w:val="both"/>
      </w:pPr>
    </w:p>
    <w:p w14:paraId="3FCA25FC" w14:textId="77777777" w:rsidR="00236031" w:rsidRDefault="00236031" w:rsidP="00236031">
      <w:pPr>
        <w:spacing w:line="360" w:lineRule="auto"/>
        <w:jc w:val="both"/>
      </w:pPr>
    </w:p>
    <w:p w14:paraId="492006AB" w14:textId="77777777" w:rsidR="00236031" w:rsidRDefault="00236031" w:rsidP="00236031">
      <w:pPr>
        <w:spacing w:line="360" w:lineRule="auto"/>
        <w:jc w:val="both"/>
      </w:pPr>
    </w:p>
    <w:p w14:paraId="6CACAAF4" w14:textId="77777777" w:rsidR="00236031" w:rsidRDefault="00236031" w:rsidP="00236031">
      <w:pPr>
        <w:spacing w:line="360" w:lineRule="auto"/>
        <w:jc w:val="both"/>
      </w:pPr>
    </w:p>
    <w:p w14:paraId="372754DE" w14:textId="77777777" w:rsidR="00236031" w:rsidRDefault="00236031" w:rsidP="00236031">
      <w:pPr>
        <w:spacing w:line="360" w:lineRule="auto"/>
        <w:jc w:val="both"/>
      </w:pPr>
    </w:p>
    <w:p w14:paraId="7AEF96CC" w14:textId="7B3E61E2" w:rsidR="00236031" w:rsidRPr="00EE0C56" w:rsidRDefault="00236031" w:rsidP="00236031">
      <w:pPr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6977EC1" wp14:editId="3271E384">
            <wp:extent cx="5943600" cy="4118642"/>
            <wp:effectExtent l="0" t="0" r="0" b="0"/>
            <wp:docPr id="427490164" name="Picture 26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490164" name="Picture 26" descr="A screenshot of a cell phone&#10;&#10;AI-generated content may be incorrect.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18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42796652">
        <w:rPr>
          <w:rFonts w:ascii="Arial" w:hAnsi="Arial" w:cs="Arial"/>
          <w:b/>
          <w:bCs/>
          <w:sz w:val="22"/>
          <w:szCs w:val="22"/>
        </w:rPr>
        <w:t xml:space="preserve">Extended Data Figure 1. Levels of </w:t>
      </w:r>
      <w:r w:rsidRPr="4279665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Pr="42796652">
        <w:rPr>
          <w:rFonts w:ascii="Arial" w:hAnsi="Arial" w:cs="Arial"/>
          <w:b/>
          <w:bCs/>
          <w:color w:val="000000" w:themeColor="text1"/>
          <w:sz w:val="22"/>
          <w:szCs w:val="22"/>
          <w:vertAlign w:val="superscript"/>
        </w:rPr>
        <w:t>6</w:t>
      </w:r>
      <w:r w:rsidRPr="4279665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42796652">
        <w:rPr>
          <w:rFonts w:ascii="Arial" w:hAnsi="Arial" w:cs="Arial"/>
          <w:b/>
          <w:bCs/>
          <w:sz w:val="22"/>
          <w:szCs w:val="22"/>
        </w:rPr>
        <w:t xml:space="preserve"> Increase between 5 months and 9 months in WT and PS19 mice, related to Figure 2. (a), </w:t>
      </w:r>
      <w:r w:rsidRPr="42796652">
        <w:rPr>
          <w:rFonts w:ascii="Arial" w:hAnsi="Arial" w:cs="Arial"/>
          <w:sz w:val="22"/>
          <w:szCs w:val="22"/>
        </w:rPr>
        <w:t xml:space="preserve">Representative images of </w:t>
      </w:r>
      <w:r w:rsidRPr="42796652">
        <w:rPr>
          <w:rFonts w:ascii="Arial" w:hAnsi="Arial" w:cs="Arial"/>
          <w:color w:val="000000" w:themeColor="text1"/>
          <w:sz w:val="22"/>
          <w:szCs w:val="22"/>
        </w:rPr>
        <w:t>m</w:t>
      </w:r>
      <w:r w:rsidRPr="42796652">
        <w:rPr>
          <w:rFonts w:ascii="Arial" w:hAnsi="Arial" w:cs="Arial"/>
          <w:color w:val="000000" w:themeColor="text1"/>
          <w:sz w:val="22"/>
          <w:szCs w:val="22"/>
          <w:vertAlign w:val="superscript"/>
        </w:rPr>
        <w:t>6</w:t>
      </w:r>
      <w:r w:rsidRPr="42796652">
        <w:rPr>
          <w:rFonts w:ascii="Arial" w:hAnsi="Arial" w:cs="Arial"/>
          <w:color w:val="000000" w:themeColor="text1"/>
          <w:sz w:val="22"/>
          <w:szCs w:val="22"/>
        </w:rPr>
        <w:t>A</w:t>
      </w:r>
      <w:r w:rsidRPr="42796652">
        <w:rPr>
          <w:rFonts w:ascii="Arial" w:hAnsi="Arial" w:cs="Arial"/>
          <w:sz w:val="22"/>
          <w:szCs w:val="22"/>
        </w:rPr>
        <w:t xml:space="preserve"> DAB staining in the CA1, CA3, and cortex (CTX) of 5-month-old WT and PS19 mice. Scale bar = 200µm. </w:t>
      </w:r>
      <w:r w:rsidRPr="42796652">
        <w:rPr>
          <w:rFonts w:ascii="Arial" w:hAnsi="Arial" w:cs="Arial"/>
          <w:b/>
          <w:bCs/>
          <w:sz w:val="22"/>
          <w:szCs w:val="22"/>
        </w:rPr>
        <w:t xml:space="preserve">(b), </w:t>
      </w:r>
      <w:r w:rsidRPr="42796652">
        <w:rPr>
          <w:rFonts w:ascii="Arial" w:hAnsi="Arial" w:cs="Arial"/>
          <w:sz w:val="22"/>
          <w:szCs w:val="22"/>
        </w:rPr>
        <w:t xml:space="preserve">Representative images of </w:t>
      </w:r>
      <w:r w:rsidRPr="42796652">
        <w:rPr>
          <w:rFonts w:ascii="Arial" w:hAnsi="Arial" w:cs="Arial"/>
          <w:color w:val="000000" w:themeColor="text1"/>
          <w:sz w:val="22"/>
          <w:szCs w:val="22"/>
        </w:rPr>
        <w:t>m</w:t>
      </w:r>
      <w:r w:rsidRPr="42796652">
        <w:rPr>
          <w:rFonts w:ascii="Arial" w:hAnsi="Arial" w:cs="Arial"/>
          <w:color w:val="000000" w:themeColor="text1"/>
          <w:sz w:val="22"/>
          <w:szCs w:val="22"/>
          <w:vertAlign w:val="superscript"/>
        </w:rPr>
        <w:t>6</w:t>
      </w:r>
      <w:r w:rsidRPr="42796652">
        <w:rPr>
          <w:rFonts w:ascii="Arial" w:hAnsi="Arial" w:cs="Arial"/>
          <w:color w:val="000000" w:themeColor="text1"/>
          <w:sz w:val="22"/>
          <w:szCs w:val="22"/>
        </w:rPr>
        <w:t>A</w:t>
      </w:r>
      <w:r w:rsidRPr="42796652">
        <w:rPr>
          <w:rFonts w:ascii="Arial" w:hAnsi="Arial" w:cs="Arial"/>
          <w:sz w:val="22"/>
          <w:szCs w:val="22"/>
        </w:rPr>
        <w:t xml:space="preserve"> DAB staining in the CA1, CA3, and CTX of 9-month-old WT and PS19 mice. Scale bar = 100µm. </w:t>
      </w:r>
      <w:r w:rsidRPr="42796652">
        <w:rPr>
          <w:rFonts w:ascii="Arial" w:hAnsi="Arial" w:cs="Arial"/>
          <w:b/>
          <w:bCs/>
          <w:sz w:val="22"/>
          <w:szCs w:val="22"/>
        </w:rPr>
        <w:t xml:space="preserve">c-e, </w:t>
      </w:r>
      <w:r w:rsidRPr="42796652">
        <w:rPr>
          <w:rFonts w:ascii="Arial" w:hAnsi="Arial" w:cs="Arial"/>
          <w:sz w:val="22"/>
          <w:szCs w:val="22"/>
        </w:rPr>
        <w:t xml:space="preserve">Quantification of the raw integrated density (RawIntDen) in </w:t>
      </w:r>
      <w:r w:rsidRPr="42796652">
        <w:rPr>
          <w:rFonts w:ascii="Arial" w:hAnsi="Arial" w:cs="Arial"/>
          <w:color w:val="000000" w:themeColor="text1"/>
          <w:sz w:val="22"/>
          <w:szCs w:val="22"/>
        </w:rPr>
        <w:t>m</w:t>
      </w:r>
      <w:r w:rsidRPr="42796652">
        <w:rPr>
          <w:rFonts w:ascii="Arial" w:hAnsi="Arial" w:cs="Arial"/>
          <w:color w:val="000000" w:themeColor="text1"/>
          <w:sz w:val="22"/>
          <w:szCs w:val="22"/>
          <w:vertAlign w:val="superscript"/>
        </w:rPr>
        <w:t>6</w:t>
      </w:r>
      <w:r w:rsidRPr="42796652">
        <w:rPr>
          <w:rFonts w:ascii="Arial" w:hAnsi="Arial" w:cs="Arial"/>
          <w:color w:val="000000" w:themeColor="text1"/>
          <w:sz w:val="22"/>
          <w:szCs w:val="22"/>
        </w:rPr>
        <w:t>A</w:t>
      </w:r>
      <w:r w:rsidRPr="42796652">
        <w:rPr>
          <w:rFonts w:ascii="Arial" w:hAnsi="Arial" w:cs="Arial"/>
          <w:sz w:val="22"/>
          <w:szCs w:val="22"/>
        </w:rPr>
        <w:t xml:space="preserve"> DAB staining of the </w:t>
      </w:r>
      <w:r w:rsidRPr="42796652">
        <w:rPr>
          <w:rFonts w:ascii="Arial" w:hAnsi="Arial" w:cs="Arial"/>
          <w:b/>
          <w:bCs/>
          <w:sz w:val="22"/>
          <w:szCs w:val="22"/>
        </w:rPr>
        <w:t>(c)</w:t>
      </w:r>
      <w:r w:rsidRPr="42796652">
        <w:rPr>
          <w:rFonts w:ascii="Arial" w:hAnsi="Arial" w:cs="Arial"/>
          <w:sz w:val="22"/>
          <w:szCs w:val="22"/>
        </w:rPr>
        <w:t xml:space="preserve">, CA1, </w:t>
      </w:r>
      <w:r w:rsidRPr="42796652">
        <w:rPr>
          <w:rFonts w:ascii="Arial" w:hAnsi="Arial" w:cs="Arial"/>
          <w:b/>
          <w:bCs/>
          <w:sz w:val="22"/>
          <w:szCs w:val="22"/>
        </w:rPr>
        <w:t>(d)</w:t>
      </w:r>
      <w:r w:rsidRPr="42796652">
        <w:rPr>
          <w:rFonts w:ascii="Arial" w:hAnsi="Arial" w:cs="Arial"/>
          <w:sz w:val="22"/>
          <w:szCs w:val="22"/>
        </w:rPr>
        <w:t xml:space="preserve">, CA3, and </w:t>
      </w:r>
      <w:r w:rsidRPr="42796652">
        <w:rPr>
          <w:rFonts w:ascii="Arial" w:hAnsi="Arial" w:cs="Arial"/>
          <w:b/>
          <w:bCs/>
          <w:sz w:val="22"/>
          <w:szCs w:val="22"/>
        </w:rPr>
        <w:t>(e)</w:t>
      </w:r>
      <w:r w:rsidRPr="42796652">
        <w:rPr>
          <w:rFonts w:ascii="Arial" w:hAnsi="Arial" w:cs="Arial"/>
          <w:sz w:val="22"/>
          <w:szCs w:val="22"/>
        </w:rPr>
        <w:t>, CTX of 5-month-old and 9-month-old WT and PS19 mice. *</w:t>
      </w:r>
      <w:r w:rsidRPr="42796652">
        <w:rPr>
          <w:rFonts w:ascii="Arial" w:hAnsi="Arial" w:cs="Arial"/>
          <w:i/>
          <w:iCs/>
          <w:sz w:val="22"/>
          <w:szCs w:val="22"/>
        </w:rPr>
        <w:t>p</w:t>
      </w:r>
      <w:r w:rsidRPr="42796652">
        <w:rPr>
          <w:rFonts w:ascii="Arial" w:hAnsi="Arial" w:cs="Arial"/>
          <w:sz w:val="22"/>
          <w:szCs w:val="22"/>
        </w:rPr>
        <w:t>&lt;0.05, **</w:t>
      </w:r>
      <w:r w:rsidRPr="42796652">
        <w:rPr>
          <w:rFonts w:ascii="Arial" w:hAnsi="Arial" w:cs="Arial"/>
          <w:i/>
          <w:iCs/>
          <w:sz w:val="22"/>
          <w:szCs w:val="22"/>
        </w:rPr>
        <w:t>p</w:t>
      </w:r>
      <w:r w:rsidRPr="42796652">
        <w:rPr>
          <w:rFonts w:ascii="Arial" w:hAnsi="Arial" w:cs="Arial"/>
          <w:sz w:val="22"/>
          <w:szCs w:val="22"/>
        </w:rPr>
        <w:t>&lt;0.01, ***</w:t>
      </w:r>
      <w:r w:rsidRPr="42796652">
        <w:rPr>
          <w:rFonts w:ascii="Arial" w:hAnsi="Arial" w:cs="Arial"/>
          <w:i/>
          <w:iCs/>
          <w:sz w:val="22"/>
          <w:szCs w:val="22"/>
        </w:rPr>
        <w:t>p</w:t>
      </w:r>
      <w:r w:rsidRPr="42796652">
        <w:rPr>
          <w:rFonts w:ascii="Arial" w:hAnsi="Arial" w:cs="Arial"/>
          <w:sz w:val="22"/>
          <w:szCs w:val="22"/>
        </w:rPr>
        <w:t>&lt;0.005, ****</w:t>
      </w:r>
      <w:r w:rsidRPr="42796652">
        <w:rPr>
          <w:rFonts w:ascii="Arial" w:hAnsi="Arial" w:cs="Arial"/>
          <w:i/>
          <w:iCs/>
          <w:sz w:val="22"/>
          <w:szCs w:val="22"/>
        </w:rPr>
        <w:t>p</w:t>
      </w:r>
      <w:r w:rsidRPr="42796652">
        <w:rPr>
          <w:rFonts w:ascii="Arial" w:hAnsi="Arial" w:cs="Arial"/>
          <w:sz w:val="22"/>
          <w:szCs w:val="22"/>
        </w:rPr>
        <w:t xml:space="preserve">&lt;0.001. </w:t>
      </w:r>
      <w:r w:rsidRPr="42796652">
        <w:rPr>
          <w:rFonts w:ascii="Arial" w:hAnsi="Arial" w:cs="Arial"/>
          <w:i/>
          <w:iCs/>
          <w:sz w:val="22"/>
          <w:szCs w:val="22"/>
        </w:rPr>
        <w:t>N</w:t>
      </w:r>
      <w:r w:rsidRPr="42796652">
        <w:rPr>
          <w:rFonts w:ascii="Arial" w:hAnsi="Arial" w:cs="Arial"/>
          <w:sz w:val="22"/>
          <w:szCs w:val="22"/>
        </w:rPr>
        <w:t xml:space="preserve"> = </w:t>
      </w:r>
      <w:r w:rsidR="6E28BBAD" w:rsidRPr="42796652">
        <w:rPr>
          <w:rFonts w:ascii="Arial" w:hAnsi="Arial" w:cs="Arial"/>
          <w:sz w:val="22"/>
          <w:szCs w:val="22"/>
        </w:rPr>
        <w:t>3</w:t>
      </w:r>
      <w:r w:rsidRPr="42796652">
        <w:rPr>
          <w:rFonts w:ascii="Arial" w:hAnsi="Arial" w:cs="Arial"/>
          <w:sz w:val="22"/>
          <w:szCs w:val="22"/>
        </w:rPr>
        <w:t xml:space="preserve"> brains per condition, </w:t>
      </w:r>
      <w:r w:rsidRPr="42796652">
        <w:rPr>
          <w:rFonts w:ascii="Arial" w:hAnsi="Arial" w:cs="Arial"/>
          <w:i/>
          <w:iCs/>
          <w:sz w:val="22"/>
          <w:szCs w:val="22"/>
        </w:rPr>
        <w:t xml:space="preserve">n </w:t>
      </w:r>
      <w:r w:rsidRPr="42796652">
        <w:rPr>
          <w:rFonts w:ascii="Arial" w:hAnsi="Arial" w:cs="Arial"/>
          <w:sz w:val="22"/>
          <w:szCs w:val="22"/>
        </w:rPr>
        <w:t xml:space="preserve">= </w:t>
      </w:r>
      <w:r w:rsidR="082C909D" w:rsidRPr="42796652">
        <w:rPr>
          <w:rFonts w:ascii="Arial" w:hAnsi="Arial" w:cs="Arial"/>
          <w:sz w:val="22"/>
          <w:szCs w:val="22"/>
        </w:rPr>
        <w:t>9</w:t>
      </w:r>
      <w:r w:rsidRPr="42796652">
        <w:rPr>
          <w:rFonts w:ascii="Arial" w:hAnsi="Arial" w:cs="Arial"/>
          <w:sz w:val="22"/>
          <w:szCs w:val="22"/>
        </w:rPr>
        <w:t xml:space="preserve"> sections per condition. Error bars = SEM. Statistical analysis performed using two-way ANOVA with Tukey’s multiple comparisons test. </w:t>
      </w:r>
    </w:p>
    <w:p w14:paraId="5478FB42" w14:textId="77777777" w:rsidR="00236031" w:rsidRDefault="00236031" w:rsidP="00236031">
      <w:pPr>
        <w:spacing w:line="360" w:lineRule="auto"/>
        <w:jc w:val="both"/>
      </w:pPr>
    </w:p>
    <w:p w14:paraId="404BE33A" w14:textId="77777777" w:rsidR="00236031" w:rsidRDefault="00236031" w:rsidP="00236031">
      <w:pPr>
        <w:spacing w:line="360" w:lineRule="auto"/>
        <w:jc w:val="both"/>
      </w:pPr>
    </w:p>
    <w:p w14:paraId="3A58F027" w14:textId="77777777" w:rsidR="00236031" w:rsidRDefault="00236031" w:rsidP="00236031">
      <w:pPr>
        <w:spacing w:line="360" w:lineRule="auto"/>
        <w:jc w:val="both"/>
      </w:pPr>
    </w:p>
    <w:p w14:paraId="0101D7F9" w14:textId="14DAC0FB" w:rsidR="00236031" w:rsidRPr="00EE0C56" w:rsidRDefault="00236031" w:rsidP="00236031">
      <w:pPr>
        <w:jc w:val="both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lastRenderedPageBreak/>
        <w:drawing>
          <wp:inline distT="0" distB="0" distL="0" distR="0" wp14:anchorId="6FBE7CD1" wp14:editId="79C74819">
            <wp:extent cx="5941357" cy="1782696"/>
            <wp:effectExtent l="0" t="0" r="2540" b="0"/>
            <wp:docPr id="1582353018" name="Picture 20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353018" name="Picture 20" descr="A screenshot of a cell phone&#10;&#10;AI-generated content may be incorrect.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" b="76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3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0C56">
        <w:rPr>
          <w:rFonts w:ascii="Arial" w:hAnsi="Arial" w:cs="Arial"/>
          <w:b/>
          <w:bCs/>
          <w:sz w:val="22"/>
          <w:szCs w:val="22"/>
        </w:rPr>
        <w:t xml:space="preserve">Extended Data Figure </w:t>
      </w:r>
      <w:r>
        <w:rPr>
          <w:rFonts w:ascii="Arial" w:hAnsi="Arial" w:cs="Arial"/>
          <w:b/>
          <w:bCs/>
          <w:sz w:val="22"/>
          <w:szCs w:val="22"/>
        </w:rPr>
        <w:t>2</w:t>
      </w:r>
      <w:r w:rsidRPr="00EE0C56">
        <w:rPr>
          <w:rFonts w:ascii="Arial" w:hAnsi="Arial" w:cs="Arial"/>
          <w:b/>
          <w:bCs/>
          <w:sz w:val="22"/>
          <w:szCs w:val="22"/>
        </w:rPr>
        <w:t>.</w:t>
      </w:r>
      <w:r>
        <w:rPr>
          <w:rFonts w:ascii="Arial" w:hAnsi="Arial" w:cs="Arial"/>
          <w:b/>
          <w:bCs/>
          <w:sz w:val="22"/>
          <w:szCs w:val="22"/>
        </w:rPr>
        <w:t xml:space="preserve"> Impact of STM2457 treatment on ALKBH5 protein levels in PS19 and WT mice, related to Figure </w:t>
      </w:r>
      <w:r w:rsidR="00654973">
        <w:rPr>
          <w:rFonts w:ascii="Arial" w:hAnsi="Arial" w:cs="Arial"/>
          <w:b/>
          <w:bCs/>
          <w:sz w:val="22"/>
          <w:szCs w:val="22"/>
        </w:rPr>
        <w:t>3.</w:t>
      </w:r>
      <w:r w:rsidRPr="00EE0C5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  <w:r w:rsidRPr="00EE0C56">
        <w:rPr>
          <w:rFonts w:ascii="Arial" w:hAnsi="Arial" w:cs="Arial"/>
          <w:b/>
          <w:bCs/>
          <w:sz w:val="22"/>
          <w:szCs w:val="22"/>
        </w:rPr>
        <w:t>(</w:t>
      </w:r>
      <w:r>
        <w:rPr>
          <w:rFonts w:ascii="Arial" w:hAnsi="Arial" w:cs="Arial"/>
          <w:b/>
          <w:bCs/>
          <w:sz w:val="22"/>
          <w:szCs w:val="22"/>
        </w:rPr>
        <w:t>a</w:t>
      </w:r>
      <w:r w:rsidRPr="00EE0C56">
        <w:rPr>
          <w:rFonts w:ascii="Arial" w:hAnsi="Arial" w:cs="Arial"/>
          <w:b/>
          <w:bCs/>
          <w:sz w:val="22"/>
          <w:szCs w:val="22"/>
        </w:rPr>
        <w:t>)</w:t>
      </w:r>
      <w:r w:rsidRPr="00EE0C56">
        <w:rPr>
          <w:rFonts w:ascii="Arial" w:hAnsi="Arial" w:cs="Arial"/>
          <w:sz w:val="22"/>
          <w:szCs w:val="22"/>
        </w:rPr>
        <w:t xml:space="preserve">, Western blot bands of ALKBH5 from PS19 and WT cortical tissue samples, and corresponding β-actin. </w:t>
      </w:r>
      <w:r w:rsidRPr="00EE0C56">
        <w:rPr>
          <w:rFonts w:ascii="Arial" w:hAnsi="Arial" w:cs="Arial"/>
          <w:i/>
          <w:iCs/>
          <w:sz w:val="22"/>
          <w:szCs w:val="22"/>
        </w:rPr>
        <w:t>N</w:t>
      </w:r>
      <w:r>
        <w:rPr>
          <w:rFonts w:ascii="Arial" w:hAnsi="Arial" w:cs="Arial"/>
          <w:i/>
          <w:iCs/>
          <w:sz w:val="22"/>
          <w:szCs w:val="22"/>
        </w:rPr>
        <w:t xml:space="preserve"> </w:t>
      </w:r>
      <w:r w:rsidRPr="00EE0C56">
        <w:rPr>
          <w:rFonts w:ascii="Arial" w:hAnsi="Arial" w:cs="Arial"/>
          <w:sz w:val="22"/>
          <w:szCs w:val="22"/>
        </w:rPr>
        <w:t>=</w:t>
      </w:r>
      <w:r>
        <w:rPr>
          <w:rFonts w:ascii="Arial" w:hAnsi="Arial" w:cs="Arial"/>
          <w:sz w:val="22"/>
          <w:szCs w:val="22"/>
        </w:rPr>
        <w:t xml:space="preserve"> </w:t>
      </w:r>
      <w:r w:rsidRPr="00EE0C56">
        <w:rPr>
          <w:rFonts w:ascii="Arial" w:hAnsi="Arial" w:cs="Arial"/>
          <w:sz w:val="22"/>
          <w:szCs w:val="22"/>
        </w:rPr>
        <w:t xml:space="preserve">3. </w:t>
      </w:r>
      <w:r w:rsidRPr="00EE0C56">
        <w:rPr>
          <w:rFonts w:ascii="Arial" w:hAnsi="Arial" w:cs="Arial"/>
          <w:b/>
          <w:bCs/>
          <w:sz w:val="22"/>
          <w:szCs w:val="22"/>
        </w:rPr>
        <w:t>(</w:t>
      </w:r>
      <w:r>
        <w:rPr>
          <w:rFonts w:ascii="Arial" w:hAnsi="Arial" w:cs="Arial"/>
          <w:b/>
          <w:bCs/>
          <w:sz w:val="22"/>
          <w:szCs w:val="22"/>
        </w:rPr>
        <w:t>b</w:t>
      </w:r>
      <w:r w:rsidRPr="00EE0C56">
        <w:rPr>
          <w:rFonts w:ascii="Arial" w:hAnsi="Arial" w:cs="Arial"/>
          <w:b/>
          <w:bCs/>
          <w:sz w:val="22"/>
          <w:szCs w:val="22"/>
        </w:rPr>
        <w:t>)</w:t>
      </w:r>
      <w:r w:rsidRPr="00EE0C56">
        <w:rPr>
          <w:rFonts w:ascii="Arial" w:hAnsi="Arial" w:cs="Arial"/>
          <w:sz w:val="22"/>
          <w:szCs w:val="22"/>
        </w:rPr>
        <w:t>, Quantification of ALKBH5 expression by Western blot with background subtraction and normalized to β-actin. **</w:t>
      </w:r>
      <w:r w:rsidRPr="00EE0C56">
        <w:rPr>
          <w:rFonts w:ascii="Arial" w:hAnsi="Arial" w:cs="Arial"/>
          <w:i/>
          <w:iCs/>
          <w:sz w:val="22"/>
          <w:szCs w:val="22"/>
        </w:rPr>
        <w:t>p</w:t>
      </w:r>
      <w:r w:rsidRPr="00EE0C56">
        <w:rPr>
          <w:rFonts w:ascii="Arial" w:hAnsi="Arial" w:cs="Arial"/>
          <w:sz w:val="22"/>
          <w:szCs w:val="22"/>
        </w:rPr>
        <w:t>&lt;0.01</w:t>
      </w:r>
      <w:r>
        <w:rPr>
          <w:rFonts w:ascii="Arial" w:hAnsi="Arial" w:cs="Arial"/>
          <w:sz w:val="22"/>
          <w:szCs w:val="22"/>
        </w:rPr>
        <w:t>.</w:t>
      </w:r>
      <w:r w:rsidRPr="00EE0C56">
        <w:rPr>
          <w:rFonts w:ascii="Arial" w:hAnsi="Arial" w:cs="Arial"/>
          <w:sz w:val="22"/>
          <w:szCs w:val="22"/>
        </w:rPr>
        <w:t xml:space="preserve">  Error bars = SEM. Statistical analysis performed using two-way ANOVA with Tukey’s multiple comparison test.</w:t>
      </w:r>
    </w:p>
    <w:p w14:paraId="3EC709BA" w14:textId="77777777" w:rsidR="00236031" w:rsidRDefault="00236031" w:rsidP="00236031">
      <w:pPr>
        <w:spacing w:line="360" w:lineRule="auto"/>
        <w:jc w:val="both"/>
      </w:pPr>
    </w:p>
    <w:p w14:paraId="74CD0D18" w14:textId="77777777" w:rsidR="00236031" w:rsidRDefault="00236031" w:rsidP="00236031">
      <w:pPr>
        <w:spacing w:line="360" w:lineRule="auto"/>
        <w:jc w:val="both"/>
      </w:pPr>
    </w:p>
    <w:p w14:paraId="797C45EE" w14:textId="77777777" w:rsidR="00236031" w:rsidRDefault="00236031" w:rsidP="00236031">
      <w:pPr>
        <w:spacing w:line="360" w:lineRule="auto"/>
        <w:jc w:val="both"/>
      </w:pPr>
    </w:p>
    <w:p w14:paraId="2F93B12D" w14:textId="77777777" w:rsidR="00236031" w:rsidRDefault="00236031" w:rsidP="00236031">
      <w:pPr>
        <w:spacing w:line="360" w:lineRule="auto"/>
        <w:jc w:val="both"/>
      </w:pPr>
    </w:p>
    <w:p w14:paraId="5000CC9C" w14:textId="77777777" w:rsidR="00236031" w:rsidRDefault="00236031" w:rsidP="00236031">
      <w:pPr>
        <w:spacing w:line="360" w:lineRule="auto"/>
        <w:jc w:val="both"/>
      </w:pPr>
    </w:p>
    <w:p w14:paraId="49B65E87" w14:textId="77777777" w:rsidR="00236031" w:rsidRDefault="00236031" w:rsidP="00236031">
      <w:pPr>
        <w:rPr>
          <w:b/>
          <w:bCs/>
          <w:color w:val="000000" w:themeColor="text1"/>
        </w:rPr>
      </w:pPr>
    </w:p>
    <w:p w14:paraId="7455436C" w14:textId="77777777" w:rsidR="00236031" w:rsidRDefault="00236031" w:rsidP="00236031">
      <w:pPr>
        <w:rPr>
          <w:b/>
          <w:bCs/>
          <w:color w:val="000000" w:themeColor="text1"/>
        </w:rPr>
      </w:pPr>
    </w:p>
    <w:p w14:paraId="06087309" w14:textId="77777777" w:rsidR="00236031" w:rsidRDefault="00236031" w:rsidP="00236031">
      <w:pPr>
        <w:rPr>
          <w:b/>
          <w:bCs/>
          <w:color w:val="000000" w:themeColor="text1"/>
        </w:rPr>
      </w:pPr>
    </w:p>
    <w:p w14:paraId="0D31C9DC" w14:textId="77777777" w:rsidR="00236031" w:rsidRDefault="00236031" w:rsidP="00236031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A19A921" w14:textId="77777777" w:rsidR="00236031" w:rsidRDefault="00236031" w:rsidP="00236031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557A3745" w14:textId="77777777" w:rsidR="00236031" w:rsidRDefault="00236031" w:rsidP="00236031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CA73B91" w14:textId="77777777" w:rsidR="00236031" w:rsidRDefault="00236031" w:rsidP="00236031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6A4F9ED" w14:textId="77777777" w:rsidR="00236031" w:rsidRDefault="00236031" w:rsidP="00236031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214C12E" w14:textId="77777777" w:rsidR="00236031" w:rsidRDefault="00236031" w:rsidP="00236031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3143D183" w14:textId="77777777" w:rsidR="00236031" w:rsidRDefault="00236031" w:rsidP="00236031">
      <w:pPr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D25CFC1" wp14:editId="5EA015E0">
            <wp:extent cx="5943600" cy="2856322"/>
            <wp:effectExtent l="0" t="0" r="0" b="1270"/>
            <wp:docPr id="3957980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798011" name="Picture 39579801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56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9533A" w14:textId="77777777" w:rsidR="00236031" w:rsidRPr="00EE0C56" w:rsidRDefault="00236031" w:rsidP="00236031">
      <w:pPr>
        <w:jc w:val="both"/>
        <w:rPr>
          <w:rFonts w:ascii="Arial" w:hAnsi="Arial" w:cs="Arial"/>
          <w:sz w:val="22"/>
          <w:szCs w:val="22"/>
        </w:rPr>
      </w:pPr>
      <w:r w:rsidRPr="00EE0C56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Extended Data Figure 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3</w:t>
      </w:r>
      <w:r w:rsidRPr="00EE0C56">
        <w:rPr>
          <w:rFonts w:ascii="Arial" w:hAnsi="Arial" w:cs="Arial"/>
          <w:b/>
          <w:bCs/>
          <w:color w:val="000000" w:themeColor="text1"/>
          <w:sz w:val="22"/>
          <w:szCs w:val="22"/>
        </w:rPr>
        <w:t>. Representative Images of the CA3 and CTX levels of MC1 tau in PS19 control and STM2457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-</w:t>
      </w:r>
      <w:r w:rsidRPr="00EE0C56">
        <w:rPr>
          <w:rFonts w:ascii="Arial" w:hAnsi="Arial" w:cs="Arial"/>
          <w:b/>
          <w:bCs/>
          <w:color w:val="000000" w:themeColor="text1"/>
          <w:sz w:val="22"/>
          <w:szCs w:val="22"/>
        </w:rPr>
        <w:t>treated mice, related to Figure 5.</w:t>
      </w:r>
      <w:r>
        <w:rPr>
          <w:rFonts w:ascii="Arial" w:hAnsi="Arial" w:cs="Arial"/>
          <w:noProof/>
          <w:sz w:val="22"/>
          <w:szCs w:val="22"/>
        </w:rPr>
        <w:t xml:space="preserve"> </w:t>
      </w:r>
      <w:r w:rsidRPr="00EE0C56">
        <w:rPr>
          <w:rFonts w:ascii="Arial" w:hAnsi="Arial" w:cs="Arial"/>
          <w:b/>
          <w:bCs/>
          <w:sz w:val="22"/>
          <w:szCs w:val="22"/>
        </w:rPr>
        <w:t>(a)</w:t>
      </w:r>
      <w:r w:rsidRPr="00EE0C56">
        <w:rPr>
          <w:rFonts w:ascii="Arial" w:hAnsi="Arial" w:cs="Arial"/>
          <w:sz w:val="22"/>
          <w:szCs w:val="22"/>
        </w:rPr>
        <w:t>, Representative immunofluorescence images of the CA3 of WT and PS19 control and STM2457</w:t>
      </w:r>
      <w:r>
        <w:rPr>
          <w:rFonts w:ascii="Arial" w:hAnsi="Arial" w:cs="Arial"/>
          <w:sz w:val="22"/>
          <w:szCs w:val="22"/>
        </w:rPr>
        <w:t>-</w:t>
      </w:r>
      <w:r w:rsidRPr="00EE0C56">
        <w:rPr>
          <w:rFonts w:ascii="Arial" w:hAnsi="Arial" w:cs="Arial"/>
          <w:sz w:val="22"/>
          <w:szCs w:val="22"/>
        </w:rPr>
        <w:t xml:space="preserve">treated mice with dsDNA stain DAPI (cyan), MC1 misfolded tau (green), and </w:t>
      </w:r>
      <w:r w:rsidRPr="00EE0C56">
        <w:rPr>
          <w:rFonts w:ascii="Arial" w:hAnsi="Arial" w:cs="Arial"/>
          <w:color w:val="000000" w:themeColor="text1"/>
          <w:sz w:val="22"/>
          <w:szCs w:val="22"/>
        </w:rPr>
        <w:t>m</w:t>
      </w:r>
      <w:r w:rsidRPr="00EE0C56">
        <w:rPr>
          <w:rFonts w:ascii="Arial" w:hAnsi="Arial" w:cs="Arial"/>
          <w:color w:val="000000" w:themeColor="text1"/>
          <w:sz w:val="22"/>
          <w:szCs w:val="22"/>
          <w:vertAlign w:val="superscript"/>
        </w:rPr>
        <w:t>6</w:t>
      </w:r>
      <w:r w:rsidRPr="00EE0C56">
        <w:rPr>
          <w:rFonts w:ascii="Arial" w:hAnsi="Arial" w:cs="Arial"/>
          <w:color w:val="000000" w:themeColor="text1"/>
          <w:sz w:val="22"/>
          <w:szCs w:val="22"/>
        </w:rPr>
        <w:t>A</w:t>
      </w:r>
      <w:r w:rsidRPr="00EE0C56">
        <w:rPr>
          <w:rFonts w:ascii="Arial" w:hAnsi="Arial" w:cs="Arial"/>
          <w:sz w:val="22"/>
          <w:szCs w:val="22"/>
        </w:rPr>
        <w:t xml:space="preserve"> (red). Scale bar = 50µm. </w:t>
      </w:r>
      <w:r w:rsidRPr="00EE0C56">
        <w:rPr>
          <w:rFonts w:ascii="Arial" w:hAnsi="Arial" w:cs="Arial"/>
          <w:b/>
          <w:bCs/>
          <w:sz w:val="22"/>
          <w:szCs w:val="22"/>
        </w:rPr>
        <w:t>(b)</w:t>
      </w:r>
      <w:r w:rsidRPr="00EE0C56">
        <w:rPr>
          <w:rFonts w:ascii="Arial" w:hAnsi="Arial" w:cs="Arial"/>
          <w:sz w:val="22"/>
          <w:szCs w:val="22"/>
        </w:rPr>
        <w:t xml:space="preserve">, Representative immunofluorescence images of the CTX of WT and PS19 control and STM2457 </w:t>
      </w:r>
      <w:r>
        <w:rPr>
          <w:rFonts w:ascii="Arial" w:hAnsi="Arial" w:cs="Arial"/>
          <w:sz w:val="22"/>
          <w:szCs w:val="22"/>
        </w:rPr>
        <w:t>-</w:t>
      </w:r>
      <w:r w:rsidRPr="00EE0C56">
        <w:rPr>
          <w:rFonts w:ascii="Arial" w:hAnsi="Arial" w:cs="Arial"/>
          <w:sz w:val="22"/>
          <w:szCs w:val="22"/>
        </w:rPr>
        <w:t xml:space="preserve">treated mice with DAPI (cyan), MC1 misfolded tau (green), and </w:t>
      </w:r>
      <w:r w:rsidRPr="00EE0C56">
        <w:rPr>
          <w:rFonts w:ascii="Arial" w:hAnsi="Arial" w:cs="Arial"/>
          <w:color w:val="000000" w:themeColor="text1"/>
          <w:sz w:val="22"/>
          <w:szCs w:val="22"/>
        </w:rPr>
        <w:t>m</w:t>
      </w:r>
      <w:r w:rsidRPr="00EE0C56">
        <w:rPr>
          <w:rFonts w:ascii="Arial" w:hAnsi="Arial" w:cs="Arial"/>
          <w:color w:val="000000" w:themeColor="text1"/>
          <w:sz w:val="22"/>
          <w:szCs w:val="22"/>
          <w:vertAlign w:val="superscript"/>
        </w:rPr>
        <w:t>6</w:t>
      </w:r>
      <w:r w:rsidRPr="00EE0C56">
        <w:rPr>
          <w:rFonts w:ascii="Arial" w:hAnsi="Arial" w:cs="Arial"/>
          <w:color w:val="000000" w:themeColor="text1"/>
          <w:sz w:val="22"/>
          <w:szCs w:val="22"/>
        </w:rPr>
        <w:t>A</w:t>
      </w:r>
      <w:r w:rsidRPr="00EE0C56">
        <w:rPr>
          <w:rFonts w:ascii="Arial" w:hAnsi="Arial" w:cs="Arial"/>
          <w:sz w:val="22"/>
          <w:szCs w:val="22"/>
        </w:rPr>
        <w:t xml:space="preserve"> (red). Scale bar = 50µm.</w:t>
      </w:r>
      <w:r w:rsidRPr="00EE0C56">
        <w:rPr>
          <w:rFonts w:ascii="Arial" w:hAnsi="Arial" w:cs="Arial"/>
          <w:noProof/>
          <w:sz w:val="22"/>
          <w:szCs w:val="22"/>
        </w:rPr>
        <w:t xml:space="preserve"> </w:t>
      </w:r>
    </w:p>
    <w:p w14:paraId="738A9A3B" w14:textId="77777777" w:rsidR="00236031" w:rsidRPr="00523306" w:rsidRDefault="00236031" w:rsidP="00236031">
      <w:pPr>
        <w:spacing w:line="360" w:lineRule="auto"/>
        <w:jc w:val="both"/>
      </w:pPr>
    </w:p>
    <w:p w14:paraId="0EC5208A" w14:textId="77777777" w:rsidR="000D5DF4" w:rsidRDefault="000D5DF4" w:rsidP="00236031"/>
    <w:sectPr w:rsidR="000D5DF4" w:rsidSect="00811DBF">
      <w:footerReference w:type="even" r:id="rId9"/>
      <w:footerReference w:type="default" r:id="rId10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CA5738" w14:textId="77777777" w:rsidR="00F17B06" w:rsidRDefault="00F17B06">
      <w:r>
        <w:separator/>
      </w:r>
    </w:p>
  </w:endnote>
  <w:endnote w:type="continuationSeparator" w:id="0">
    <w:p w14:paraId="689D42D1" w14:textId="77777777" w:rsidR="00F17B06" w:rsidRDefault="00F17B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38710210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7F67F66" w14:textId="77777777" w:rsidR="00811DBF" w:rsidRDefault="00811DBF" w:rsidP="00A715F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16821AAA" w14:textId="77777777" w:rsidR="00811DBF" w:rsidRDefault="00811DBF" w:rsidP="00A3556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33506978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1DDD3C3" w14:textId="77777777" w:rsidR="00811DBF" w:rsidRDefault="00811DBF" w:rsidP="00A715F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28</w:t>
        </w:r>
        <w:r>
          <w:rPr>
            <w:rStyle w:val="PageNumber"/>
          </w:rPr>
          <w:fldChar w:fldCharType="end"/>
        </w:r>
      </w:p>
    </w:sdtContent>
  </w:sdt>
  <w:p w14:paraId="7611BC13" w14:textId="77777777" w:rsidR="00811DBF" w:rsidRDefault="00811DBF" w:rsidP="00A3556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738E5C" w14:textId="77777777" w:rsidR="00F17B06" w:rsidRDefault="00F17B06">
      <w:r>
        <w:separator/>
      </w:r>
    </w:p>
  </w:footnote>
  <w:footnote w:type="continuationSeparator" w:id="0">
    <w:p w14:paraId="41977937" w14:textId="77777777" w:rsidR="00F17B06" w:rsidRDefault="00F17B0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6D68"/>
    <w:rsid w:val="00020C6B"/>
    <w:rsid w:val="000D5DF4"/>
    <w:rsid w:val="00236031"/>
    <w:rsid w:val="002369E0"/>
    <w:rsid w:val="003C0162"/>
    <w:rsid w:val="004313E5"/>
    <w:rsid w:val="004627D6"/>
    <w:rsid w:val="00640859"/>
    <w:rsid w:val="00654973"/>
    <w:rsid w:val="007D6D68"/>
    <w:rsid w:val="00811DBF"/>
    <w:rsid w:val="0085609B"/>
    <w:rsid w:val="008A779C"/>
    <w:rsid w:val="00A039A5"/>
    <w:rsid w:val="00AD3CBF"/>
    <w:rsid w:val="00B44B35"/>
    <w:rsid w:val="00BE43BB"/>
    <w:rsid w:val="00DA23B8"/>
    <w:rsid w:val="00EE1E18"/>
    <w:rsid w:val="00F17B06"/>
    <w:rsid w:val="00FE2900"/>
    <w:rsid w:val="082C909D"/>
    <w:rsid w:val="1958763B"/>
    <w:rsid w:val="42796652"/>
    <w:rsid w:val="6E28BB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D3622E"/>
  <w15:chartTrackingRefBased/>
  <w15:docId w15:val="{C78BA7C3-8402-4D5C-8A6D-1FDE698D32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1DBF"/>
    <w:pPr>
      <w:spacing w:after="0" w:line="240" w:lineRule="auto"/>
    </w:pPr>
    <w:rPr>
      <w:rFonts w:ascii="Times New Roman" w:eastAsia="Times New Roman" w:hAnsi="Times New Roman" w:cs="Times New Roman"/>
      <w:kern w:val="0"/>
      <w:lang w:eastAsia="en-US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D6D68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kern w:val="2"/>
      <w:sz w:val="40"/>
      <w:szCs w:val="40"/>
      <w:lang w:eastAsia="zh-CN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6D68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32"/>
      <w:lang w:eastAsia="zh-CN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6D68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2E74B5" w:themeColor="accent1" w:themeShade="BF"/>
      <w:kern w:val="2"/>
      <w:sz w:val="28"/>
      <w:szCs w:val="28"/>
      <w:lang w:eastAsia="zh-CN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6D68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  <w:kern w:val="2"/>
      <w:lang w:eastAsia="zh-CN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6D68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E74B5" w:themeColor="accent1" w:themeShade="BF"/>
      <w:kern w:val="2"/>
      <w:lang w:eastAsia="zh-CN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6D68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zh-CN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6D68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zh-CN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6D68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zh-CN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6D68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zh-CN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6D68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6D6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6D68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6D68"/>
    <w:rPr>
      <w:rFonts w:eastAsiaTheme="majorEastAsia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6D68"/>
    <w:rPr>
      <w:rFonts w:eastAsiaTheme="majorEastAsia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6D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6D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6D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6D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6D6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7D6D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6D68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zh-CN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7D6D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6D68"/>
    <w:pPr>
      <w:spacing w:before="160" w:after="160" w:line="278" w:lineRule="auto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kern w:val="2"/>
      <w:lang w:eastAsia="zh-CN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7D6D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6D68"/>
    <w:pPr>
      <w:spacing w:after="160" w:line="278" w:lineRule="auto"/>
      <w:ind w:left="720"/>
      <w:contextualSpacing/>
    </w:pPr>
    <w:rPr>
      <w:rFonts w:asciiTheme="minorHAnsi" w:eastAsiaTheme="minorEastAsia" w:hAnsiTheme="minorHAnsi" w:cstheme="minorBidi"/>
      <w:kern w:val="2"/>
      <w:lang w:eastAsia="zh-CN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7D6D68"/>
    <w:rPr>
      <w:i/>
      <w:iCs/>
      <w:color w:val="2E74B5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6D68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EastAsia" w:hAnsiTheme="minorHAnsi" w:cstheme="minorBidi"/>
      <w:i/>
      <w:iCs/>
      <w:color w:val="2E74B5" w:themeColor="accent1" w:themeShade="BF"/>
      <w:kern w:val="2"/>
      <w:lang w:eastAsia="zh-CN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6D68"/>
    <w:rPr>
      <w:i/>
      <w:iCs/>
      <w:color w:val="2E74B5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6D68"/>
    <w:rPr>
      <w:b/>
      <w:bCs/>
      <w:smallCaps/>
      <w:color w:val="2E74B5" w:themeColor="accent1" w:themeShade="BF"/>
      <w:spacing w:val="5"/>
    </w:rPr>
  </w:style>
  <w:style w:type="paragraph" w:styleId="Footer">
    <w:name w:val="footer"/>
    <w:basedOn w:val="Normal"/>
    <w:link w:val="FooterChar"/>
    <w:uiPriority w:val="99"/>
    <w:unhideWhenUsed/>
    <w:rsid w:val="00811DBF"/>
    <w:pPr>
      <w:tabs>
        <w:tab w:val="center" w:pos="4680"/>
        <w:tab w:val="right" w:pos="9360"/>
      </w:tabs>
    </w:pPr>
    <w:rPr>
      <w:rFonts w:ascii="Arial" w:eastAsia="Arial" w:hAnsi="Arial" w:cs="Arial"/>
      <w:sz w:val="22"/>
      <w:szCs w:val="22"/>
      <w:lang w:val="en"/>
    </w:rPr>
  </w:style>
  <w:style w:type="character" w:customStyle="1" w:styleId="FooterChar">
    <w:name w:val="Footer Char"/>
    <w:basedOn w:val="DefaultParagraphFont"/>
    <w:link w:val="Footer"/>
    <w:uiPriority w:val="99"/>
    <w:rsid w:val="00811DBF"/>
    <w:rPr>
      <w:rFonts w:ascii="Arial" w:eastAsia="Arial" w:hAnsi="Arial" w:cs="Arial"/>
      <w:kern w:val="0"/>
      <w:sz w:val="22"/>
      <w:szCs w:val="22"/>
      <w:lang w:val="en" w:eastAsia="en-US"/>
      <w14:ligatures w14:val="none"/>
    </w:rPr>
  </w:style>
  <w:style w:type="character" w:styleId="PageNumber">
    <w:name w:val="page number"/>
    <w:basedOn w:val="DefaultParagraphFont"/>
    <w:uiPriority w:val="99"/>
    <w:semiHidden/>
    <w:unhideWhenUsed/>
    <w:rsid w:val="00811DBF"/>
  </w:style>
  <w:style w:type="paragraph" w:styleId="Revision">
    <w:name w:val="Revision"/>
    <w:hidden/>
    <w:uiPriority w:val="99"/>
    <w:semiHidden/>
    <w:rsid w:val="004627D6"/>
    <w:pPr>
      <w:spacing w:after="0" w:line="240" w:lineRule="auto"/>
    </w:pPr>
    <w:rPr>
      <w:rFonts w:ascii="Times New Roman" w:eastAsia="Times New Roman" w:hAnsi="Times New Roman" w:cs="Times New Roman"/>
      <w:kern w:val="0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466</Words>
  <Characters>2613</Characters>
  <Application>Microsoft Office Word</Application>
  <DocSecurity>0</DocSecurity>
  <Lines>47</Lines>
  <Paragraphs>18</Paragraphs>
  <ScaleCrop>false</ScaleCrop>
  <Company>University of Virginia School of Medicine</Company>
  <LinksUpToDate>false</LinksUpToDate>
  <CharactersWithSpaces>3061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Jiang, Lulu (wpm5vs)</dc:creator>
  <cp:keywords/>
  <dc:description/>
  <cp:lastModifiedBy>Jiang, Lulu (wpm5vs)</cp:lastModifiedBy>
  <cp:revision>10</cp:revision>
  <dcterms:created xsi:type="dcterms:W3CDTF">2025-12-02T21:32:00Z</dcterms:created>
  <dcterms:modified xsi:type="dcterms:W3CDTF">2025-12-16T19:24:00Z</dcterms:modified>
</cp:coreProperties>
</file>