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6CDBF" w14:textId="77777777" w:rsidR="009B2F3D" w:rsidRDefault="008D48D8">
      <w:r>
        <w:rPr>
          <w:noProof/>
          <w:lang w:eastAsia="de-DE"/>
        </w:rPr>
        <w:drawing>
          <wp:inline distT="0" distB="0" distL="0" distR="0" wp14:anchorId="09648592" wp14:editId="7064EFA1">
            <wp:extent cx="5760720" cy="3555365"/>
            <wp:effectExtent l="0" t="0" r="0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FD994" w14:textId="77777777" w:rsidR="008D48D8" w:rsidRDefault="008D48D8" w:rsidP="008D48D8">
      <w:pPr>
        <w:jc w:val="both"/>
        <w:rPr>
          <w:sz w:val="20"/>
          <w:szCs w:val="20"/>
          <w:lang w:val="en-GB"/>
        </w:rPr>
      </w:pPr>
      <w:r w:rsidRPr="001E31CD">
        <w:rPr>
          <w:b/>
          <w:sz w:val="20"/>
          <w:szCs w:val="20"/>
          <w:lang w:val="en-GB"/>
        </w:rPr>
        <w:t>Figure S1</w:t>
      </w:r>
      <w:r w:rsidRPr="00C052F4">
        <w:rPr>
          <w:sz w:val="20"/>
          <w:szCs w:val="20"/>
          <w:lang w:val="en-GB"/>
        </w:rPr>
        <w:t xml:space="preserve">: </w:t>
      </w:r>
      <w:r>
        <w:rPr>
          <w:sz w:val="20"/>
          <w:szCs w:val="20"/>
          <w:lang w:val="en-GB"/>
        </w:rPr>
        <w:t>D</w:t>
      </w:r>
      <w:r w:rsidRPr="00C052F4">
        <w:rPr>
          <w:sz w:val="20"/>
          <w:szCs w:val="20"/>
          <w:lang w:val="en-GB"/>
        </w:rPr>
        <w:t>etail of the structure of human A</w:t>
      </w:r>
      <w:r>
        <w:rPr>
          <w:sz w:val="20"/>
          <w:szCs w:val="20"/>
          <w:lang w:val="en-GB"/>
        </w:rPr>
        <w:t>GO</w:t>
      </w:r>
      <w:r w:rsidRPr="00C052F4">
        <w:rPr>
          <w:sz w:val="20"/>
          <w:szCs w:val="20"/>
          <w:lang w:val="en-GB"/>
        </w:rPr>
        <w:t xml:space="preserve">2 in a complex with guide and target RNAs. Loop 1 </w:t>
      </w:r>
      <w:r>
        <w:rPr>
          <w:sz w:val="20"/>
          <w:szCs w:val="20"/>
          <w:lang w:val="en-GB"/>
        </w:rPr>
        <w:t xml:space="preserve">of the PIWI domain (violet), which includes P602 and G604, </w:t>
      </w:r>
      <w:r w:rsidRPr="00C052F4">
        <w:rPr>
          <w:sz w:val="20"/>
          <w:szCs w:val="20"/>
          <w:lang w:val="en-GB"/>
        </w:rPr>
        <w:t>is shown in close contact with base #9 of the guide RNA (wheat; g9, which is Guanine).</w:t>
      </w:r>
      <w:r>
        <w:rPr>
          <w:sz w:val="20"/>
          <w:szCs w:val="20"/>
          <w:lang w:val="en-GB"/>
        </w:rPr>
        <w:t xml:space="preserve"> Bases of guide and target RNAs </w:t>
      </w:r>
      <w:proofErr w:type="gramStart"/>
      <w:r>
        <w:rPr>
          <w:sz w:val="20"/>
          <w:szCs w:val="20"/>
          <w:lang w:val="en-GB"/>
        </w:rPr>
        <w:t>are shown</w:t>
      </w:r>
      <w:proofErr w:type="gramEnd"/>
      <w:r>
        <w:rPr>
          <w:sz w:val="20"/>
          <w:szCs w:val="20"/>
          <w:lang w:val="en-GB"/>
        </w:rPr>
        <w:t xml:space="preserve"> as sticks only for clarity.</w:t>
      </w:r>
    </w:p>
    <w:p w14:paraId="6DDAB74A" w14:textId="77777777" w:rsidR="00A50224" w:rsidRDefault="00A50224" w:rsidP="008D48D8">
      <w:pPr>
        <w:jc w:val="both"/>
        <w:rPr>
          <w:sz w:val="20"/>
          <w:szCs w:val="20"/>
          <w:lang w:val="en-GB"/>
        </w:rPr>
      </w:pPr>
    </w:p>
    <w:p w14:paraId="7AB67862" w14:textId="77777777" w:rsidR="00A50224" w:rsidRDefault="00A50224" w:rsidP="008D48D8">
      <w:pPr>
        <w:jc w:val="both"/>
        <w:rPr>
          <w:sz w:val="20"/>
          <w:szCs w:val="20"/>
          <w:lang w:val="en-GB"/>
        </w:rPr>
      </w:pPr>
      <w:r>
        <w:rPr>
          <w:noProof/>
          <w:sz w:val="20"/>
          <w:szCs w:val="20"/>
          <w:lang w:eastAsia="de-DE"/>
        </w:rPr>
        <w:drawing>
          <wp:inline distT="0" distB="0" distL="0" distR="0" wp14:anchorId="6B49D92A" wp14:editId="0B1D0CD5">
            <wp:extent cx="4041648" cy="2621280"/>
            <wp:effectExtent l="0" t="0" r="0" b="762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S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648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53406" w14:textId="77777777" w:rsidR="00A50224" w:rsidRDefault="00A50224" w:rsidP="008D48D8">
      <w:pPr>
        <w:jc w:val="both"/>
        <w:rPr>
          <w:sz w:val="20"/>
          <w:szCs w:val="20"/>
          <w:lang w:val="en-GB"/>
        </w:rPr>
      </w:pPr>
    </w:p>
    <w:p w14:paraId="25199DBA" w14:textId="3EF3DC35" w:rsidR="00A50224" w:rsidRPr="002E3D1E" w:rsidRDefault="00A50224" w:rsidP="00572009">
      <w:pPr>
        <w:jc w:val="both"/>
        <w:rPr>
          <w:sz w:val="20"/>
          <w:szCs w:val="20"/>
          <w:lang w:val="en-GB"/>
        </w:rPr>
      </w:pPr>
      <w:r w:rsidRPr="00A619AD">
        <w:rPr>
          <w:b/>
          <w:sz w:val="20"/>
          <w:szCs w:val="20"/>
          <w:lang w:val="en-GB"/>
        </w:rPr>
        <w:t>Figure S2</w:t>
      </w:r>
      <w:r>
        <w:rPr>
          <w:sz w:val="20"/>
          <w:szCs w:val="20"/>
          <w:lang w:val="en-GB"/>
        </w:rPr>
        <w:t xml:space="preserve">: </w:t>
      </w:r>
      <w:r w:rsidRPr="002E3D1E">
        <w:rPr>
          <w:sz w:val="20"/>
          <w:szCs w:val="20"/>
          <w:lang w:val="en-GB"/>
        </w:rPr>
        <w:t xml:space="preserve">The duplex of guide RNA (wheat/yellow) and target mRNA (red) </w:t>
      </w:r>
      <w:proofErr w:type="gramStart"/>
      <w:r w:rsidRPr="002E3D1E">
        <w:rPr>
          <w:sz w:val="20"/>
          <w:szCs w:val="20"/>
          <w:lang w:val="en-GB"/>
        </w:rPr>
        <w:t>is shown</w:t>
      </w:r>
      <w:proofErr w:type="gramEnd"/>
      <w:r w:rsidRPr="002E3D1E">
        <w:rPr>
          <w:sz w:val="20"/>
          <w:szCs w:val="20"/>
          <w:lang w:val="en-GB"/>
        </w:rPr>
        <w:t xml:space="preserve">. The g7 nucleotide </w:t>
      </w:r>
      <w:proofErr w:type="gramStart"/>
      <w:r w:rsidRPr="002E3D1E">
        <w:rPr>
          <w:sz w:val="20"/>
          <w:szCs w:val="20"/>
          <w:lang w:val="en-GB"/>
        </w:rPr>
        <w:t>is highlighted</w:t>
      </w:r>
      <w:proofErr w:type="gramEnd"/>
      <w:r w:rsidRPr="002E3D1E">
        <w:rPr>
          <w:sz w:val="20"/>
          <w:szCs w:val="20"/>
          <w:lang w:val="en-GB"/>
        </w:rPr>
        <w:t xml:space="preserve"> in yellow. The PIWI domain of A</w:t>
      </w:r>
      <w:r>
        <w:rPr>
          <w:sz w:val="20"/>
          <w:szCs w:val="20"/>
          <w:lang w:val="en-GB"/>
        </w:rPr>
        <w:t>GO</w:t>
      </w:r>
      <w:r w:rsidRPr="002E3D1E">
        <w:rPr>
          <w:sz w:val="20"/>
          <w:szCs w:val="20"/>
          <w:lang w:val="en-GB"/>
        </w:rPr>
        <w:t>2 is shown in violet; residues found alter</w:t>
      </w:r>
      <w:r w:rsidR="00582E89">
        <w:rPr>
          <w:sz w:val="20"/>
          <w:szCs w:val="20"/>
          <w:lang w:val="en-GB"/>
        </w:rPr>
        <w:t xml:space="preserve">ed in this study (in variants R714W, N729H, </w:t>
      </w:r>
      <w:r w:rsidRPr="002E3D1E">
        <w:rPr>
          <w:sz w:val="20"/>
          <w:szCs w:val="20"/>
          <w:lang w:val="en-GB"/>
        </w:rPr>
        <w:t>G758E</w:t>
      </w:r>
      <w:r w:rsidR="00582E89">
        <w:rPr>
          <w:sz w:val="20"/>
          <w:szCs w:val="20"/>
          <w:lang w:val="en-GB"/>
        </w:rPr>
        <w:t>, R761W</w:t>
      </w:r>
      <w:r w:rsidRPr="002E3D1E">
        <w:rPr>
          <w:sz w:val="20"/>
          <w:szCs w:val="20"/>
          <w:lang w:val="en-GB"/>
        </w:rPr>
        <w:t>) are indicated in white, with side chains coloured according to the elements. These residues are positioned on two loops (termed loop 3</w:t>
      </w:r>
      <w:r w:rsidRPr="002E3D1E">
        <w:rPr>
          <w:sz w:val="20"/>
          <w:szCs w:val="20"/>
          <w:vertAlign w:val="subscript"/>
          <w:lang w:val="en-GB"/>
        </w:rPr>
        <w:t>1</w:t>
      </w:r>
      <w:r w:rsidRPr="002E3D1E">
        <w:rPr>
          <w:sz w:val="20"/>
          <w:szCs w:val="20"/>
          <w:lang w:val="en-GB"/>
        </w:rPr>
        <w:t xml:space="preserve"> and loop</w:t>
      </w:r>
      <w:r>
        <w:rPr>
          <w:sz w:val="20"/>
          <w:szCs w:val="20"/>
          <w:lang w:val="en-GB"/>
        </w:rPr>
        <w:t xml:space="preserve"> </w:t>
      </w:r>
      <w:r w:rsidRPr="002E3D1E">
        <w:rPr>
          <w:sz w:val="20"/>
          <w:szCs w:val="20"/>
          <w:lang w:val="en-GB"/>
        </w:rPr>
        <w:t>3</w:t>
      </w:r>
      <w:r w:rsidRPr="002E3D1E">
        <w:rPr>
          <w:sz w:val="20"/>
          <w:szCs w:val="20"/>
          <w:vertAlign w:val="subscript"/>
          <w:lang w:val="en-GB"/>
        </w:rPr>
        <w:t>2</w:t>
      </w:r>
      <w:r w:rsidRPr="002E3D1E">
        <w:rPr>
          <w:sz w:val="20"/>
          <w:szCs w:val="20"/>
          <w:lang w:val="en-GB"/>
        </w:rPr>
        <w:t xml:space="preserve"> by Nakanishi </w:t>
      </w:r>
      <w:r w:rsidRPr="002E3D1E">
        <w:rPr>
          <w:sz w:val="20"/>
          <w:szCs w:val="20"/>
          <w:lang w:val="en-GB"/>
        </w:rPr>
        <w:fldChar w:fldCharType="begin"/>
      </w:r>
      <w:r w:rsidR="00EB3296">
        <w:rPr>
          <w:sz w:val="20"/>
          <w:szCs w:val="20"/>
          <w:lang w:val="en-GB"/>
        </w:rPr>
        <w:instrText xml:space="preserve"> ADDIN EN.CITE &lt;EndNote&gt;&lt;Cite&gt;&lt;Author&gt;Nakanishi&lt;/Author&gt;&lt;Year&gt;2022&lt;/Year&gt;&lt;RecNum&gt;488&lt;/RecNum&gt;&lt;DisplayText&gt;(1)&lt;/DisplayText&gt;&lt;record&gt;&lt;rec-number&gt;488&lt;/rec-number&gt;&lt;foreign-keys&gt;&lt;key app="EN" db-id="tvvvppsw3pwrdve5revpvvrksdzxdzaa0d2a" timestamp="1713180661"&gt;488&lt;/key&gt;&lt;/foreign-keys&gt;&lt;ref-type name="Journal Article"&gt;17&lt;/ref-type&gt;&lt;contributors&gt;&lt;authors&gt;&lt;author&gt;Nakanishi, K.&lt;/author&gt;&lt;/authors&gt;&lt;/contributors&gt;&lt;auth-address&gt;Department of Chemistry and Biochemistry, The Ohio State University, Columbus, OH 43210, USA.&amp;#xD;Center for RNA Biology, Columbus, OH 43210, USA.&lt;/auth-address&gt;&lt;titles&gt;&lt;title&gt;Anatomy of four human Argonaute proteins&lt;/title&gt;&lt;secondary-title&gt;Nucleic Acids Res&lt;/secondary-title&gt;&lt;/titles&gt;&lt;periodical&gt;&lt;full-title&gt;Nucleic Acids Res&lt;/full-title&gt;&lt;/periodical&gt;&lt;pages&gt;6618-6638&lt;/pages&gt;&lt;volume&gt;50&lt;/volume&gt;&lt;number&gt;12&lt;/number&gt;&lt;keywords&gt;&lt;keyword&gt;Humans&lt;/keyword&gt;&lt;keyword&gt;*Argonaute Proteins/genetics&lt;/keyword&gt;&lt;/keywords&gt;&lt;dates&gt;&lt;year&gt;2022&lt;/year&gt;&lt;pub-dates&gt;&lt;date&gt;Jul 8&lt;/date&gt;&lt;/pub-dates&gt;&lt;/dates&gt;&lt;isbn&gt;1362-4962 (Electronic)&amp;#xD;0305-1048 (Print)&amp;#xD;0305-1048 (Linking)&lt;/isbn&gt;&lt;accession-num&gt;35736234&lt;/accession-num&gt;&lt;urls&gt;&lt;related-urls&gt;&lt;url&gt;https://www.ncbi.nlm.nih.gov/pubmed/35736234&lt;/url&gt;&lt;/related-urls&gt;&lt;/urls&gt;&lt;custom2&gt;PMC9262622&lt;/custom2&gt;&lt;electronic-resource-num&gt;10.1093/nar/gkac519&lt;/electronic-resource-num&gt;&lt;remote-database-name&gt;Medline&lt;/remote-database-name&gt;&lt;remote-database-provider&gt;NLM&lt;/remote-database-provider&gt;&lt;/record&gt;&lt;/Cite&gt;&lt;/EndNote&gt;</w:instrText>
      </w:r>
      <w:r w:rsidRPr="002E3D1E">
        <w:rPr>
          <w:sz w:val="20"/>
          <w:szCs w:val="20"/>
          <w:lang w:val="en-GB"/>
        </w:rPr>
        <w:fldChar w:fldCharType="separate"/>
      </w:r>
      <w:r w:rsidR="00EB3296">
        <w:rPr>
          <w:noProof/>
          <w:sz w:val="20"/>
          <w:szCs w:val="20"/>
          <w:lang w:val="en-GB"/>
        </w:rPr>
        <w:t>(1)</w:t>
      </w:r>
      <w:r w:rsidRPr="002E3D1E">
        <w:rPr>
          <w:sz w:val="20"/>
          <w:szCs w:val="20"/>
          <w:lang w:val="en-GB"/>
        </w:rPr>
        <w:fldChar w:fldCharType="end"/>
      </w:r>
      <w:r w:rsidRPr="002E3D1E">
        <w:rPr>
          <w:sz w:val="20"/>
          <w:szCs w:val="20"/>
          <w:lang w:val="en-GB"/>
        </w:rPr>
        <w:t xml:space="preserve">) making extensive contacts to both RNA molecules. </w:t>
      </w:r>
      <w:proofErr w:type="gramStart"/>
      <w:r w:rsidRPr="002E3D1E">
        <w:rPr>
          <w:sz w:val="20"/>
          <w:szCs w:val="20"/>
          <w:lang w:val="en-GB"/>
        </w:rPr>
        <w:t xml:space="preserve">Note that the positively charged side chain of R714 (altered to </w:t>
      </w:r>
      <w:proofErr w:type="spellStart"/>
      <w:r w:rsidRPr="002E3D1E">
        <w:rPr>
          <w:sz w:val="20"/>
          <w:szCs w:val="20"/>
          <w:lang w:val="en-GB"/>
        </w:rPr>
        <w:t>W in</w:t>
      </w:r>
      <w:proofErr w:type="spellEnd"/>
      <w:r w:rsidRPr="002E3D1E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individuals</w:t>
      </w:r>
      <w:r w:rsidRPr="002E3D1E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33 and 34</w:t>
      </w:r>
      <w:r w:rsidRPr="002E3D1E">
        <w:rPr>
          <w:sz w:val="20"/>
          <w:szCs w:val="20"/>
          <w:lang w:val="en-GB"/>
        </w:rPr>
        <w:t xml:space="preserve">) directly contacts the phosphate group of nucleotide g7; N729 (altered to H in </w:t>
      </w:r>
      <w:r>
        <w:rPr>
          <w:sz w:val="20"/>
          <w:szCs w:val="20"/>
          <w:lang w:val="en-GB"/>
        </w:rPr>
        <w:t>individual 35</w:t>
      </w:r>
      <w:r w:rsidRPr="002E3D1E">
        <w:rPr>
          <w:sz w:val="20"/>
          <w:szCs w:val="20"/>
          <w:lang w:val="en-GB"/>
        </w:rPr>
        <w:t>) stabilizes the position of loop 3</w:t>
      </w:r>
      <w:r w:rsidRPr="002E3D1E">
        <w:rPr>
          <w:sz w:val="20"/>
          <w:szCs w:val="20"/>
          <w:vertAlign w:val="subscript"/>
          <w:lang w:val="en-GB"/>
        </w:rPr>
        <w:t>2</w:t>
      </w:r>
      <w:r w:rsidRPr="002E3D1E">
        <w:rPr>
          <w:sz w:val="20"/>
          <w:szCs w:val="20"/>
          <w:lang w:val="en-GB"/>
        </w:rPr>
        <w:t xml:space="preserve">; and the substitution of small G758 to the large, negatively charged </w:t>
      </w:r>
      <w:proofErr w:type="spellStart"/>
      <w:r w:rsidRPr="002E3D1E">
        <w:rPr>
          <w:sz w:val="20"/>
          <w:szCs w:val="20"/>
          <w:lang w:val="en-GB"/>
        </w:rPr>
        <w:t>Glu</w:t>
      </w:r>
      <w:proofErr w:type="spellEnd"/>
      <w:r w:rsidRPr="002E3D1E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(</w:t>
      </w:r>
      <w:r w:rsidRPr="002E3D1E">
        <w:rPr>
          <w:sz w:val="20"/>
          <w:szCs w:val="20"/>
          <w:lang w:val="en-GB"/>
        </w:rPr>
        <w:t xml:space="preserve">observed in </w:t>
      </w:r>
      <w:r>
        <w:rPr>
          <w:sz w:val="20"/>
          <w:szCs w:val="20"/>
          <w:lang w:val="en-GB"/>
        </w:rPr>
        <w:t xml:space="preserve">individual 36) </w:t>
      </w:r>
      <w:r w:rsidRPr="002E3D1E">
        <w:rPr>
          <w:sz w:val="20"/>
          <w:szCs w:val="20"/>
          <w:lang w:val="en-GB"/>
        </w:rPr>
        <w:t>appears to be incompatible with its position close to the target mRNA.</w:t>
      </w:r>
      <w:proofErr w:type="gramEnd"/>
    </w:p>
    <w:p w14:paraId="62C4B05A" w14:textId="3E847151" w:rsidR="00A50224" w:rsidRDefault="006319E4" w:rsidP="008D48D8">
      <w:pPr>
        <w:jc w:val="both"/>
        <w:rPr>
          <w:sz w:val="20"/>
          <w:szCs w:val="20"/>
          <w:lang w:val="en-GB"/>
        </w:rPr>
      </w:pPr>
      <w:r>
        <w:rPr>
          <w:noProof/>
          <w:sz w:val="20"/>
          <w:szCs w:val="20"/>
          <w:lang w:eastAsia="de-DE"/>
        </w:rPr>
        <w:lastRenderedPageBreak/>
        <w:drawing>
          <wp:inline distT="0" distB="0" distL="0" distR="0" wp14:anchorId="79FC17D3" wp14:editId="1B222381">
            <wp:extent cx="5236464" cy="3913632"/>
            <wp:effectExtent l="0" t="0" r="254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S3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464" cy="391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77919" w14:textId="40F78B46" w:rsidR="000711BE" w:rsidRDefault="000711BE" w:rsidP="000711BE">
      <w:pPr>
        <w:rPr>
          <w:sz w:val="20"/>
          <w:szCs w:val="20"/>
          <w:lang w:val="en-GB"/>
        </w:rPr>
      </w:pPr>
      <w:r w:rsidRPr="002E3D1E">
        <w:rPr>
          <w:b/>
          <w:sz w:val="20"/>
          <w:szCs w:val="20"/>
          <w:lang w:val="en-GB"/>
        </w:rPr>
        <w:t>Figure</w:t>
      </w:r>
      <w:r>
        <w:rPr>
          <w:b/>
          <w:sz w:val="20"/>
          <w:szCs w:val="20"/>
          <w:lang w:val="en-GB"/>
        </w:rPr>
        <w:t xml:space="preserve"> S3</w:t>
      </w:r>
      <w:r w:rsidRPr="002E3D1E">
        <w:rPr>
          <w:b/>
          <w:sz w:val="20"/>
          <w:szCs w:val="20"/>
          <w:lang w:val="en-GB"/>
        </w:rPr>
        <w:t>:</w:t>
      </w:r>
      <w:r w:rsidRPr="002E3D1E">
        <w:rPr>
          <w:sz w:val="20"/>
          <w:szCs w:val="20"/>
          <w:lang w:val="en-GB"/>
        </w:rPr>
        <w:t xml:space="preserve"> Another view of the PIWI domain of A</w:t>
      </w:r>
      <w:r>
        <w:rPr>
          <w:sz w:val="20"/>
          <w:szCs w:val="20"/>
          <w:lang w:val="en-GB"/>
        </w:rPr>
        <w:t>GO</w:t>
      </w:r>
      <w:r w:rsidRPr="002E3D1E">
        <w:rPr>
          <w:sz w:val="20"/>
          <w:szCs w:val="20"/>
          <w:lang w:val="en-GB"/>
        </w:rPr>
        <w:t xml:space="preserve">2 (violet) in complex with the guide RNA (wheat)/target mRNA (red) duplex. Residues R792 (altered to H in </w:t>
      </w:r>
      <w:r>
        <w:rPr>
          <w:sz w:val="20"/>
          <w:szCs w:val="20"/>
          <w:lang w:val="en-GB"/>
        </w:rPr>
        <w:t>individual 40</w:t>
      </w:r>
      <w:r w:rsidRPr="002E3D1E">
        <w:rPr>
          <w:sz w:val="20"/>
          <w:szCs w:val="20"/>
          <w:lang w:val="en-GB"/>
        </w:rPr>
        <w:t xml:space="preserve">) and </w:t>
      </w:r>
      <w:r>
        <w:rPr>
          <w:sz w:val="20"/>
          <w:szCs w:val="20"/>
          <w:lang w:val="en-GB"/>
        </w:rPr>
        <w:t>R795</w:t>
      </w:r>
      <w:r w:rsidRPr="002E3D1E">
        <w:rPr>
          <w:sz w:val="20"/>
          <w:szCs w:val="20"/>
          <w:lang w:val="en-GB"/>
        </w:rPr>
        <w:t xml:space="preserve"> (changed to </w:t>
      </w:r>
      <w:r>
        <w:rPr>
          <w:sz w:val="20"/>
          <w:szCs w:val="20"/>
          <w:lang w:val="en-GB"/>
        </w:rPr>
        <w:t>C in patient 41</w:t>
      </w:r>
      <w:r w:rsidRPr="002E3D1E">
        <w:rPr>
          <w:sz w:val="20"/>
          <w:szCs w:val="20"/>
          <w:lang w:val="en-GB"/>
        </w:rPr>
        <w:t xml:space="preserve">) are located on loop </w:t>
      </w:r>
      <w:proofErr w:type="gramStart"/>
      <w:r w:rsidRPr="002E3D1E">
        <w:rPr>
          <w:sz w:val="20"/>
          <w:szCs w:val="20"/>
          <w:lang w:val="en-GB"/>
        </w:rPr>
        <w:t>4 which</w:t>
      </w:r>
      <w:proofErr w:type="gramEnd"/>
      <w:r w:rsidRPr="002E3D1E">
        <w:rPr>
          <w:sz w:val="20"/>
          <w:szCs w:val="20"/>
          <w:lang w:val="en-GB"/>
        </w:rPr>
        <w:t xml:space="preserve"> makes</w:t>
      </w:r>
      <w:bookmarkStart w:id="0" w:name="_GoBack"/>
      <w:bookmarkEnd w:id="0"/>
      <w:r w:rsidRPr="002E3D1E">
        <w:rPr>
          <w:sz w:val="20"/>
          <w:szCs w:val="20"/>
          <w:lang w:val="en-GB"/>
        </w:rPr>
        <w:t xml:space="preserve"> extensive contacts to the guide RNA, thereby helping to shape the seed region of the guide. A801 (mutated to V in </w:t>
      </w:r>
      <w:r>
        <w:rPr>
          <w:sz w:val="20"/>
          <w:szCs w:val="20"/>
          <w:lang w:val="en-GB"/>
        </w:rPr>
        <w:t>individual 42</w:t>
      </w:r>
      <w:r w:rsidRPr="002E3D1E">
        <w:rPr>
          <w:sz w:val="20"/>
          <w:szCs w:val="20"/>
          <w:lang w:val="en-GB"/>
        </w:rPr>
        <w:t xml:space="preserve">) marks the transition between loop4 and the following </w:t>
      </w:r>
      <w:r w:rsidRPr="002E3D1E">
        <w:rPr>
          <w:rFonts w:cstheme="minorHAnsi"/>
          <w:sz w:val="20"/>
          <w:szCs w:val="20"/>
          <w:lang w:val="en-GB"/>
        </w:rPr>
        <w:t>α</w:t>
      </w:r>
      <w:r w:rsidRPr="002E3D1E">
        <w:rPr>
          <w:sz w:val="20"/>
          <w:szCs w:val="20"/>
          <w:lang w:val="en-GB"/>
        </w:rPr>
        <w:t>-helix</w:t>
      </w:r>
      <w:r>
        <w:rPr>
          <w:sz w:val="20"/>
          <w:szCs w:val="20"/>
          <w:lang w:val="en-GB"/>
        </w:rPr>
        <w:t>, which carries R812 (changed to Q in patient 43)</w:t>
      </w:r>
      <w:r w:rsidRPr="002E3D1E">
        <w:rPr>
          <w:sz w:val="20"/>
          <w:szCs w:val="20"/>
          <w:lang w:val="en-GB"/>
        </w:rPr>
        <w:t>.</w:t>
      </w:r>
    </w:p>
    <w:p w14:paraId="73A6C542" w14:textId="5FEA6418" w:rsidR="002B1DD6" w:rsidRDefault="002B1DD6" w:rsidP="000711BE">
      <w:pPr>
        <w:rPr>
          <w:sz w:val="20"/>
          <w:szCs w:val="20"/>
          <w:lang w:val="en-GB"/>
        </w:rPr>
      </w:pPr>
    </w:p>
    <w:p w14:paraId="3E0ED4F2" w14:textId="546E746E" w:rsidR="002B1DD6" w:rsidRDefault="002B1DD6" w:rsidP="000711BE">
      <w:pPr>
        <w:rPr>
          <w:sz w:val="20"/>
          <w:szCs w:val="20"/>
          <w:lang w:val="en-GB"/>
        </w:rPr>
      </w:pPr>
      <w:r>
        <w:rPr>
          <w:noProof/>
          <w:sz w:val="20"/>
          <w:szCs w:val="20"/>
          <w:lang w:eastAsia="de-DE"/>
        </w:rPr>
        <w:lastRenderedPageBreak/>
        <w:drawing>
          <wp:inline distT="0" distB="0" distL="0" distR="0" wp14:anchorId="6CAFFB52" wp14:editId="287699BD">
            <wp:extent cx="3846576" cy="8924544"/>
            <wp:effectExtent l="0" t="0" r="190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4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6576" cy="892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58C02" w14:textId="35771E5F" w:rsidR="00151F27" w:rsidRDefault="00151F27" w:rsidP="007626F7">
      <w:pPr>
        <w:jc w:val="both"/>
        <w:rPr>
          <w:sz w:val="20"/>
          <w:szCs w:val="20"/>
          <w:lang w:val="en-GB"/>
        </w:rPr>
      </w:pPr>
      <w:r w:rsidRPr="007626F7">
        <w:rPr>
          <w:b/>
          <w:sz w:val="20"/>
          <w:szCs w:val="20"/>
          <w:lang w:val="en-GB"/>
        </w:rPr>
        <w:lastRenderedPageBreak/>
        <w:t>Figure S</w:t>
      </w:r>
      <w:r w:rsidR="000A5AF7" w:rsidRPr="007626F7">
        <w:rPr>
          <w:b/>
          <w:sz w:val="20"/>
          <w:szCs w:val="20"/>
          <w:lang w:val="en-GB"/>
        </w:rPr>
        <w:t>4</w:t>
      </w:r>
      <w:r w:rsidRPr="007626F7">
        <w:rPr>
          <w:b/>
          <w:sz w:val="20"/>
          <w:szCs w:val="20"/>
          <w:lang w:val="en-GB"/>
        </w:rPr>
        <w:t>.</w:t>
      </w:r>
      <w:r w:rsidRPr="008C3085">
        <w:rPr>
          <w:sz w:val="20"/>
          <w:szCs w:val="20"/>
          <w:lang w:val="en-GB"/>
        </w:rPr>
        <w:t xml:space="preserve"> </w:t>
      </w:r>
      <w:r w:rsidR="007626F7" w:rsidRPr="009A754D">
        <w:rPr>
          <w:b/>
          <w:bCs/>
          <w:sz w:val="20"/>
          <w:szCs w:val="20"/>
          <w:lang w:val="en-GB"/>
        </w:rPr>
        <w:t>Cellular localisation of AGO2-mutants.</w:t>
      </w:r>
      <w:r w:rsidR="007626F7">
        <w:rPr>
          <w:sz w:val="20"/>
          <w:szCs w:val="20"/>
          <w:lang w:val="en-GB"/>
        </w:rPr>
        <w:t xml:space="preserve"> </w:t>
      </w:r>
      <w:r w:rsidRPr="008C3085">
        <w:rPr>
          <w:sz w:val="20"/>
          <w:szCs w:val="20"/>
          <w:lang w:val="en-GB"/>
        </w:rPr>
        <w:t xml:space="preserve">A. </w:t>
      </w:r>
      <w:r>
        <w:rPr>
          <w:sz w:val="20"/>
          <w:szCs w:val="20"/>
          <w:lang w:val="en-GB"/>
        </w:rPr>
        <w:t>HEK</w:t>
      </w:r>
      <w:r w:rsidRPr="008C3085">
        <w:rPr>
          <w:sz w:val="20"/>
          <w:szCs w:val="20"/>
          <w:lang w:val="en-GB"/>
        </w:rPr>
        <w:t>293T cells transfected with plasmids coding for GFP or GFP-tagged A</w:t>
      </w:r>
      <w:r>
        <w:rPr>
          <w:sz w:val="20"/>
          <w:szCs w:val="20"/>
          <w:lang w:val="en-GB"/>
        </w:rPr>
        <w:t>GO</w:t>
      </w:r>
      <w:r w:rsidRPr="008C3085">
        <w:rPr>
          <w:sz w:val="20"/>
          <w:szCs w:val="20"/>
          <w:lang w:val="en-GB"/>
        </w:rPr>
        <w:t xml:space="preserve">2-variants were fixed and stained for Dcp1a (magenta) and nuclear DNA (blue). Cells were analysed by confocal microscopy. </w:t>
      </w:r>
    </w:p>
    <w:p w14:paraId="3F753263" w14:textId="3847B851" w:rsidR="002B1DD6" w:rsidRPr="002E3D1E" w:rsidRDefault="002B1DD6" w:rsidP="000711BE">
      <w:pPr>
        <w:rPr>
          <w:sz w:val="20"/>
          <w:szCs w:val="20"/>
          <w:lang w:val="en-GB"/>
        </w:rPr>
      </w:pPr>
      <w:r>
        <w:rPr>
          <w:noProof/>
          <w:sz w:val="20"/>
          <w:szCs w:val="20"/>
          <w:lang w:eastAsia="de-DE"/>
        </w:rPr>
        <w:drawing>
          <wp:inline distT="0" distB="0" distL="0" distR="0" wp14:anchorId="3276D677" wp14:editId="37B43D1E">
            <wp:extent cx="5760720" cy="5768340"/>
            <wp:effectExtent l="0" t="0" r="0" b="381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S5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1ED1E" w14:textId="4223AB9F" w:rsidR="00B70508" w:rsidRDefault="002B1DD6" w:rsidP="00B70508">
      <w:pPr>
        <w:jc w:val="both"/>
        <w:rPr>
          <w:sz w:val="20"/>
          <w:szCs w:val="20"/>
          <w:lang w:val="en-GB"/>
        </w:rPr>
      </w:pPr>
      <w:r w:rsidRPr="00B70508">
        <w:rPr>
          <w:b/>
          <w:sz w:val="20"/>
          <w:szCs w:val="20"/>
          <w:lang w:val="en-GB"/>
        </w:rPr>
        <w:t>Figure S5.</w:t>
      </w:r>
      <w:r w:rsidR="00B70508" w:rsidRPr="00B70508">
        <w:rPr>
          <w:b/>
          <w:sz w:val="20"/>
          <w:szCs w:val="20"/>
          <w:lang w:val="en-GB"/>
        </w:rPr>
        <w:t xml:space="preserve"> A.</w:t>
      </w:r>
      <w:r w:rsidR="00B70508" w:rsidRPr="008C3085">
        <w:rPr>
          <w:sz w:val="20"/>
          <w:szCs w:val="20"/>
          <w:lang w:val="en-GB"/>
        </w:rPr>
        <w:t xml:space="preserve"> </w:t>
      </w:r>
      <w:r w:rsidR="00B70508">
        <w:rPr>
          <w:sz w:val="20"/>
          <w:szCs w:val="20"/>
          <w:lang w:val="en-GB"/>
        </w:rPr>
        <w:t>HEK</w:t>
      </w:r>
      <w:r w:rsidR="00B70508" w:rsidRPr="008C3085">
        <w:rPr>
          <w:sz w:val="20"/>
          <w:szCs w:val="20"/>
          <w:lang w:val="en-GB"/>
        </w:rPr>
        <w:t>293T cells transfected with plasmids coding for GFP or GFP-tagged A</w:t>
      </w:r>
      <w:r w:rsidR="00B70508">
        <w:rPr>
          <w:sz w:val="20"/>
          <w:szCs w:val="20"/>
          <w:lang w:val="en-GB"/>
        </w:rPr>
        <w:t>GO</w:t>
      </w:r>
      <w:r w:rsidR="00B70508" w:rsidRPr="008C3085">
        <w:rPr>
          <w:sz w:val="20"/>
          <w:szCs w:val="20"/>
          <w:lang w:val="en-GB"/>
        </w:rPr>
        <w:t xml:space="preserve">2-variants were fixed and stained for </w:t>
      </w:r>
      <w:r w:rsidR="00B70508">
        <w:rPr>
          <w:sz w:val="20"/>
          <w:szCs w:val="20"/>
          <w:lang w:val="en-GB"/>
        </w:rPr>
        <w:t>DDX6</w:t>
      </w:r>
      <w:r w:rsidR="00B70508" w:rsidRPr="008C3085">
        <w:rPr>
          <w:sz w:val="20"/>
          <w:szCs w:val="20"/>
          <w:lang w:val="en-GB"/>
        </w:rPr>
        <w:t xml:space="preserve"> (magenta) and nuclear DNA (blue). Cells were analysed by confocal microscopy. </w:t>
      </w:r>
      <w:r w:rsidR="00B70508" w:rsidRPr="00B70508">
        <w:rPr>
          <w:b/>
          <w:sz w:val="20"/>
          <w:szCs w:val="20"/>
          <w:lang w:val="en-GB"/>
        </w:rPr>
        <w:t>B, C.</w:t>
      </w:r>
      <w:r w:rsidR="00B70508" w:rsidRPr="008C3085">
        <w:rPr>
          <w:sz w:val="20"/>
          <w:szCs w:val="20"/>
          <w:lang w:val="en-GB"/>
        </w:rPr>
        <w:t xml:space="preserve"> Quantitative analysis of</w:t>
      </w:r>
      <w:r w:rsidR="00B70508">
        <w:rPr>
          <w:sz w:val="20"/>
          <w:szCs w:val="20"/>
          <w:lang w:val="en-GB"/>
        </w:rPr>
        <w:t xml:space="preserve"> the number of</w:t>
      </w:r>
      <w:r w:rsidR="00B70508" w:rsidRPr="008C3085">
        <w:rPr>
          <w:sz w:val="20"/>
          <w:szCs w:val="20"/>
          <w:lang w:val="en-GB"/>
        </w:rPr>
        <w:t xml:space="preserve"> GFP-A</w:t>
      </w:r>
      <w:r w:rsidR="00B70508">
        <w:rPr>
          <w:sz w:val="20"/>
          <w:szCs w:val="20"/>
          <w:lang w:val="en-GB"/>
        </w:rPr>
        <w:t>GO</w:t>
      </w:r>
      <w:r w:rsidR="00B70508" w:rsidRPr="008C3085">
        <w:rPr>
          <w:sz w:val="20"/>
          <w:szCs w:val="20"/>
          <w:lang w:val="en-GB"/>
        </w:rPr>
        <w:t>2</w:t>
      </w:r>
      <w:r w:rsidR="00B70508">
        <w:rPr>
          <w:sz w:val="20"/>
          <w:szCs w:val="20"/>
          <w:lang w:val="en-GB"/>
        </w:rPr>
        <w:t xml:space="preserve"> clusters (B) or DDX6</w:t>
      </w:r>
      <w:r w:rsidR="00B70508" w:rsidRPr="008C3085">
        <w:rPr>
          <w:sz w:val="20"/>
          <w:szCs w:val="20"/>
          <w:lang w:val="en-GB"/>
        </w:rPr>
        <w:t xml:space="preserve"> clusters</w:t>
      </w:r>
      <w:r w:rsidR="00B70508">
        <w:rPr>
          <w:sz w:val="20"/>
          <w:szCs w:val="20"/>
          <w:lang w:val="en-GB"/>
        </w:rPr>
        <w:t xml:space="preserve"> (C) normalized to the number of </w:t>
      </w:r>
      <w:r w:rsidR="00B70508" w:rsidRPr="008C3085">
        <w:rPr>
          <w:sz w:val="20"/>
          <w:szCs w:val="20"/>
          <w:lang w:val="en-GB"/>
        </w:rPr>
        <w:t>transfected cells (C)</w:t>
      </w:r>
      <w:r w:rsidR="00B70508">
        <w:rPr>
          <w:sz w:val="20"/>
          <w:szCs w:val="20"/>
          <w:lang w:val="en-GB"/>
        </w:rPr>
        <w:t>. *,</w:t>
      </w:r>
      <w:r w:rsidR="00B70508" w:rsidRPr="008C3085">
        <w:rPr>
          <w:sz w:val="20"/>
          <w:szCs w:val="20"/>
          <w:lang w:val="en-GB"/>
        </w:rPr>
        <w:t xml:space="preserve"> significantly diff</w:t>
      </w:r>
      <w:r w:rsidR="00B70508" w:rsidRPr="003408AD">
        <w:rPr>
          <w:sz w:val="20"/>
          <w:szCs w:val="20"/>
          <w:lang w:val="en-GB"/>
        </w:rPr>
        <w:t>e</w:t>
      </w:r>
      <w:r w:rsidR="00B70508" w:rsidRPr="008C3085">
        <w:rPr>
          <w:sz w:val="20"/>
          <w:szCs w:val="20"/>
          <w:lang w:val="en-GB"/>
        </w:rPr>
        <w:t xml:space="preserve">rent from WT, p&lt;0.05, ANOVA, followed by </w:t>
      </w:r>
      <w:proofErr w:type="spellStart"/>
      <w:r w:rsidR="00B70508" w:rsidRPr="008C3085">
        <w:rPr>
          <w:sz w:val="20"/>
          <w:szCs w:val="20"/>
          <w:lang w:val="en-GB"/>
        </w:rPr>
        <w:t>Dunnett’s</w:t>
      </w:r>
      <w:proofErr w:type="spellEnd"/>
      <w:r w:rsidR="00B70508" w:rsidRPr="008C3085">
        <w:rPr>
          <w:sz w:val="20"/>
          <w:szCs w:val="20"/>
          <w:lang w:val="en-GB"/>
        </w:rPr>
        <w:t xml:space="preserve"> multiple comparisons test.</w:t>
      </w:r>
    </w:p>
    <w:p w14:paraId="2EAE46FC" w14:textId="0E126178" w:rsidR="001E31CD" w:rsidRDefault="001E31CD" w:rsidP="008D48D8">
      <w:pPr>
        <w:jc w:val="both"/>
        <w:rPr>
          <w:sz w:val="20"/>
          <w:szCs w:val="20"/>
          <w:lang w:val="en-GB"/>
        </w:rPr>
      </w:pPr>
    </w:p>
    <w:p w14:paraId="3581D8F7" w14:textId="516D4FCD" w:rsidR="002B1DD6" w:rsidRDefault="002B1DD6" w:rsidP="008D48D8">
      <w:pPr>
        <w:jc w:val="both"/>
        <w:rPr>
          <w:sz w:val="20"/>
          <w:szCs w:val="20"/>
          <w:lang w:val="en-GB"/>
        </w:rPr>
      </w:pPr>
    </w:p>
    <w:p w14:paraId="699B3DAB" w14:textId="398BD7D7" w:rsidR="002B1DD6" w:rsidRDefault="002B1DD6" w:rsidP="008D48D8">
      <w:pPr>
        <w:jc w:val="both"/>
        <w:rPr>
          <w:sz w:val="20"/>
          <w:szCs w:val="20"/>
          <w:lang w:val="en-GB"/>
        </w:rPr>
      </w:pPr>
      <w:r>
        <w:rPr>
          <w:noProof/>
          <w:sz w:val="20"/>
          <w:szCs w:val="20"/>
          <w:lang w:eastAsia="de-DE"/>
        </w:rPr>
        <w:lastRenderedPageBreak/>
        <w:drawing>
          <wp:inline distT="0" distB="0" distL="0" distR="0" wp14:anchorId="44E4217B" wp14:editId="5C993D4D">
            <wp:extent cx="5760720" cy="6409055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S6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0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38EE8" w14:textId="668C4135" w:rsidR="00544467" w:rsidRDefault="00544467" w:rsidP="00544467">
      <w:pPr>
        <w:jc w:val="both"/>
        <w:rPr>
          <w:sz w:val="20"/>
          <w:szCs w:val="20"/>
          <w:lang w:val="en-GB"/>
        </w:rPr>
      </w:pPr>
      <w:r w:rsidRPr="00544467">
        <w:rPr>
          <w:b/>
          <w:sz w:val="20"/>
          <w:szCs w:val="20"/>
          <w:lang w:val="en-GB"/>
        </w:rPr>
        <w:t>Figure S6. A.</w:t>
      </w:r>
      <w:r>
        <w:rPr>
          <w:sz w:val="20"/>
          <w:szCs w:val="20"/>
          <w:lang w:val="en-GB"/>
        </w:rPr>
        <w:t xml:space="preserve"> </w:t>
      </w:r>
      <w:r w:rsidRPr="00DE3ED9">
        <w:rPr>
          <w:sz w:val="20"/>
          <w:szCs w:val="20"/>
          <w:lang w:val="en-GB"/>
        </w:rPr>
        <w:t xml:space="preserve">Primary neurons expressing GFP-Ago2 variants </w:t>
      </w:r>
      <w:proofErr w:type="gramStart"/>
      <w:r w:rsidRPr="00DE3ED9">
        <w:rPr>
          <w:sz w:val="20"/>
          <w:szCs w:val="20"/>
          <w:lang w:val="en-GB"/>
        </w:rPr>
        <w:t>were fixed</w:t>
      </w:r>
      <w:proofErr w:type="gramEnd"/>
      <w:r w:rsidRPr="00DE3ED9">
        <w:rPr>
          <w:sz w:val="20"/>
          <w:szCs w:val="20"/>
          <w:lang w:val="en-GB"/>
        </w:rPr>
        <w:t xml:space="preserve"> and stained </w:t>
      </w:r>
      <w:r w:rsidR="00F93F5C">
        <w:rPr>
          <w:sz w:val="20"/>
          <w:szCs w:val="20"/>
          <w:lang w:val="en-GB"/>
        </w:rPr>
        <w:t>the dendritic marker MAP2, and the P-body marker Dcp1a.</w:t>
      </w:r>
      <w:r w:rsidRPr="00DE3ED9">
        <w:rPr>
          <w:sz w:val="20"/>
          <w:szCs w:val="20"/>
          <w:lang w:val="en-GB"/>
        </w:rPr>
        <w:t xml:space="preserve"> </w:t>
      </w:r>
      <w:r>
        <w:rPr>
          <w:b/>
          <w:sz w:val="20"/>
          <w:szCs w:val="20"/>
          <w:lang w:val="en-GB"/>
        </w:rPr>
        <w:t>B-D</w:t>
      </w:r>
      <w:r w:rsidRPr="00544467">
        <w:rPr>
          <w:b/>
          <w:sz w:val="20"/>
          <w:szCs w:val="20"/>
          <w:lang w:val="en-GB"/>
        </w:rPr>
        <w:t>:</w:t>
      </w:r>
      <w:r w:rsidRPr="00DE3ED9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 xml:space="preserve">Neuronal </w:t>
      </w:r>
      <w:proofErr w:type="spellStart"/>
      <w:r>
        <w:rPr>
          <w:sz w:val="20"/>
          <w:szCs w:val="20"/>
          <w:lang w:val="en-GB"/>
        </w:rPr>
        <w:t>somata</w:t>
      </w:r>
      <w:proofErr w:type="spellEnd"/>
      <w:r w:rsidRPr="00DE3ED9">
        <w:rPr>
          <w:sz w:val="20"/>
          <w:szCs w:val="20"/>
          <w:lang w:val="en-GB"/>
        </w:rPr>
        <w:t xml:space="preserve"> were analysed for the </w:t>
      </w:r>
      <w:r>
        <w:rPr>
          <w:sz w:val="20"/>
          <w:szCs w:val="20"/>
          <w:lang w:val="en-GB"/>
        </w:rPr>
        <w:t>number</w:t>
      </w:r>
      <w:r w:rsidRPr="00DE3ED9">
        <w:rPr>
          <w:sz w:val="20"/>
          <w:szCs w:val="20"/>
          <w:lang w:val="en-GB"/>
        </w:rPr>
        <w:t xml:space="preserve"> of Ago2 and Dcp1a clusters </w:t>
      </w:r>
      <w:r>
        <w:rPr>
          <w:sz w:val="20"/>
          <w:szCs w:val="20"/>
          <w:lang w:val="en-GB"/>
        </w:rPr>
        <w:t>per cell, and for the number of primary dendrites per cell.</w:t>
      </w:r>
      <w:r w:rsidRPr="00DE3ED9">
        <w:rPr>
          <w:sz w:val="20"/>
          <w:szCs w:val="20"/>
          <w:lang w:val="en-GB"/>
        </w:rPr>
        <w:t xml:space="preserve"> *</w:t>
      </w:r>
      <w:r>
        <w:rPr>
          <w:sz w:val="20"/>
          <w:szCs w:val="20"/>
          <w:lang w:val="en-GB"/>
        </w:rPr>
        <w:t>*</w:t>
      </w:r>
      <w:r w:rsidRPr="00DE3ED9">
        <w:rPr>
          <w:sz w:val="20"/>
          <w:szCs w:val="20"/>
          <w:lang w:val="en-GB"/>
        </w:rPr>
        <w:t>, *</w:t>
      </w:r>
      <w:r>
        <w:rPr>
          <w:sz w:val="20"/>
          <w:szCs w:val="20"/>
          <w:lang w:val="en-GB"/>
        </w:rPr>
        <w:t>*</w:t>
      </w:r>
      <w:r w:rsidRPr="00DE3ED9">
        <w:rPr>
          <w:sz w:val="20"/>
          <w:szCs w:val="20"/>
          <w:lang w:val="en-GB"/>
        </w:rPr>
        <w:t>*, significantly different from WT, p&lt;0.0</w:t>
      </w:r>
      <w:r>
        <w:rPr>
          <w:sz w:val="20"/>
          <w:szCs w:val="20"/>
          <w:lang w:val="en-GB"/>
        </w:rPr>
        <w:t>1</w:t>
      </w:r>
      <w:r w:rsidRPr="00DE3ED9">
        <w:rPr>
          <w:sz w:val="20"/>
          <w:szCs w:val="20"/>
          <w:lang w:val="en-GB"/>
        </w:rPr>
        <w:t>, &lt;0.</w:t>
      </w:r>
      <w:r>
        <w:rPr>
          <w:sz w:val="20"/>
          <w:szCs w:val="20"/>
          <w:lang w:val="en-GB"/>
        </w:rPr>
        <w:t>0</w:t>
      </w:r>
      <w:r w:rsidRPr="00DE3ED9">
        <w:rPr>
          <w:sz w:val="20"/>
          <w:szCs w:val="20"/>
          <w:lang w:val="en-GB"/>
        </w:rPr>
        <w:t>01, respectively</w:t>
      </w:r>
      <w:proofErr w:type="gramStart"/>
      <w:r w:rsidRPr="00DE3ED9">
        <w:rPr>
          <w:sz w:val="20"/>
          <w:szCs w:val="20"/>
          <w:lang w:val="en-GB"/>
        </w:rPr>
        <w:t>;</w:t>
      </w:r>
      <w:proofErr w:type="gramEnd"/>
      <w:r w:rsidRPr="00DE3ED9">
        <w:rPr>
          <w:sz w:val="20"/>
          <w:szCs w:val="20"/>
          <w:lang w:val="en-GB"/>
        </w:rPr>
        <w:t xml:space="preserve"> ANOVA, followed by </w:t>
      </w:r>
      <w:proofErr w:type="spellStart"/>
      <w:r w:rsidRPr="00DE3ED9">
        <w:rPr>
          <w:sz w:val="20"/>
          <w:szCs w:val="20"/>
          <w:lang w:val="en-GB"/>
        </w:rPr>
        <w:t>Dunnett’s</w:t>
      </w:r>
      <w:proofErr w:type="spellEnd"/>
      <w:r w:rsidRPr="00DE3ED9">
        <w:rPr>
          <w:sz w:val="20"/>
          <w:szCs w:val="20"/>
          <w:lang w:val="en-GB"/>
        </w:rPr>
        <w:t xml:space="preserve"> multiple comparisons test (n=3).</w:t>
      </w:r>
    </w:p>
    <w:p w14:paraId="6EE606AA" w14:textId="070DBACA" w:rsidR="001E31CD" w:rsidRPr="00C052F4" w:rsidRDefault="001E31CD" w:rsidP="008D48D8">
      <w:pPr>
        <w:jc w:val="both"/>
        <w:rPr>
          <w:sz w:val="20"/>
          <w:szCs w:val="20"/>
          <w:lang w:val="en-GB"/>
        </w:rPr>
      </w:pPr>
    </w:p>
    <w:p w14:paraId="099A8ECA" w14:textId="30DA0A03" w:rsidR="008D48D8" w:rsidRDefault="007626F7">
      <w:pPr>
        <w:rPr>
          <w:lang w:val="en-GB"/>
        </w:rPr>
      </w:pPr>
      <w:r>
        <w:rPr>
          <w:noProof/>
          <w:sz w:val="20"/>
          <w:szCs w:val="20"/>
          <w:lang w:eastAsia="de-DE"/>
        </w:rPr>
        <w:lastRenderedPageBreak/>
        <w:drawing>
          <wp:inline distT="0" distB="0" distL="0" distR="0" wp14:anchorId="064C72DE" wp14:editId="1C1370C6">
            <wp:extent cx="5760720" cy="2383009"/>
            <wp:effectExtent l="0" t="0" r="0" b="0"/>
            <wp:docPr id="202811023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83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597F4E" w14:textId="703FDD63" w:rsidR="007626F7" w:rsidRDefault="007626F7" w:rsidP="007626F7">
      <w:pPr>
        <w:jc w:val="both"/>
        <w:rPr>
          <w:sz w:val="20"/>
          <w:szCs w:val="20"/>
          <w:lang w:val="en-GB"/>
        </w:rPr>
      </w:pPr>
      <w:r w:rsidRPr="00333E85">
        <w:rPr>
          <w:b/>
          <w:bCs/>
          <w:sz w:val="20"/>
          <w:szCs w:val="20"/>
          <w:lang w:val="en-GB"/>
        </w:rPr>
        <w:t>Figure S</w:t>
      </w:r>
      <w:r>
        <w:rPr>
          <w:b/>
          <w:bCs/>
          <w:sz w:val="20"/>
          <w:szCs w:val="20"/>
          <w:lang w:val="en-GB"/>
        </w:rPr>
        <w:t>7</w:t>
      </w:r>
      <w:r w:rsidRPr="00333E85">
        <w:rPr>
          <w:b/>
          <w:bCs/>
          <w:sz w:val="20"/>
          <w:szCs w:val="20"/>
          <w:lang w:val="en-GB"/>
        </w:rPr>
        <w:t xml:space="preserve">. </w:t>
      </w:r>
      <w:proofErr w:type="gramStart"/>
      <w:r w:rsidRPr="00333E85">
        <w:rPr>
          <w:b/>
          <w:bCs/>
          <w:sz w:val="20"/>
          <w:szCs w:val="20"/>
          <w:lang w:val="en-GB"/>
        </w:rPr>
        <w:t>miRNA</w:t>
      </w:r>
      <w:proofErr w:type="gramEnd"/>
      <w:r w:rsidRPr="00333E85">
        <w:rPr>
          <w:b/>
          <w:bCs/>
          <w:sz w:val="20"/>
          <w:szCs w:val="20"/>
          <w:lang w:val="en-GB"/>
        </w:rPr>
        <w:t xml:space="preserve"> enrichment and sample clustering in small RNA-sequencing data.</w:t>
      </w:r>
      <w:r w:rsidRPr="008E2584">
        <w:rPr>
          <w:sz w:val="20"/>
          <w:szCs w:val="20"/>
          <w:lang w:val="en-GB"/>
        </w:rPr>
        <w:t xml:space="preserve"> A. Enrichment of miRNA reads in IP versus </w:t>
      </w:r>
      <w:r>
        <w:rPr>
          <w:sz w:val="20"/>
          <w:szCs w:val="20"/>
          <w:lang w:val="en-GB"/>
        </w:rPr>
        <w:t>i</w:t>
      </w:r>
      <w:r w:rsidRPr="008E2584">
        <w:rPr>
          <w:sz w:val="20"/>
          <w:szCs w:val="20"/>
          <w:lang w:val="en-GB"/>
        </w:rPr>
        <w:t xml:space="preserve">nput samples, quantified as the percentage of miRNA-assigned reads relative to the total read count in the analysis per sample. B. </w:t>
      </w:r>
      <w:proofErr w:type="spellStart"/>
      <w:r w:rsidRPr="008E2584">
        <w:rPr>
          <w:sz w:val="20"/>
          <w:szCs w:val="20"/>
          <w:lang w:val="en-GB"/>
        </w:rPr>
        <w:t>Dendrogram</w:t>
      </w:r>
      <w:proofErr w:type="spellEnd"/>
      <w:r w:rsidRPr="008E2584">
        <w:rPr>
          <w:sz w:val="20"/>
          <w:szCs w:val="20"/>
          <w:lang w:val="en-GB"/>
        </w:rPr>
        <w:t xml:space="preserve"> of small RNA-sequencing data based </w:t>
      </w:r>
      <w:r>
        <w:rPr>
          <w:sz w:val="20"/>
          <w:szCs w:val="20"/>
          <w:lang w:val="en-GB"/>
        </w:rPr>
        <w:t xml:space="preserve">on </w:t>
      </w:r>
      <w:proofErr w:type="spellStart"/>
      <w:r w:rsidRPr="008E2584">
        <w:rPr>
          <w:sz w:val="20"/>
          <w:szCs w:val="20"/>
          <w:lang w:val="en-GB"/>
        </w:rPr>
        <w:t>sRNAtoolbox</w:t>
      </w:r>
      <w:proofErr w:type="spellEnd"/>
      <w:r w:rsidRPr="008E2584">
        <w:rPr>
          <w:sz w:val="20"/>
          <w:szCs w:val="20"/>
          <w:lang w:val="en-GB"/>
        </w:rPr>
        <w:t>-processed counts</w:t>
      </w:r>
      <w:r>
        <w:rPr>
          <w:sz w:val="20"/>
          <w:szCs w:val="20"/>
          <w:lang w:val="en-GB"/>
        </w:rPr>
        <w:t>,</w:t>
      </w:r>
      <w:r w:rsidRPr="008E2584">
        <w:rPr>
          <w:sz w:val="20"/>
          <w:szCs w:val="20"/>
          <w:lang w:val="en-GB"/>
        </w:rPr>
        <w:t xml:space="preserve"> expressed as reads per million (RPM). </w:t>
      </w:r>
    </w:p>
    <w:p w14:paraId="5D1D235D" w14:textId="41E27F20" w:rsidR="007626F7" w:rsidRDefault="007626F7" w:rsidP="007626F7">
      <w:pPr>
        <w:jc w:val="both"/>
        <w:rPr>
          <w:sz w:val="20"/>
          <w:szCs w:val="20"/>
          <w:lang w:val="en-GB"/>
        </w:rPr>
      </w:pPr>
    </w:p>
    <w:p w14:paraId="2933CE63" w14:textId="06EF88E1" w:rsidR="007626F7" w:rsidRDefault="007626F7" w:rsidP="007626F7">
      <w:pPr>
        <w:jc w:val="both"/>
        <w:rPr>
          <w:sz w:val="20"/>
          <w:szCs w:val="20"/>
          <w:lang w:val="en-GB"/>
        </w:rPr>
      </w:pPr>
      <w:r>
        <w:rPr>
          <w:noProof/>
          <w:sz w:val="20"/>
          <w:szCs w:val="20"/>
          <w:lang w:eastAsia="de-DE"/>
        </w:rPr>
        <w:lastRenderedPageBreak/>
        <w:drawing>
          <wp:inline distT="0" distB="0" distL="0" distR="0" wp14:anchorId="2E62C9B3" wp14:editId="1EE0A714">
            <wp:extent cx="5713544" cy="6824221"/>
            <wp:effectExtent l="0" t="0" r="1905" b="0"/>
            <wp:docPr id="297851246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75" cy="6869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23A6B1" w14:textId="7455DB7E" w:rsidR="007626F7" w:rsidRDefault="007626F7" w:rsidP="007626F7">
      <w:pPr>
        <w:jc w:val="both"/>
        <w:rPr>
          <w:sz w:val="20"/>
          <w:szCs w:val="20"/>
          <w:lang w:val="en-GB"/>
        </w:rPr>
      </w:pPr>
      <w:r w:rsidRPr="00333E85">
        <w:rPr>
          <w:b/>
          <w:bCs/>
          <w:sz w:val="20"/>
          <w:szCs w:val="20"/>
          <w:lang w:val="en-GB"/>
        </w:rPr>
        <w:t xml:space="preserve">Figure </w:t>
      </w:r>
      <w:r>
        <w:rPr>
          <w:b/>
          <w:bCs/>
          <w:sz w:val="20"/>
          <w:szCs w:val="20"/>
          <w:lang w:val="en-GB"/>
        </w:rPr>
        <w:t>S8</w:t>
      </w:r>
      <w:r w:rsidRPr="00333E85">
        <w:rPr>
          <w:b/>
          <w:bCs/>
          <w:sz w:val="20"/>
          <w:szCs w:val="20"/>
          <w:lang w:val="en-GB"/>
        </w:rPr>
        <w:t>. Differentially bound miRNAs in AGO2-D619N.</w:t>
      </w:r>
      <w:r w:rsidRPr="008E2584">
        <w:rPr>
          <w:sz w:val="20"/>
          <w:szCs w:val="20"/>
          <w:lang w:val="en-GB"/>
        </w:rPr>
        <w:t xml:space="preserve"> Boxplots of miRNAs significantly differentially bound between AGO2-WT and AGO2-D619N. Plotted </w:t>
      </w:r>
      <w:proofErr w:type="gramStart"/>
      <w:r w:rsidRPr="008E2584">
        <w:rPr>
          <w:sz w:val="20"/>
          <w:szCs w:val="20"/>
          <w:lang w:val="en-GB"/>
        </w:rPr>
        <w:t>are log10-transformed normalized counts derived</w:t>
      </w:r>
      <w:proofErr w:type="gramEnd"/>
      <w:r w:rsidRPr="008E2584">
        <w:rPr>
          <w:sz w:val="20"/>
          <w:szCs w:val="20"/>
          <w:lang w:val="en-GB"/>
        </w:rPr>
        <w:t xml:space="preserve"> from </w:t>
      </w:r>
      <w:proofErr w:type="spellStart"/>
      <w:r w:rsidRPr="008E2584">
        <w:rPr>
          <w:sz w:val="20"/>
          <w:szCs w:val="20"/>
          <w:lang w:val="en-GB"/>
        </w:rPr>
        <w:t>DESeq</w:t>
      </w:r>
      <w:proofErr w:type="spellEnd"/>
      <w:r w:rsidRPr="008E2584">
        <w:rPr>
          <w:sz w:val="20"/>
          <w:szCs w:val="20"/>
          <w:lang w:val="en-GB"/>
        </w:rPr>
        <w:t xml:space="preserve"> (as implemented in </w:t>
      </w:r>
      <w:proofErr w:type="spellStart"/>
      <w:r w:rsidRPr="008E2584">
        <w:rPr>
          <w:sz w:val="20"/>
          <w:szCs w:val="20"/>
          <w:lang w:val="en-GB"/>
        </w:rPr>
        <w:t>sRNAde</w:t>
      </w:r>
      <w:proofErr w:type="spellEnd"/>
      <w:r w:rsidRPr="008E2584">
        <w:rPr>
          <w:sz w:val="20"/>
          <w:szCs w:val="20"/>
          <w:lang w:val="en-GB"/>
        </w:rPr>
        <w:t xml:space="preserve"> within </w:t>
      </w:r>
      <w:proofErr w:type="spellStart"/>
      <w:r w:rsidRPr="008E2584">
        <w:rPr>
          <w:sz w:val="20"/>
          <w:szCs w:val="20"/>
          <w:lang w:val="en-GB"/>
        </w:rPr>
        <w:t>sRNAtoolbox</w:t>
      </w:r>
      <w:proofErr w:type="spellEnd"/>
      <w:r w:rsidRPr="008E2584">
        <w:rPr>
          <w:sz w:val="20"/>
          <w:szCs w:val="20"/>
          <w:lang w:val="en-GB"/>
        </w:rPr>
        <w:t xml:space="preserve">). Significance </w:t>
      </w:r>
      <w:proofErr w:type="gramStart"/>
      <w:r w:rsidRPr="008E2584">
        <w:rPr>
          <w:sz w:val="20"/>
          <w:szCs w:val="20"/>
          <w:lang w:val="en-GB"/>
        </w:rPr>
        <w:t>was defined</w:t>
      </w:r>
      <w:proofErr w:type="gramEnd"/>
      <w:r w:rsidRPr="008E2584">
        <w:rPr>
          <w:sz w:val="20"/>
          <w:szCs w:val="20"/>
          <w:lang w:val="en-GB"/>
        </w:rPr>
        <w:t xml:space="preserve"> as FDR &lt; 0.05 and |log2 fold change| &gt; 1.</w:t>
      </w:r>
    </w:p>
    <w:p w14:paraId="37BEE3C4" w14:textId="2CAFF8F2" w:rsidR="007626F7" w:rsidRDefault="007626F7">
      <w:pPr>
        <w:rPr>
          <w:lang w:val="en-GB"/>
        </w:rPr>
      </w:pPr>
    </w:p>
    <w:p w14:paraId="75EE16A8" w14:textId="1F982006" w:rsidR="007626F7" w:rsidRDefault="007626F7">
      <w:pPr>
        <w:rPr>
          <w:lang w:val="en-GB"/>
        </w:rPr>
      </w:pPr>
      <w:r>
        <w:rPr>
          <w:noProof/>
          <w:sz w:val="20"/>
          <w:szCs w:val="20"/>
          <w:lang w:eastAsia="de-DE"/>
        </w:rPr>
        <w:lastRenderedPageBreak/>
        <w:drawing>
          <wp:inline distT="0" distB="0" distL="0" distR="0" wp14:anchorId="676595DB" wp14:editId="3F32EC18">
            <wp:extent cx="5695617" cy="7454981"/>
            <wp:effectExtent l="0" t="0" r="635" b="0"/>
            <wp:docPr id="1052149546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779" cy="749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E0617" w14:textId="5CAD5460" w:rsidR="007626F7" w:rsidRDefault="007626F7" w:rsidP="007626F7">
      <w:pPr>
        <w:jc w:val="both"/>
        <w:rPr>
          <w:sz w:val="20"/>
          <w:szCs w:val="20"/>
          <w:lang w:val="en-GB"/>
        </w:rPr>
      </w:pPr>
      <w:r w:rsidRPr="00333E85">
        <w:rPr>
          <w:b/>
          <w:bCs/>
          <w:sz w:val="20"/>
          <w:szCs w:val="20"/>
          <w:lang w:val="en-GB"/>
        </w:rPr>
        <w:t>Figure S</w:t>
      </w:r>
      <w:r>
        <w:rPr>
          <w:b/>
          <w:bCs/>
          <w:sz w:val="20"/>
          <w:szCs w:val="20"/>
          <w:lang w:val="en-GB"/>
        </w:rPr>
        <w:t>9</w:t>
      </w:r>
      <w:r w:rsidRPr="00333E85">
        <w:rPr>
          <w:b/>
          <w:bCs/>
          <w:sz w:val="20"/>
          <w:szCs w:val="20"/>
          <w:lang w:val="en-GB"/>
        </w:rPr>
        <w:t>. Differentially bound miRNAs in AGO2 variants F182del, G604R and N359H</w:t>
      </w:r>
      <w:r w:rsidRPr="008E2584">
        <w:rPr>
          <w:sz w:val="20"/>
          <w:szCs w:val="20"/>
          <w:lang w:val="en-GB"/>
        </w:rPr>
        <w:t xml:space="preserve">. Boxplots of miRNAs significantly differentially bound between AGO2-WT and AGO2 variants F182del (A), G604R (B) and N359H (C). Plotted </w:t>
      </w:r>
      <w:proofErr w:type="gramStart"/>
      <w:r w:rsidRPr="008E2584">
        <w:rPr>
          <w:sz w:val="20"/>
          <w:szCs w:val="20"/>
          <w:lang w:val="en-GB"/>
        </w:rPr>
        <w:t>are log10-transformed normalized counts derived</w:t>
      </w:r>
      <w:proofErr w:type="gramEnd"/>
      <w:r w:rsidRPr="008E2584">
        <w:rPr>
          <w:sz w:val="20"/>
          <w:szCs w:val="20"/>
          <w:lang w:val="en-GB"/>
        </w:rPr>
        <w:t xml:space="preserve"> from </w:t>
      </w:r>
      <w:proofErr w:type="spellStart"/>
      <w:r w:rsidRPr="008E2584">
        <w:rPr>
          <w:sz w:val="20"/>
          <w:szCs w:val="20"/>
          <w:lang w:val="en-GB"/>
        </w:rPr>
        <w:t>DESeq</w:t>
      </w:r>
      <w:proofErr w:type="spellEnd"/>
      <w:r w:rsidRPr="008E2584">
        <w:rPr>
          <w:sz w:val="20"/>
          <w:szCs w:val="20"/>
          <w:lang w:val="en-GB"/>
        </w:rPr>
        <w:t xml:space="preserve"> (as implemented in </w:t>
      </w:r>
      <w:proofErr w:type="spellStart"/>
      <w:r w:rsidRPr="008E2584">
        <w:rPr>
          <w:sz w:val="20"/>
          <w:szCs w:val="20"/>
          <w:lang w:val="en-GB"/>
        </w:rPr>
        <w:t>sRNAde</w:t>
      </w:r>
      <w:proofErr w:type="spellEnd"/>
      <w:r w:rsidRPr="008E2584">
        <w:rPr>
          <w:sz w:val="20"/>
          <w:szCs w:val="20"/>
          <w:lang w:val="en-GB"/>
        </w:rPr>
        <w:t xml:space="preserve"> within </w:t>
      </w:r>
      <w:proofErr w:type="spellStart"/>
      <w:r w:rsidRPr="008E2584">
        <w:rPr>
          <w:sz w:val="20"/>
          <w:szCs w:val="20"/>
          <w:lang w:val="en-GB"/>
        </w:rPr>
        <w:t>sRNAtoolbox</w:t>
      </w:r>
      <w:proofErr w:type="spellEnd"/>
      <w:r w:rsidRPr="008E2584">
        <w:rPr>
          <w:sz w:val="20"/>
          <w:szCs w:val="20"/>
          <w:lang w:val="en-GB"/>
        </w:rPr>
        <w:t xml:space="preserve">). Significance </w:t>
      </w:r>
      <w:proofErr w:type="gramStart"/>
      <w:r w:rsidRPr="008E2584">
        <w:rPr>
          <w:sz w:val="20"/>
          <w:szCs w:val="20"/>
          <w:lang w:val="en-GB"/>
        </w:rPr>
        <w:t>was defined</w:t>
      </w:r>
      <w:proofErr w:type="gramEnd"/>
      <w:r w:rsidRPr="008E2584">
        <w:rPr>
          <w:sz w:val="20"/>
          <w:szCs w:val="20"/>
          <w:lang w:val="en-GB"/>
        </w:rPr>
        <w:t xml:space="preserve"> as FDR &lt; 0.05 and |log2 fold change| &gt; 1.</w:t>
      </w:r>
    </w:p>
    <w:p w14:paraId="008ADB9E" w14:textId="6A17EFB9" w:rsidR="007626F7" w:rsidRDefault="007626F7" w:rsidP="007626F7">
      <w:pPr>
        <w:jc w:val="both"/>
        <w:rPr>
          <w:sz w:val="20"/>
          <w:szCs w:val="20"/>
          <w:lang w:val="en-GB"/>
        </w:rPr>
      </w:pPr>
    </w:p>
    <w:p w14:paraId="3354764F" w14:textId="3C7B7661" w:rsidR="007626F7" w:rsidRDefault="000A6148" w:rsidP="007626F7">
      <w:pPr>
        <w:jc w:val="both"/>
        <w:rPr>
          <w:sz w:val="20"/>
          <w:szCs w:val="20"/>
          <w:lang w:val="en-GB"/>
        </w:rPr>
      </w:pPr>
      <w:r>
        <w:rPr>
          <w:noProof/>
          <w:sz w:val="20"/>
          <w:szCs w:val="20"/>
          <w:lang w:eastAsia="de-DE"/>
        </w:rPr>
        <w:lastRenderedPageBreak/>
        <w:drawing>
          <wp:inline distT="0" distB="0" distL="0" distR="0" wp14:anchorId="6779444C" wp14:editId="0D05A8E5">
            <wp:extent cx="5760720" cy="5235575"/>
            <wp:effectExtent l="0" t="0" r="0" b="317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Figure10_overlap_significant_miRNAS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3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2F34E" w14:textId="60018E95" w:rsidR="007626F7" w:rsidRDefault="007626F7" w:rsidP="007626F7">
      <w:pPr>
        <w:jc w:val="both"/>
        <w:rPr>
          <w:sz w:val="20"/>
          <w:szCs w:val="20"/>
          <w:lang w:val="en-GB"/>
        </w:rPr>
      </w:pPr>
      <w:r w:rsidRPr="00333E85">
        <w:rPr>
          <w:b/>
          <w:bCs/>
          <w:sz w:val="20"/>
          <w:szCs w:val="20"/>
          <w:lang w:val="en-GB"/>
        </w:rPr>
        <w:t xml:space="preserve">Figure </w:t>
      </w:r>
      <w:r>
        <w:rPr>
          <w:b/>
          <w:bCs/>
          <w:sz w:val="20"/>
          <w:szCs w:val="20"/>
          <w:lang w:val="en-GB"/>
        </w:rPr>
        <w:t>S10</w:t>
      </w:r>
      <w:r w:rsidRPr="00333E85">
        <w:rPr>
          <w:b/>
          <w:bCs/>
          <w:sz w:val="20"/>
          <w:szCs w:val="20"/>
          <w:lang w:val="en-GB"/>
        </w:rPr>
        <w:t xml:space="preserve">. </w:t>
      </w:r>
      <w:proofErr w:type="gramStart"/>
      <w:r w:rsidRPr="00333E85">
        <w:rPr>
          <w:b/>
          <w:bCs/>
          <w:sz w:val="20"/>
          <w:szCs w:val="20"/>
          <w:lang w:val="en-GB"/>
        </w:rPr>
        <w:t>miRNAs</w:t>
      </w:r>
      <w:proofErr w:type="gramEnd"/>
      <w:r w:rsidRPr="00333E85">
        <w:rPr>
          <w:b/>
          <w:bCs/>
          <w:sz w:val="20"/>
          <w:szCs w:val="20"/>
          <w:lang w:val="en-GB"/>
        </w:rPr>
        <w:t xml:space="preserve"> differentially bound across AGO2 variants</w:t>
      </w:r>
      <w:r w:rsidRPr="008E2584">
        <w:rPr>
          <w:sz w:val="20"/>
          <w:szCs w:val="20"/>
          <w:lang w:val="en-GB"/>
        </w:rPr>
        <w:t xml:space="preserve">. A. Venn diagram showing the overlap of miRNAs significantly differentially bound for each AGO2 variant relative to AGO2-WT (FDR &lt; 0.05 and |log2 fold change| &gt; 1). B. Boxplots of miRNAs significantly differentially bound in at least two AGO2 variants versus AGO2-WT. Plotted are log10-transformed normalized counts derived from </w:t>
      </w:r>
      <w:proofErr w:type="spellStart"/>
      <w:r w:rsidRPr="008E2584">
        <w:rPr>
          <w:sz w:val="20"/>
          <w:szCs w:val="20"/>
          <w:lang w:val="en-GB"/>
        </w:rPr>
        <w:t>DESeq</w:t>
      </w:r>
      <w:proofErr w:type="spellEnd"/>
      <w:r w:rsidRPr="008E2584">
        <w:rPr>
          <w:sz w:val="20"/>
          <w:szCs w:val="20"/>
          <w:lang w:val="en-GB"/>
        </w:rPr>
        <w:t xml:space="preserve"> (as implemented in </w:t>
      </w:r>
      <w:proofErr w:type="spellStart"/>
      <w:r w:rsidRPr="008E2584">
        <w:rPr>
          <w:sz w:val="20"/>
          <w:szCs w:val="20"/>
          <w:lang w:val="en-GB"/>
        </w:rPr>
        <w:t>sRNAde</w:t>
      </w:r>
      <w:proofErr w:type="spellEnd"/>
      <w:r w:rsidRPr="008E2584">
        <w:rPr>
          <w:sz w:val="20"/>
          <w:szCs w:val="20"/>
          <w:lang w:val="en-GB"/>
        </w:rPr>
        <w:t xml:space="preserve"> within </w:t>
      </w:r>
      <w:proofErr w:type="spellStart"/>
      <w:r w:rsidRPr="008E2584">
        <w:rPr>
          <w:sz w:val="20"/>
          <w:szCs w:val="20"/>
          <w:lang w:val="en-GB"/>
        </w:rPr>
        <w:t>sRNAtoolbox</w:t>
      </w:r>
      <w:proofErr w:type="spellEnd"/>
      <w:r w:rsidRPr="008E2584">
        <w:rPr>
          <w:sz w:val="20"/>
          <w:szCs w:val="20"/>
          <w:lang w:val="en-GB"/>
        </w:rPr>
        <w:t>). * indicates a significant difference (FDR &lt; 0.05 and |log2 fold change| &gt; 1).</w:t>
      </w:r>
    </w:p>
    <w:p w14:paraId="36C7CC70" w14:textId="29FAA427" w:rsidR="007626F7" w:rsidRDefault="007626F7" w:rsidP="007626F7">
      <w:pPr>
        <w:jc w:val="both"/>
        <w:rPr>
          <w:sz w:val="20"/>
          <w:szCs w:val="20"/>
          <w:lang w:val="en-GB"/>
        </w:rPr>
      </w:pPr>
    </w:p>
    <w:p w14:paraId="0F78403E" w14:textId="1B99BBBE" w:rsidR="007626F7" w:rsidRDefault="000A6148" w:rsidP="007626F7">
      <w:pPr>
        <w:jc w:val="both"/>
        <w:rPr>
          <w:sz w:val="20"/>
          <w:szCs w:val="20"/>
          <w:lang w:val="en-GB"/>
        </w:rPr>
      </w:pPr>
      <w:r>
        <w:rPr>
          <w:noProof/>
          <w:sz w:val="20"/>
          <w:szCs w:val="20"/>
          <w:lang w:eastAsia="de-DE"/>
        </w:rPr>
        <w:lastRenderedPageBreak/>
        <w:drawing>
          <wp:inline distT="0" distB="0" distL="0" distR="0" wp14:anchorId="73C42B4E" wp14:editId="30E6BFC1">
            <wp:extent cx="5760720" cy="701675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Figure11_Strand_selectivity_MA-plots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1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77EA6" w14:textId="00F124EE" w:rsidR="007626F7" w:rsidRDefault="007626F7" w:rsidP="007626F7">
      <w:pPr>
        <w:jc w:val="both"/>
        <w:rPr>
          <w:sz w:val="20"/>
          <w:szCs w:val="20"/>
          <w:lang w:val="en-GB"/>
        </w:rPr>
      </w:pPr>
      <w:r w:rsidRPr="00333E85">
        <w:rPr>
          <w:b/>
          <w:bCs/>
          <w:sz w:val="20"/>
          <w:szCs w:val="20"/>
          <w:lang w:val="en-GB"/>
        </w:rPr>
        <w:t xml:space="preserve">Figure </w:t>
      </w:r>
      <w:r w:rsidR="00EB3296">
        <w:rPr>
          <w:b/>
          <w:bCs/>
          <w:sz w:val="20"/>
          <w:szCs w:val="20"/>
          <w:lang w:val="en-GB"/>
        </w:rPr>
        <w:t>S11</w:t>
      </w:r>
      <w:r w:rsidRPr="00333E85">
        <w:rPr>
          <w:b/>
          <w:bCs/>
          <w:sz w:val="20"/>
          <w:szCs w:val="20"/>
          <w:lang w:val="en-GB"/>
        </w:rPr>
        <w:t>. Strand selectivity of AGO2 variants.</w:t>
      </w:r>
      <w:r w:rsidRPr="008E2584">
        <w:rPr>
          <w:sz w:val="20"/>
          <w:szCs w:val="20"/>
          <w:lang w:val="en-GB"/>
        </w:rPr>
        <w:t xml:space="preserve"> MA plots for miRNA guide strands (left) and passenger strands (right) comparing AGO2 variants with AGO2-WT. The x-axis shows log10 abundance, the y-axis shows the log2FC (variant vs. AGO2-WT). Significance was assessed at FDR &lt; 0.05 using a linear model fitted to the </w:t>
      </w:r>
      <w:proofErr w:type="gramStart"/>
      <w:r w:rsidRPr="008E2584">
        <w:rPr>
          <w:sz w:val="20"/>
          <w:szCs w:val="20"/>
          <w:lang w:val="en-GB"/>
        </w:rPr>
        <w:t>log2(</w:t>
      </w:r>
      <w:proofErr w:type="gramEnd"/>
      <w:r w:rsidRPr="008E2584">
        <w:rPr>
          <w:sz w:val="20"/>
          <w:szCs w:val="20"/>
          <w:lang w:val="en-GB"/>
        </w:rPr>
        <w:t xml:space="preserve">passenger/guide) CPM ratio. </w:t>
      </w:r>
      <w:proofErr w:type="gramStart"/>
      <w:r w:rsidRPr="008E2584">
        <w:rPr>
          <w:sz w:val="20"/>
          <w:szCs w:val="20"/>
          <w:lang w:val="en-GB"/>
        </w:rPr>
        <w:t>miRNAs</w:t>
      </w:r>
      <w:proofErr w:type="gramEnd"/>
      <w:r w:rsidRPr="008E2584">
        <w:rPr>
          <w:sz w:val="20"/>
          <w:szCs w:val="20"/>
          <w:lang w:val="en-GB"/>
        </w:rPr>
        <w:t xml:space="preserve"> with a significant change in the passenger-to-guide ratio in AGO2 variants vs. AGO2-WT are highlighted in orange.</w:t>
      </w:r>
    </w:p>
    <w:p w14:paraId="3E225F21" w14:textId="128CEFB5" w:rsidR="00EB3296" w:rsidRDefault="000A6148" w:rsidP="007626F7">
      <w:pPr>
        <w:jc w:val="both"/>
        <w:rPr>
          <w:sz w:val="20"/>
          <w:szCs w:val="20"/>
          <w:lang w:val="en-GB"/>
        </w:rPr>
      </w:pPr>
      <w:r>
        <w:rPr>
          <w:noProof/>
          <w:sz w:val="20"/>
          <w:szCs w:val="20"/>
          <w:lang w:eastAsia="de-DE"/>
        </w:rPr>
        <w:lastRenderedPageBreak/>
        <w:drawing>
          <wp:inline distT="0" distB="0" distL="0" distR="0" wp14:anchorId="43D4B8A9" wp14:editId="5B40B6A3">
            <wp:extent cx="5760720" cy="2169160"/>
            <wp:effectExtent l="0" t="0" r="0" b="254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lFigure12_Strand_selectivity_Boxplots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162FC" w14:textId="33B53988" w:rsidR="00EB3296" w:rsidRDefault="00EB3296" w:rsidP="00EB3296">
      <w:pPr>
        <w:jc w:val="both"/>
        <w:rPr>
          <w:sz w:val="20"/>
          <w:szCs w:val="20"/>
          <w:lang w:val="en-GB"/>
        </w:rPr>
      </w:pPr>
      <w:r w:rsidRPr="00333E85">
        <w:rPr>
          <w:b/>
          <w:bCs/>
          <w:sz w:val="20"/>
          <w:szCs w:val="20"/>
          <w:lang w:val="en-GB"/>
        </w:rPr>
        <w:t>Figure S1</w:t>
      </w:r>
      <w:r>
        <w:rPr>
          <w:b/>
          <w:bCs/>
          <w:sz w:val="20"/>
          <w:szCs w:val="20"/>
          <w:lang w:val="en-GB"/>
        </w:rPr>
        <w:t>2</w:t>
      </w:r>
      <w:r w:rsidRPr="00333E85">
        <w:rPr>
          <w:b/>
          <w:bCs/>
          <w:sz w:val="20"/>
          <w:szCs w:val="20"/>
          <w:lang w:val="en-GB"/>
        </w:rPr>
        <w:t>. Abundance of miRNAs with altered strand selectivity.</w:t>
      </w:r>
      <w:r w:rsidRPr="008E2584">
        <w:rPr>
          <w:sz w:val="20"/>
          <w:szCs w:val="20"/>
          <w:lang w:val="en-GB"/>
        </w:rPr>
        <w:t xml:space="preserve"> Abundance of miRNA guide and passenger strands that exhibit altered strand selectivity in AGO2 variants relative to AGO2-WT. Values represent AGO2-bound miRNAs quantified as counts per million (CPM). Significance for altered strand selectivity defined from the linear model on </w:t>
      </w:r>
      <w:proofErr w:type="gramStart"/>
      <w:r w:rsidRPr="008E2584">
        <w:rPr>
          <w:sz w:val="20"/>
          <w:szCs w:val="20"/>
          <w:lang w:val="en-GB"/>
        </w:rPr>
        <w:t>log2(</w:t>
      </w:r>
      <w:proofErr w:type="gramEnd"/>
      <w:r w:rsidRPr="008E2584">
        <w:rPr>
          <w:sz w:val="20"/>
          <w:szCs w:val="20"/>
          <w:lang w:val="en-GB"/>
        </w:rPr>
        <w:t>passenger/guide) CPM, FDR &lt; 0.05.</w:t>
      </w:r>
    </w:p>
    <w:p w14:paraId="4A6CEAA0" w14:textId="4F71DC42" w:rsidR="00EB3296" w:rsidRDefault="00EB3296" w:rsidP="00EB3296">
      <w:pPr>
        <w:jc w:val="both"/>
        <w:rPr>
          <w:sz w:val="20"/>
          <w:szCs w:val="20"/>
          <w:lang w:val="en-GB"/>
        </w:rPr>
      </w:pPr>
    </w:p>
    <w:p w14:paraId="5E1BAB8A" w14:textId="6690A59F" w:rsidR="00EB3296" w:rsidRDefault="00EB3296" w:rsidP="00EB3296">
      <w:pPr>
        <w:jc w:val="both"/>
        <w:rPr>
          <w:sz w:val="20"/>
          <w:szCs w:val="20"/>
          <w:lang w:val="en-GB"/>
        </w:rPr>
      </w:pPr>
      <w:r>
        <w:rPr>
          <w:noProof/>
          <w:lang w:eastAsia="de-DE"/>
        </w:rPr>
        <w:drawing>
          <wp:inline distT="0" distB="0" distL="0" distR="0" wp14:anchorId="562EB275" wp14:editId="58810958">
            <wp:extent cx="4480560" cy="3346704"/>
            <wp:effectExtent l="0" t="0" r="0" b="6350"/>
            <wp:docPr id="14679938" name="Grafik 14679938" descr="Ein Bild, das Cartoon, Screenshot, Kuns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938" name="Grafik 14679938" descr="Ein Bild, das Cartoon, Screenshot, Kunst enthält.&#10;&#10;KI-generierte Inhalte können fehlerhaft sein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334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3A344" w14:textId="22578769" w:rsidR="00EB3296" w:rsidRPr="008E2584" w:rsidRDefault="00EB3296" w:rsidP="00EB3296">
      <w:pPr>
        <w:rPr>
          <w:sz w:val="20"/>
          <w:szCs w:val="20"/>
          <w:lang w:val="en-GB"/>
        </w:rPr>
      </w:pPr>
      <w:r w:rsidRPr="008E2584">
        <w:rPr>
          <w:b/>
          <w:sz w:val="20"/>
          <w:szCs w:val="20"/>
          <w:lang w:val="en-GB"/>
        </w:rPr>
        <w:t>Figure S1</w:t>
      </w:r>
      <w:r>
        <w:rPr>
          <w:b/>
          <w:sz w:val="20"/>
          <w:szCs w:val="20"/>
          <w:lang w:val="en-GB"/>
        </w:rPr>
        <w:t>3</w:t>
      </w:r>
      <w:r w:rsidRPr="008E2584">
        <w:rPr>
          <w:b/>
          <w:sz w:val="20"/>
          <w:szCs w:val="20"/>
          <w:lang w:val="en-GB"/>
        </w:rPr>
        <w:t xml:space="preserve">. </w:t>
      </w:r>
      <w:r w:rsidRPr="008E2584">
        <w:rPr>
          <w:sz w:val="20"/>
          <w:szCs w:val="20"/>
          <w:lang w:val="en-GB"/>
        </w:rPr>
        <w:t xml:space="preserve">Surface representation of part of the Ago2 PIWI domain (violet, pale cyan). Parts of the N-domain are also visible. Amino acids lining either of the two pockets for </w:t>
      </w:r>
      <w:proofErr w:type="spellStart"/>
      <w:r w:rsidRPr="008E2584">
        <w:rPr>
          <w:sz w:val="20"/>
          <w:szCs w:val="20"/>
          <w:lang w:val="en-GB"/>
        </w:rPr>
        <w:t>Trp</w:t>
      </w:r>
      <w:proofErr w:type="spellEnd"/>
      <w:r w:rsidRPr="008E2584">
        <w:rPr>
          <w:sz w:val="20"/>
          <w:szCs w:val="20"/>
          <w:lang w:val="en-GB"/>
        </w:rPr>
        <w:t xml:space="preserve"> residues of Gw182 </w:t>
      </w:r>
      <w:proofErr w:type="gramStart"/>
      <w:r w:rsidRPr="008E2584">
        <w:rPr>
          <w:sz w:val="20"/>
          <w:szCs w:val="20"/>
          <w:lang w:val="en-GB"/>
        </w:rPr>
        <w:t>are shown</w:t>
      </w:r>
      <w:proofErr w:type="gramEnd"/>
      <w:r w:rsidRPr="008E2584">
        <w:rPr>
          <w:sz w:val="20"/>
          <w:szCs w:val="20"/>
          <w:lang w:val="en-GB"/>
        </w:rPr>
        <w:t xml:space="preserve"> in pale cyan. The two </w:t>
      </w:r>
      <w:proofErr w:type="spellStart"/>
      <w:r w:rsidRPr="008E2584">
        <w:rPr>
          <w:sz w:val="20"/>
          <w:szCs w:val="20"/>
          <w:lang w:val="en-GB"/>
        </w:rPr>
        <w:t>tryptophanes</w:t>
      </w:r>
      <w:proofErr w:type="spellEnd"/>
      <w:r w:rsidRPr="008E2584">
        <w:rPr>
          <w:sz w:val="20"/>
          <w:szCs w:val="20"/>
          <w:lang w:val="en-GB"/>
        </w:rPr>
        <w:t xml:space="preserve"> </w:t>
      </w:r>
      <w:proofErr w:type="gramStart"/>
      <w:r w:rsidRPr="008E2584">
        <w:rPr>
          <w:sz w:val="20"/>
          <w:szCs w:val="20"/>
          <w:lang w:val="en-GB"/>
        </w:rPr>
        <w:t>are shown</w:t>
      </w:r>
      <w:proofErr w:type="gramEnd"/>
      <w:r w:rsidRPr="008E2584">
        <w:rPr>
          <w:sz w:val="20"/>
          <w:szCs w:val="20"/>
          <w:lang w:val="en-GB"/>
        </w:rPr>
        <w:t xml:space="preserve"> as stick models. The position of Asp619 (yellow) at the entrance of pocket 2 </w:t>
      </w:r>
      <w:proofErr w:type="gramStart"/>
      <w:r w:rsidRPr="008E2584">
        <w:rPr>
          <w:sz w:val="20"/>
          <w:szCs w:val="20"/>
          <w:lang w:val="en-GB"/>
        </w:rPr>
        <w:t>is indicated</w:t>
      </w:r>
      <w:proofErr w:type="gramEnd"/>
      <w:r w:rsidRPr="008E2584">
        <w:rPr>
          <w:sz w:val="20"/>
          <w:szCs w:val="20"/>
          <w:lang w:val="en-GB"/>
        </w:rPr>
        <w:t xml:space="preserve">. The model is derived from database entry 4olb.pdb </w:t>
      </w:r>
      <w:r w:rsidRPr="008E2584">
        <w:rPr>
          <w:sz w:val="20"/>
          <w:szCs w:val="20"/>
          <w:lang w:val="en-GB"/>
        </w:rPr>
        <w:fldChar w:fldCharType="begin"/>
      </w:r>
      <w:r>
        <w:rPr>
          <w:sz w:val="20"/>
          <w:szCs w:val="20"/>
          <w:lang w:val="en-GB"/>
        </w:rPr>
        <w:instrText xml:space="preserve"> ADDIN EN.CITE &lt;EndNote&gt;&lt;Cite&gt;&lt;Author&gt;Schirle&lt;/Author&gt;&lt;Year&gt;2012&lt;/Year&gt;&lt;RecNum&gt;221&lt;/RecNum&gt;&lt;DisplayText&gt;(2)&lt;/DisplayText&gt;&lt;record&gt;&lt;rec-number&gt;221&lt;/rec-number&gt;&lt;foreign-keys&gt;&lt;key app="EN" db-id="tvvvppsw3pwrdve5revpvvrksdzxdzaa0d2a" timestamp="1562147221"&gt;221&lt;/key&gt;&lt;/foreign-keys&gt;&lt;ref-type name="Journal Article"&gt;17&lt;/ref-type&gt;&lt;contributors&gt;&lt;authors&gt;&lt;author&gt;Schirle, N. T.&lt;/author&gt;&lt;author&gt;MacRae, I. J.&lt;/author&gt;&lt;/authors&gt;&lt;/contributors&gt;&lt;auth-address&gt;Department of Molecular Biology, The Scripps Research Institute, La Jolla, CA 92037, USA.&lt;/auth-address&gt;&lt;titles&gt;&lt;title&gt;The crystal structure of human Argonaute2&lt;/title&gt;&lt;secondary-title&gt;Science&lt;/secondary-title&gt;&lt;/titles&gt;&lt;periodical&gt;&lt;full-title&gt;Science&lt;/full-title&gt;&lt;/periodical&gt;&lt;pages&gt;1037-40&lt;/pages&gt;&lt;volume&gt;336&lt;/volume&gt;&lt;number&gt;6084&lt;/number&gt;&lt;keywords&gt;&lt;keyword&gt;Amino Acid Sequence&lt;/keyword&gt;&lt;keyword&gt;Argonaute Proteins/*chemistry/metabolism&lt;/keyword&gt;&lt;keyword&gt;Base Pairing&lt;/keyword&gt;&lt;keyword&gt;Binding Sites&lt;/keyword&gt;&lt;keyword&gt;Crystallography, X-Ray&lt;/keyword&gt;&lt;keyword&gt;Humans&lt;/keyword&gt;&lt;keyword&gt;Hydrogen Bonding&lt;/keyword&gt;&lt;keyword&gt;Hydrophobic and Hydrophilic Interactions&lt;/keyword&gt;&lt;keyword&gt;MicroRNAs/chemistry/metabolism&lt;/keyword&gt;&lt;keyword&gt;Models, Molecular&lt;/keyword&gt;&lt;keyword&gt;Molecular Sequence Data&lt;/keyword&gt;&lt;keyword&gt;Nucleic Acid Conformation&lt;/keyword&gt;&lt;keyword&gt;Protein Conformation&lt;/keyword&gt;&lt;keyword&gt;Protein Structure, Tertiary&lt;/keyword&gt;&lt;keyword&gt;RNA Interference&lt;/keyword&gt;&lt;keyword&gt;RNA, Guide/chemistry/metabolism&lt;/keyword&gt;&lt;keyword&gt;RNA, Messenger/chemistry/metabolism&lt;/keyword&gt;&lt;keyword&gt;Tryptophan/chemistry&lt;/keyword&gt;&lt;/keywords&gt;&lt;dates&gt;&lt;year&gt;2012&lt;/year&gt;&lt;pub-dates&gt;&lt;date&gt;May 25&lt;/date&gt;&lt;/pub-dates&gt;&lt;/dates&gt;&lt;isbn&gt;1095-9203 (Electronic)&amp;#xD;0036-8075 (Linking)&lt;/isbn&gt;&lt;accession-num&gt;22539551&lt;/accession-num&gt;&lt;urls&gt;&lt;related-urls&gt;&lt;url&gt;https://www.ncbi.nlm.nih.gov/pubmed/22539551&lt;/url&gt;&lt;/related-urls&gt;&lt;/urls&gt;&lt;custom2&gt;PMC3521581&lt;/custom2&gt;&lt;electronic-resource-num&gt;10.1126/science.1221551&lt;/electronic-resource-num&gt;&lt;/record&gt;&lt;/Cite&gt;&lt;/EndNote&gt;</w:instrText>
      </w:r>
      <w:r w:rsidRPr="008E2584">
        <w:rPr>
          <w:sz w:val="20"/>
          <w:szCs w:val="20"/>
          <w:lang w:val="en-GB"/>
        </w:rPr>
        <w:fldChar w:fldCharType="separate"/>
      </w:r>
      <w:r>
        <w:rPr>
          <w:noProof/>
          <w:sz w:val="20"/>
          <w:szCs w:val="20"/>
          <w:lang w:val="en-GB"/>
        </w:rPr>
        <w:t>(2)</w:t>
      </w:r>
      <w:r w:rsidRPr="008E2584">
        <w:rPr>
          <w:sz w:val="20"/>
          <w:szCs w:val="20"/>
          <w:lang w:val="en-GB"/>
        </w:rPr>
        <w:fldChar w:fldCharType="end"/>
      </w:r>
      <w:r w:rsidRPr="008E2584">
        <w:rPr>
          <w:sz w:val="20"/>
          <w:szCs w:val="20"/>
          <w:lang w:val="en-GB"/>
        </w:rPr>
        <w:t>.</w:t>
      </w:r>
    </w:p>
    <w:p w14:paraId="75C7E881" w14:textId="77777777" w:rsidR="00EB3296" w:rsidRDefault="00EB3296" w:rsidP="007626F7">
      <w:pPr>
        <w:jc w:val="both"/>
        <w:rPr>
          <w:sz w:val="20"/>
          <w:szCs w:val="20"/>
          <w:lang w:val="en-GB"/>
        </w:rPr>
      </w:pPr>
    </w:p>
    <w:p w14:paraId="53B81D0F" w14:textId="77777777" w:rsidR="007626F7" w:rsidRDefault="007626F7" w:rsidP="007626F7">
      <w:pPr>
        <w:jc w:val="both"/>
        <w:rPr>
          <w:sz w:val="20"/>
          <w:szCs w:val="20"/>
          <w:lang w:val="en-GB"/>
        </w:rPr>
      </w:pPr>
    </w:p>
    <w:p w14:paraId="1A66AC45" w14:textId="77777777" w:rsidR="007626F7" w:rsidRDefault="007626F7" w:rsidP="007626F7">
      <w:pPr>
        <w:jc w:val="both"/>
        <w:rPr>
          <w:sz w:val="20"/>
          <w:szCs w:val="20"/>
          <w:lang w:val="en-GB"/>
        </w:rPr>
      </w:pPr>
    </w:p>
    <w:p w14:paraId="7FFD01E4" w14:textId="77777777" w:rsidR="00EB3296" w:rsidRDefault="00EB3296">
      <w:pPr>
        <w:rPr>
          <w:lang w:val="en-GB"/>
        </w:rPr>
      </w:pPr>
    </w:p>
    <w:p w14:paraId="7F2C8CB9" w14:textId="77777777" w:rsidR="00EB3296" w:rsidRDefault="00EB3296">
      <w:pPr>
        <w:rPr>
          <w:lang w:val="en-GB"/>
        </w:rPr>
      </w:pPr>
    </w:p>
    <w:p w14:paraId="2DDB4E96" w14:textId="77777777" w:rsidR="00EB3296" w:rsidRPr="00EB3296" w:rsidRDefault="00EB3296" w:rsidP="00EB3296">
      <w:pPr>
        <w:pStyle w:val="EndNoteBibliography"/>
        <w:spacing w:after="0"/>
      </w:pPr>
      <w:r>
        <w:rPr>
          <w:lang w:val="en-GB"/>
        </w:rPr>
        <w:lastRenderedPageBreak/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r w:rsidRPr="00EB3296">
        <w:t>1.</w:t>
      </w:r>
      <w:r w:rsidRPr="00EB3296">
        <w:tab/>
        <w:t>Nakanishi K. Anatomy of four human Argonaute proteins. Nucleic Acids Res. 2022;50(12):6618-38.</w:t>
      </w:r>
    </w:p>
    <w:p w14:paraId="50081DBE" w14:textId="77777777" w:rsidR="00EB3296" w:rsidRPr="00EB3296" w:rsidRDefault="00EB3296" w:rsidP="00EB3296">
      <w:pPr>
        <w:pStyle w:val="EndNoteBibliography"/>
      </w:pPr>
      <w:r w:rsidRPr="00EB3296">
        <w:t>2.</w:t>
      </w:r>
      <w:r w:rsidRPr="00EB3296">
        <w:tab/>
        <w:t>Schirle NT, MacRae IJ. The crystal structure of human Argonaute2. Science. 2012;336(6084):1037-40.</w:t>
      </w:r>
    </w:p>
    <w:p w14:paraId="2A114EB6" w14:textId="5162A2B0" w:rsidR="007626F7" w:rsidRPr="008D48D8" w:rsidRDefault="00EB3296">
      <w:pPr>
        <w:rPr>
          <w:lang w:val="en-GB"/>
        </w:rPr>
      </w:pPr>
      <w:r>
        <w:rPr>
          <w:lang w:val="en-GB"/>
        </w:rPr>
        <w:fldChar w:fldCharType="end"/>
      </w:r>
    </w:p>
    <w:sectPr w:rsidR="007626F7" w:rsidRPr="008D48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Vancouv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vvvppsw3pwrdve5revpvvrksdzxdzaa0d2a&quot;&gt;Ago2-Converted&lt;record-ids&gt;&lt;item&gt;221&lt;/item&gt;&lt;item&gt;488&lt;/item&gt;&lt;/record-ids&gt;&lt;/item&gt;&lt;/Libraries&gt;"/>
  </w:docVars>
  <w:rsids>
    <w:rsidRoot w:val="008D48D8"/>
    <w:rsid w:val="000711BE"/>
    <w:rsid w:val="000A5AF7"/>
    <w:rsid w:val="000A6148"/>
    <w:rsid w:val="001155D6"/>
    <w:rsid w:val="00151F27"/>
    <w:rsid w:val="001E31CD"/>
    <w:rsid w:val="002B1DD6"/>
    <w:rsid w:val="003567ED"/>
    <w:rsid w:val="00544467"/>
    <w:rsid w:val="00572009"/>
    <w:rsid w:val="00582E89"/>
    <w:rsid w:val="006319E4"/>
    <w:rsid w:val="00712A42"/>
    <w:rsid w:val="007626F7"/>
    <w:rsid w:val="008D48D8"/>
    <w:rsid w:val="009B2F3D"/>
    <w:rsid w:val="00A50224"/>
    <w:rsid w:val="00A619AD"/>
    <w:rsid w:val="00A85449"/>
    <w:rsid w:val="00AC43F3"/>
    <w:rsid w:val="00B507A1"/>
    <w:rsid w:val="00B70508"/>
    <w:rsid w:val="00D95E9A"/>
    <w:rsid w:val="00E179E7"/>
    <w:rsid w:val="00EB3296"/>
    <w:rsid w:val="00F2492A"/>
    <w:rsid w:val="00F35F23"/>
    <w:rsid w:val="00F9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479AE"/>
  <w15:chartTrackingRefBased/>
  <w15:docId w15:val="{2D06F427-473E-4433-83C9-FED9D41D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8D48D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D48D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D48D8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4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48D8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Standard"/>
    <w:link w:val="EndNoteBibliographyTitleZchn"/>
    <w:rsid w:val="00EB329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EB329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EB329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EB3296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png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png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1271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ihg_uke</Company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Hans-Jürgen Kreienkamp</dc:creator>
  <cp:keywords/>
  <dc:description/>
  <cp:lastModifiedBy>Hans-Jürgen Kreienkamp</cp:lastModifiedBy>
  <cp:revision>2</cp:revision>
  <dcterms:created xsi:type="dcterms:W3CDTF">2025-12-05T13:45:00Z</dcterms:created>
  <dcterms:modified xsi:type="dcterms:W3CDTF">2025-12-05T13:45:00Z</dcterms:modified>
</cp:coreProperties>
</file>