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ABBF6" w14:textId="221D68F2" w:rsidR="00651D90" w:rsidRPr="00651D90" w:rsidRDefault="00651D90">
      <w:pPr>
        <w:rPr>
          <w:rFonts w:ascii="Calibri" w:hAnsi="Calibri" w:cs="Calibri"/>
          <w:sz w:val="28"/>
          <w:szCs w:val="28"/>
        </w:rPr>
      </w:pPr>
      <w:r w:rsidRPr="00651D90">
        <w:rPr>
          <w:rFonts w:ascii="Calibri" w:hAnsi="Calibri" w:cs="Calibri"/>
          <w:b/>
          <w:bCs/>
          <w:sz w:val="28"/>
          <w:szCs w:val="28"/>
        </w:rPr>
        <w:t>Supplementary Figures</w:t>
      </w:r>
    </w:p>
    <w:tbl>
      <w:tblPr>
        <w:tblStyle w:val="TableGrid"/>
        <w:tblW w:w="0" w:type="auto"/>
        <w:tblLook w:val="04A0" w:firstRow="1" w:lastRow="0" w:firstColumn="1" w:lastColumn="0" w:noHBand="0" w:noVBand="1"/>
      </w:tblPr>
      <w:tblGrid>
        <w:gridCol w:w="9022"/>
      </w:tblGrid>
      <w:tr w:rsidR="00651D90" w:rsidRPr="00651D90" w14:paraId="48DE3944" w14:textId="77777777" w:rsidTr="00651D90">
        <w:tc>
          <w:tcPr>
            <w:tcW w:w="9016" w:type="dxa"/>
            <w:tcBorders>
              <w:top w:val="nil"/>
              <w:left w:val="nil"/>
              <w:bottom w:val="nil"/>
              <w:right w:val="nil"/>
            </w:tcBorders>
          </w:tcPr>
          <w:p w14:paraId="300AFB66" w14:textId="66368FF9" w:rsidR="00651D90" w:rsidRPr="00651D90" w:rsidRDefault="006B37BE">
            <w:pPr>
              <w:rPr>
                <w:rFonts w:ascii="Calibri" w:hAnsi="Calibri" w:cs="Calibri"/>
              </w:rPr>
            </w:pPr>
            <w:r>
              <w:rPr>
                <w:rFonts w:ascii="Calibri" w:hAnsi="Calibri" w:cs="Calibri"/>
                <w:noProof/>
              </w:rPr>
              <w:drawing>
                <wp:inline distT="0" distB="0" distL="0" distR="0" wp14:anchorId="590ECC39" wp14:editId="173D6CFE">
                  <wp:extent cx="5591908" cy="3867127"/>
                  <wp:effectExtent l="0" t="0" r="0" b="0"/>
                  <wp:docPr id="937588646" name="Picture 10" descr="A graph of different types of d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88646" name="Picture 10" descr="A graph of different types of diversity&#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97804" cy="3871205"/>
                          </a:xfrm>
                          <a:prstGeom prst="rect">
                            <a:avLst/>
                          </a:prstGeom>
                        </pic:spPr>
                      </pic:pic>
                    </a:graphicData>
                  </a:graphic>
                </wp:inline>
              </w:drawing>
            </w:r>
          </w:p>
          <w:p w14:paraId="17C70381" w14:textId="18062B52" w:rsidR="00651D90" w:rsidRPr="00651D90" w:rsidRDefault="00651D90">
            <w:pPr>
              <w:rPr>
                <w:rFonts w:ascii="Calibri" w:hAnsi="Calibri" w:cs="Calibri"/>
                <w:b/>
                <w:bCs/>
                <w:sz w:val="20"/>
                <w:szCs w:val="20"/>
              </w:rPr>
            </w:pPr>
            <w:r w:rsidRPr="00651D90">
              <w:rPr>
                <w:rFonts w:ascii="Calibri" w:hAnsi="Calibri" w:cs="Calibri"/>
                <w:b/>
                <w:bCs/>
                <w:sz w:val="20"/>
                <w:szCs w:val="20"/>
              </w:rPr>
              <w:t xml:space="preserve">Figure S1. </w:t>
            </w:r>
            <w:r w:rsidR="00DF6EC7">
              <w:rPr>
                <w:rFonts w:ascii="Calibri" w:hAnsi="Calibri" w:cs="Calibri"/>
                <w:b/>
                <w:bCs/>
                <w:sz w:val="20"/>
                <w:szCs w:val="20"/>
              </w:rPr>
              <w:t xml:space="preserve">Effect of repeated rarefaction on alpha diversity calculations. </w:t>
            </w:r>
            <w:r w:rsidR="00DF6EC7">
              <w:rPr>
                <w:rFonts w:ascii="Calibri" w:hAnsi="Calibri" w:cs="Calibri"/>
                <w:sz w:val="20"/>
                <w:szCs w:val="20"/>
              </w:rPr>
              <w:t xml:space="preserve">All samples were rarefied to 2000 sequences </w:t>
            </w:r>
            <w:r w:rsidR="00DF6EC7">
              <w:rPr>
                <w:rFonts w:ascii="Calibri" w:hAnsi="Calibri" w:cs="Calibri"/>
                <w:i/>
                <w:iCs/>
                <w:sz w:val="20"/>
                <w:szCs w:val="20"/>
              </w:rPr>
              <w:t>n</w:t>
            </w:r>
            <w:r w:rsidR="00DF6EC7">
              <w:rPr>
                <w:rFonts w:ascii="Calibri" w:hAnsi="Calibri" w:cs="Calibri"/>
                <w:sz w:val="20"/>
                <w:szCs w:val="20"/>
              </w:rPr>
              <w:t xml:space="preserve">=100 times. Each plot here shows the mean while the shaded area shows the standard deviation for each sample. All other figures show only the mean for each sample. </w:t>
            </w:r>
          </w:p>
        </w:tc>
      </w:tr>
    </w:tbl>
    <w:p w14:paraId="58096A04" w14:textId="77777777" w:rsidR="00651D90" w:rsidRDefault="00651D90">
      <w:pPr>
        <w:rPr>
          <w:rFonts w:ascii="Calibri" w:hAnsi="Calibri" w:cs="Calibri"/>
        </w:rPr>
      </w:pPr>
    </w:p>
    <w:tbl>
      <w:tblPr>
        <w:tblStyle w:val="TableGrid"/>
        <w:tblW w:w="0" w:type="auto"/>
        <w:tblLook w:val="04A0" w:firstRow="1" w:lastRow="0" w:firstColumn="1" w:lastColumn="0" w:noHBand="0" w:noVBand="1"/>
      </w:tblPr>
      <w:tblGrid>
        <w:gridCol w:w="9026"/>
      </w:tblGrid>
      <w:tr w:rsidR="00651D90" w14:paraId="17A31237" w14:textId="77777777" w:rsidTr="00651D90">
        <w:tc>
          <w:tcPr>
            <w:tcW w:w="9016" w:type="dxa"/>
            <w:tcBorders>
              <w:top w:val="nil"/>
              <w:left w:val="nil"/>
              <w:bottom w:val="nil"/>
              <w:right w:val="nil"/>
            </w:tcBorders>
          </w:tcPr>
          <w:p w14:paraId="7D0AC669" w14:textId="3452F260" w:rsidR="00651D90" w:rsidRPr="00651D90" w:rsidRDefault="0009618A">
            <w:pPr>
              <w:rPr>
                <w:rFonts w:ascii="Calibri" w:hAnsi="Calibri" w:cs="Calibri"/>
                <w:sz w:val="20"/>
                <w:szCs w:val="20"/>
              </w:rPr>
            </w:pPr>
            <w:r>
              <w:rPr>
                <w:rFonts w:ascii="Calibri" w:hAnsi="Calibri" w:cs="Calibri"/>
                <w:noProof/>
                <w:sz w:val="20"/>
                <w:szCs w:val="20"/>
              </w:rPr>
              <w:lastRenderedPageBreak/>
              <w:drawing>
                <wp:inline distT="0" distB="0" distL="0" distR="0" wp14:anchorId="7C5F33CF" wp14:editId="49B82170">
                  <wp:extent cx="5632283" cy="5855677"/>
                  <wp:effectExtent l="0" t="0" r="0" b="0"/>
                  <wp:docPr id="1184710760" name="Picture 2"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10760" name="Picture 2" descr="A screenshot of a char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37662" cy="5861270"/>
                          </a:xfrm>
                          <a:prstGeom prst="rect">
                            <a:avLst/>
                          </a:prstGeom>
                        </pic:spPr>
                      </pic:pic>
                    </a:graphicData>
                  </a:graphic>
                </wp:inline>
              </w:drawing>
            </w:r>
          </w:p>
          <w:p w14:paraId="307BC78C" w14:textId="2DEBD068" w:rsidR="00651D90" w:rsidRPr="005413F6" w:rsidRDefault="00651D90">
            <w:pPr>
              <w:rPr>
                <w:rFonts w:ascii="Calibri" w:hAnsi="Calibri" w:cs="Calibri"/>
              </w:rPr>
            </w:pPr>
            <w:r w:rsidRPr="00651D90">
              <w:rPr>
                <w:rFonts w:ascii="Calibri" w:hAnsi="Calibri" w:cs="Calibri"/>
                <w:b/>
                <w:bCs/>
                <w:sz w:val="20"/>
                <w:szCs w:val="20"/>
              </w:rPr>
              <w:t xml:space="preserve">Figure S2. </w:t>
            </w:r>
            <w:r w:rsidR="007B0CF3">
              <w:rPr>
                <w:rFonts w:ascii="Calibri" w:hAnsi="Calibri" w:cs="Calibri"/>
                <w:b/>
                <w:bCs/>
                <w:sz w:val="20"/>
                <w:szCs w:val="20"/>
              </w:rPr>
              <w:t xml:space="preserve">Association between age and the salivary microbiome in children and adolescents. </w:t>
            </w:r>
            <w:r w:rsidR="007B0CF3">
              <w:rPr>
                <w:rFonts w:ascii="Calibri" w:hAnsi="Calibri" w:cs="Calibri"/>
                <w:sz w:val="20"/>
                <w:szCs w:val="20"/>
              </w:rPr>
              <w:t xml:space="preserve">(Top left) </w:t>
            </w:r>
            <w:r w:rsidR="007B0CF3" w:rsidRPr="24D8EBE2">
              <w:rPr>
                <w:rFonts w:ascii="Calibri" w:hAnsi="Calibri" w:cs="Calibri"/>
                <w:sz w:val="20"/>
                <w:szCs w:val="20"/>
              </w:rPr>
              <w:t xml:space="preserve">Phylogenetic-Robust Principal Component Analysis (RPCA) representing beta diversity between all participants, with each participant coloured by </w:t>
            </w:r>
            <w:r w:rsidR="007B0CF3">
              <w:rPr>
                <w:rFonts w:ascii="Calibri" w:hAnsi="Calibri" w:cs="Calibri"/>
                <w:sz w:val="20"/>
                <w:szCs w:val="20"/>
              </w:rPr>
              <w:t xml:space="preserve">age, with the plots on the bottom and right showing each of the Principal Components (PCs) </w:t>
            </w:r>
            <w:r w:rsidR="005413F6">
              <w:rPr>
                <w:rFonts w:ascii="Calibri" w:hAnsi="Calibri" w:cs="Calibri"/>
                <w:sz w:val="20"/>
                <w:szCs w:val="20"/>
              </w:rPr>
              <w:t xml:space="preserve">with age. Red lines showed the </w:t>
            </w:r>
            <w:r w:rsidR="00026B26" w:rsidRPr="000B2285">
              <w:rPr>
                <w:rFonts w:ascii="Calibri" w:hAnsi="Calibri" w:cs="Calibri"/>
                <w:sz w:val="20"/>
                <w:szCs w:val="20"/>
              </w:rPr>
              <w:t>least squares regression</w:t>
            </w:r>
            <w:r w:rsidR="00026B26">
              <w:rPr>
                <w:rFonts w:ascii="Calibri" w:hAnsi="Calibri" w:cs="Calibri"/>
                <w:sz w:val="20"/>
                <w:szCs w:val="20"/>
              </w:rPr>
              <w:t xml:space="preserve"> lines </w:t>
            </w:r>
            <w:r w:rsidR="005413F6">
              <w:rPr>
                <w:rFonts w:ascii="Calibri" w:hAnsi="Calibri" w:cs="Calibri"/>
                <w:sz w:val="20"/>
                <w:szCs w:val="20"/>
              </w:rPr>
              <w:t xml:space="preserve">for all samples. (Top right) six different alpha diversity metrics (y-axis) plotted against age (x-axis), with the red line again showing the </w:t>
            </w:r>
            <w:r w:rsidR="00026B26" w:rsidRPr="000B2285">
              <w:rPr>
                <w:rFonts w:ascii="Calibri" w:hAnsi="Calibri" w:cs="Calibri"/>
                <w:sz w:val="20"/>
                <w:szCs w:val="20"/>
              </w:rPr>
              <w:t>least squares regression</w:t>
            </w:r>
            <w:r w:rsidR="00026B26">
              <w:rPr>
                <w:rFonts w:ascii="Calibri" w:hAnsi="Calibri" w:cs="Calibri"/>
                <w:sz w:val="20"/>
                <w:szCs w:val="20"/>
              </w:rPr>
              <w:t xml:space="preserve"> lines </w:t>
            </w:r>
            <w:r w:rsidR="005413F6">
              <w:rPr>
                <w:rFonts w:ascii="Calibri" w:hAnsi="Calibri" w:cs="Calibri"/>
                <w:sz w:val="20"/>
                <w:szCs w:val="20"/>
              </w:rPr>
              <w:t xml:space="preserve">for all samples. Statistics values shown on the top left and top right are for uni- and multivariate PERMANOVA and ANOVA tests, respectively, along with Spearman’s correlations between each metric and age. (Bottom) Relative abundance (%), prevalence and differential abundance for genera that were either within the 20 most abundant genera overall (by mean abundance) or that were significantly differentially abundant with age (MaAsLin3 </w:t>
            </w:r>
            <w:r w:rsidR="005413F6">
              <w:rPr>
                <w:rFonts w:ascii="Calibri" w:hAnsi="Calibri" w:cs="Calibri"/>
                <w:i/>
                <w:iCs/>
                <w:sz w:val="20"/>
                <w:szCs w:val="20"/>
              </w:rPr>
              <w:t>q</w:t>
            </w:r>
            <w:r w:rsidR="005413F6">
              <w:rPr>
                <w:rFonts w:ascii="Calibri" w:hAnsi="Calibri" w:cs="Calibri"/>
                <w:sz w:val="20"/>
                <w:szCs w:val="20"/>
              </w:rPr>
              <w:t xml:space="preserve"> </w:t>
            </w:r>
            <w:r w:rsidR="005413F6">
              <w:rPr>
                <w:rFonts w:ascii="Symbol" w:eastAsia="Symbol" w:hAnsi="Symbol" w:cs="Symbol"/>
                <w:sz w:val="20"/>
                <w:szCs w:val="20"/>
              </w:rPr>
              <w:t>£</w:t>
            </w:r>
            <w:r w:rsidR="005413F6">
              <w:rPr>
                <w:rFonts w:ascii="Calibri" w:hAnsi="Calibri" w:cs="Calibri"/>
                <w:sz w:val="20"/>
                <w:szCs w:val="20"/>
              </w:rPr>
              <w:t xml:space="preserve"> 0.1). The left plot shows relative abundance with the cells being coloured by the proportion of the maximum abundance within each genus, with values being the mean within each age group (yellow being the most abundant and dark blue being the least abundant). The middle plot shows prevalence within each age group, with dark blue indicating high prevalence and white indicating low prevalence. The right plot shows coefficients for each </w:t>
            </w:r>
            <w:r w:rsidR="00F2358A">
              <w:rPr>
                <w:rFonts w:ascii="Calibri" w:hAnsi="Calibri" w:cs="Calibri"/>
                <w:sz w:val="20"/>
                <w:szCs w:val="20"/>
              </w:rPr>
              <w:t>genus</w:t>
            </w:r>
            <w:r w:rsidR="005413F6">
              <w:rPr>
                <w:rFonts w:ascii="Calibri" w:hAnsi="Calibri" w:cs="Calibri"/>
                <w:sz w:val="20"/>
                <w:szCs w:val="20"/>
              </w:rPr>
              <w:t xml:space="preserve"> with abundance or prevalence, with red colours indicating a positive association (</w:t>
            </w:r>
            <w:r w:rsidR="005413F6">
              <w:rPr>
                <w:rFonts w:ascii="Calibri" w:hAnsi="Calibri" w:cs="Calibri"/>
                <w:i/>
                <w:iCs/>
                <w:sz w:val="20"/>
                <w:szCs w:val="20"/>
              </w:rPr>
              <w:t>i.e.</w:t>
            </w:r>
            <w:r w:rsidR="005413F6">
              <w:rPr>
                <w:rFonts w:ascii="Calibri" w:hAnsi="Calibri" w:cs="Calibri"/>
                <w:sz w:val="20"/>
                <w:szCs w:val="20"/>
              </w:rPr>
              <w:t>, higher with increasing age) and blue colours indicating a negative association (</w:t>
            </w:r>
            <w:r w:rsidR="005413F6">
              <w:rPr>
                <w:rFonts w:ascii="Calibri" w:hAnsi="Calibri" w:cs="Calibri"/>
                <w:i/>
                <w:iCs/>
                <w:sz w:val="20"/>
                <w:szCs w:val="20"/>
              </w:rPr>
              <w:t>i.e.,</w:t>
            </w:r>
            <w:r w:rsidR="005413F6">
              <w:rPr>
                <w:rFonts w:ascii="Calibri" w:hAnsi="Calibri" w:cs="Calibri"/>
                <w:sz w:val="20"/>
                <w:szCs w:val="20"/>
              </w:rPr>
              <w:t xml:space="preserve"> lower with increasing age). </w:t>
            </w:r>
            <w:r w:rsidR="00F2358A">
              <w:rPr>
                <w:rFonts w:ascii="Calibri" w:hAnsi="Calibri" w:cs="Calibri"/>
                <w:sz w:val="20"/>
                <w:szCs w:val="20"/>
              </w:rPr>
              <w:t>Coefficients are only shown for genera that were significantly differentially abundant (</w:t>
            </w:r>
            <w:r w:rsidR="00F2358A">
              <w:rPr>
                <w:rFonts w:ascii="Calibri" w:hAnsi="Calibri" w:cs="Calibri"/>
                <w:i/>
                <w:iCs/>
                <w:sz w:val="20"/>
                <w:szCs w:val="20"/>
              </w:rPr>
              <w:t>q</w:t>
            </w:r>
            <w:r w:rsidR="00F2358A">
              <w:rPr>
                <w:rFonts w:ascii="Calibri" w:hAnsi="Calibri" w:cs="Calibri"/>
                <w:sz w:val="20"/>
                <w:szCs w:val="20"/>
              </w:rPr>
              <w:t xml:space="preserve"> </w:t>
            </w:r>
            <w:r w:rsidR="00F2358A">
              <w:rPr>
                <w:rFonts w:ascii="Symbol" w:eastAsia="Symbol" w:hAnsi="Symbol" w:cs="Symbol"/>
                <w:sz w:val="20"/>
                <w:szCs w:val="20"/>
              </w:rPr>
              <w:t>£</w:t>
            </w:r>
            <w:r w:rsidR="00F2358A">
              <w:rPr>
                <w:rFonts w:ascii="Calibri" w:hAnsi="Calibri" w:cs="Calibri"/>
                <w:sz w:val="20"/>
                <w:szCs w:val="20"/>
              </w:rPr>
              <w:t xml:space="preserve"> 0.1). </w:t>
            </w:r>
          </w:p>
        </w:tc>
      </w:tr>
    </w:tbl>
    <w:p w14:paraId="327CED4A" w14:textId="77777777" w:rsidR="00651D90" w:rsidRDefault="00651D90">
      <w:pPr>
        <w:rPr>
          <w:rFonts w:ascii="Calibri" w:hAnsi="Calibri" w:cs="Calibri"/>
        </w:rPr>
      </w:pPr>
    </w:p>
    <w:tbl>
      <w:tblPr>
        <w:tblStyle w:val="TableGrid"/>
        <w:tblW w:w="0" w:type="auto"/>
        <w:tblLook w:val="04A0" w:firstRow="1" w:lastRow="0" w:firstColumn="1" w:lastColumn="0" w:noHBand="0" w:noVBand="1"/>
      </w:tblPr>
      <w:tblGrid>
        <w:gridCol w:w="9026"/>
      </w:tblGrid>
      <w:tr w:rsidR="00651D90" w14:paraId="230531A0" w14:textId="77777777" w:rsidTr="00651D90">
        <w:tc>
          <w:tcPr>
            <w:tcW w:w="9016" w:type="dxa"/>
            <w:tcBorders>
              <w:top w:val="nil"/>
              <w:left w:val="nil"/>
              <w:bottom w:val="nil"/>
              <w:right w:val="nil"/>
            </w:tcBorders>
          </w:tcPr>
          <w:p w14:paraId="6B41048B" w14:textId="2AAFC02C" w:rsidR="00651D90" w:rsidRPr="00651D90" w:rsidRDefault="00FB5CDF">
            <w:pPr>
              <w:rPr>
                <w:rFonts w:ascii="Calibri" w:hAnsi="Calibri" w:cs="Calibri"/>
                <w:sz w:val="20"/>
                <w:szCs w:val="20"/>
              </w:rPr>
            </w:pPr>
            <w:r>
              <w:rPr>
                <w:rFonts w:ascii="Calibri" w:hAnsi="Calibri" w:cs="Calibri"/>
                <w:noProof/>
                <w:sz w:val="20"/>
                <w:szCs w:val="20"/>
              </w:rPr>
              <w:lastRenderedPageBreak/>
              <w:drawing>
                <wp:inline distT="0" distB="0" distL="0" distR="0" wp14:anchorId="2414454F" wp14:editId="5A0AD514">
                  <wp:extent cx="5600700" cy="5639171"/>
                  <wp:effectExtent l="0" t="0" r="0" b="0"/>
                  <wp:docPr id="1909617428" name="Picture 4" descr="A screenshot of a data visual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17428" name="Picture 4" descr="A screenshot of a data visualizatio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5645" cy="5644150"/>
                          </a:xfrm>
                          <a:prstGeom prst="rect">
                            <a:avLst/>
                          </a:prstGeom>
                        </pic:spPr>
                      </pic:pic>
                    </a:graphicData>
                  </a:graphic>
                </wp:inline>
              </w:drawing>
            </w:r>
          </w:p>
          <w:p w14:paraId="0421E2C4" w14:textId="6A614110" w:rsidR="00651D90" w:rsidRPr="00966625" w:rsidRDefault="00651D90">
            <w:pPr>
              <w:rPr>
                <w:rFonts w:ascii="Calibri" w:hAnsi="Calibri" w:cs="Calibri"/>
                <w:sz w:val="20"/>
                <w:szCs w:val="20"/>
              </w:rPr>
            </w:pPr>
            <w:r w:rsidRPr="00651D90">
              <w:rPr>
                <w:rFonts w:ascii="Calibri" w:hAnsi="Calibri" w:cs="Calibri"/>
                <w:b/>
                <w:bCs/>
                <w:sz w:val="20"/>
                <w:szCs w:val="20"/>
              </w:rPr>
              <w:t>Figure S3.</w:t>
            </w:r>
            <w:r w:rsidRPr="00651D90">
              <w:rPr>
                <w:rFonts w:ascii="Calibri" w:hAnsi="Calibri" w:cs="Calibri"/>
                <w:sz w:val="20"/>
                <w:szCs w:val="20"/>
              </w:rPr>
              <w:t xml:space="preserve"> </w:t>
            </w:r>
            <w:r w:rsidR="00CA49DC">
              <w:rPr>
                <w:rFonts w:ascii="Calibri" w:hAnsi="Calibri" w:cs="Calibri"/>
                <w:b/>
                <w:bCs/>
                <w:sz w:val="20"/>
                <w:szCs w:val="20"/>
              </w:rPr>
              <w:t xml:space="preserve">Association between ethnicity and the salivary microbiome in children and adolescents. </w:t>
            </w:r>
            <w:r w:rsidR="00CA49DC">
              <w:rPr>
                <w:rFonts w:ascii="Calibri" w:hAnsi="Calibri" w:cs="Calibri"/>
                <w:sz w:val="20"/>
                <w:szCs w:val="20"/>
              </w:rPr>
              <w:t xml:space="preserve">(Top left) </w:t>
            </w:r>
            <w:r w:rsidR="00CA49DC" w:rsidRPr="24D8EBE2">
              <w:rPr>
                <w:rFonts w:ascii="Calibri" w:hAnsi="Calibri" w:cs="Calibri"/>
                <w:sz w:val="20"/>
                <w:szCs w:val="20"/>
              </w:rPr>
              <w:t xml:space="preserve">Phylogenetic-Robust Principal Component Analysis (RPCA) representing beta diversity between all participants, with each participant coloured by </w:t>
            </w:r>
            <w:r w:rsidR="003E272A">
              <w:rPr>
                <w:rFonts w:ascii="Calibri" w:hAnsi="Calibri" w:cs="Calibri"/>
                <w:sz w:val="20"/>
                <w:szCs w:val="20"/>
              </w:rPr>
              <w:t>ethnicity</w:t>
            </w:r>
            <w:r w:rsidR="00CA49DC">
              <w:rPr>
                <w:rFonts w:ascii="Calibri" w:hAnsi="Calibri" w:cs="Calibri"/>
                <w:sz w:val="20"/>
                <w:szCs w:val="20"/>
              </w:rPr>
              <w:t xml:space="preserve">, with the plots on the bottom and right showing each of the Principal Components (PCs) with </w:t>
            </w:r>
            <w:r w:rsidR="00963FD0">
              <w:rPr>
                <w:rFonts w:ascii="Calibri" w:hAnsi="Calibri" w:cs="Calibri"/>
                <w:sz w:val="20"/>
                <w:szCs w:val="20"/>
              </w:rPr>
              <w:t>ethnicity</w:t>
            </w:r>
            <w:r w:rsidR="00CA49DC">
              <w:rPr>
                <w:rFonts w:ascii="Calibri" w:hAnsi="Calibri" w:cs="Calibri"/>
                <w:sz w:val="20"/>
                <w:szCs w:val="20"/>
              </w:rPr>
              <w:t xml:space="preserve">. (Top right) six different alpha diversity metrics (y-axis) plotted against </w:t>
            </w:r>
            <w:r w:rsidR="00F11B49">
              <w:rPr>
                <w:rFonts w:ascii="Calibri" w:hAnsi="Calibri" w:cs="Calibri"/>
                <w:sz w:val="20"/>
                <w:szCs w:val="20"/>
              </w:rPr>
              <w:t>ethnicity</w:t>
            </w:r>
            <w:r w:rsidR="00CA49DC">
              <w:rPr>
                <w:rFonts w:ascii="Calibri" w:hAnsi="Calibri" w:cs="Calibri"/>
                <w:sz w:val="20"/>
                <w:szCs w:val="20"/>
              </w:rPr>
              <w:t xml:space="preserve"> (x-axis)</w:t>
            </w:r>
            <w:r w:rsidR="00966625">
              <w:rPr>
                <w:rFonts w:ascii="Calibri" w:hAnsi="Calibri" w:cs="Calibri"/>
                <w:sz w:val="20"/>
                <w:szCs w:val="20"/>
              </w:rPr>
              <w:t xml:space="preserve">. Box plots represent the interquartile range (IQR) and the line represents the median while whiskers represent the 1.5 x the IQR added to the third quartile or subtracted from the first quartile. Shaded areas indicate violin plots and each point represents a participant. </w:t>
            </w:r>
            <w:r w:rsidR="00CA49DC">
              <w:rPr>
                <w:rFonts w:ascii="Calibri" w:hAnsi="Calibri" w:cs="Calibri"/>
                <w:sz w:val="20"/>
                <w:szCs w:val="20"/>
              </w:rPr>
              <w:t xml:space="preserve">Statistics values shown on the top left and top right are for uni- and multivariate PERMANOVA and ANOVA tests, respectively. (Bottom) Relative abundance (%), prevalence and differential abundance for genera that were either within the 20 most abundant genera overall (by mean abundance) or that were significantly differentially abundant with </w:t>
            </w:r>
            <w:r w:rsidR="00966625">
              <w:rPr>
                <w:rFonts w:ascii="Calibri" w:hAnsi="Calibri" w:cs="Calibri"/>
                <w:sz w:val="20"/>
                <w:szCs w:val="20"/>
              </w:rPr>
              <w:t>ethnicity</w:t>
            </w:r>
            <w:r w:rsidR="00CA49DC">
              <w:rPr>
                <w:rFonts w:ascii="Calibri" w:hAnsi="Calibri" w:cs="Calibri"/>
                <w:sz w:val="20"/>
                <w:szCs w:val="20"/>
              </w:rPr>
              <w:t xml:space="preserve"> (MaAsLin3 </w:t>
            </w:r>
            <w:r w:rsidR="00CA49DC">
              <w:rPr>
                <w:rFonts w:ascii="Calibri" w:hAnsi="Calibri" w:cs="Calibri"/>
                <w:i/>
                <w:iCs/>
                <w:sz w:val="20"/>
                <w:szCs w:val="20"/>
              </w:rPr>
              <w:t>q</w:t>
            </w:r>
            <w:r w:rsidR="00CA49DC">
              <w:rPr>
                <w:rFonts w:ascii="Calibri" w:hAnsi="Calibri" w:cs="Calibri"/>
                <w:sz w:val="20"/>
                <w:szCs w:val="20"/>
              </w:rPr>
              <w:t xml:space="preserve"> </w:t>
            </w:r>
            <w:r w:rsidR="00CA49DC">
              <w:rPr>
                <w:rFonts w:ascii="Symbol" w:eastAsia="Symbol" w:hAnsi="Symbol" w:cs="Symbol"/>
                <w:sz w:val="20"/>
                <w:szCs w:val="20"/>
              </w:rPr>
              <w:t>£</w:t>
            </w:r>
            <w:r w:rsidR="00CA49DC">
              <w:rPr>
                <w:rFonts w:ascii="Calibri" w:hAnsi="Calibri" w:cs="Calibri"/>
                <w:sz w:val="20"/>
                <w:szCs w:val="20"/>
              </w:rPr>
              <w:t xml:space="preserve"> 0.1). The left plot shows relative abundance with the cells being coloured by the proportion of the maximum abundance within each genus, with values being the mean within each </w:t>
            </w:r>
            <w:r w:rsidR="00AC4693">
              <w:rPr>
                <w:rFonts w:ascii="Calibri" w:hAnsi="Calibri" w:cs="Calibri"/>
                <w:sz w:val="20"/>
                <w:szCs w:val="20"/>
              </w:rPr>
              <w:t>ethnicity</w:t>
            </w:r>
            <w:r w:rsidR="00CA49DC">
              <w:rPr>
                <w:rFonts w:ascii="Calibri" w:hAnsi="Calibri" w:cs="Calibri"/>
                <w:sz w:val="20"/>
                <w:szCs w:val="20"/>
              </w:rPr>
              <w:t xml:space="preserve"> group (yellow being the most abundant and dark blue being the least abundant). The middle plot shows prevalence within each </w:t>
            </w:r>
            <w:r w:rsidR="00AC4693">
              <w:rPr>
                <w:rFonts w:ascii="Calibri" w:hAnsi="Calibri" w:cs="Calibri"/>
                <w:sz w:val="20"/>
                <w:szCs w:val="20"/>
              </w:rPr>
              <w:t>ethnicity</w:t>
            </w:r>
            <w:r w:rsidR="00CA49DC">
              <w:rPr>
                <w:rFonts w:ascii="Calibri" w:hAnsi="Calibri" w:cs="Calibri"/>
                <w:sz w:val="20"/>
                <w:szCs w:val="20"/>
              </w:rPr>
              <w:t xml:space="preserve"> group, with dark blue indicating high prevalence and white indicating low prevalence. The right plot shows </w:t>
            </w:r>
            <w:r w:rsidR="001F346C">
              <w:rPr>
                <w:rFonts w:ascii="Calibri" w:hAnsi="Calibri" w:cs="Calibri"/>
                <w:sz w:val="20"/>
                <w:szCs w:val="20"/>
              </w:rPr>
              <w:t>whether each genus was significant</w:t>
            </w:r>
            <w:r w:rsidR="00CA075E">
              <w:rPr>
                <w:rFonts w:ascii="Calibri" w:hAnsi="Calibri" w:cs="Calibri"/>
                <w:sz w:val="20"/>
                <w:szCs w:val="20"/>
              </w:rPr>
              <w:t>ly</w:t>
            </w:r>
            <w:r w:rsidR="001F346C">
              <w:rPr>
                <w:rFonts w:ascii="Calibri" w:hAnsi="Calibri" w:cs="Calibri"/>
                <w:sz w:val="20"/>
                <w:szCs w:val="20"/>
              </w:rPr>
              <w:t xml:space="preserve"> associated with abundance or prevalence</w:t>
            </w:r>
            <w:r w:rsidR="00CA49DC">
              <w:rPr>
                <w:rFonts w:ascii="Calibri" w:hAnsi="Calibri" w:cs="Calibri"/>
                <w:sz w:val="20"/>
                <w:szCs w:val="20"/>
              </w:rPr>
              <w:t>.</w:t>
            </w:r>
            <w:r w:rsidR="00CA075E">
              <w:rPr>
                <w:rFonts w:ascii="Calibri" w:hAnsi="Calibri" w:cs="Calibri"/>
                <w:sz w:val="20"/>
                <w:szCs w:val="20"/>
              </w:rPr>
              <w:t xml:space="preserve"> No reference group was used for differential abundance tests and there are therefore no coefficients associated with ethnicity.</w:t>
            </w:r>
            <w:r w:rsidR="00CA49DC">
              <w:rPr>
                <w:rFonts w:ascii="Calibri" w:hAnsi="Calibri" w:cs="Calibri"/>
                <w:sz w:val="20"/>
                <w:szCs w:val="20"/>
              </w:rPr>
              <w:t xml:space="preserve"> </w:t>
            </w:r>
            <w:r w:rsidR="001F346C">
              <w:rPr>
                <w:rFonts w:ascii="Calibri" w:hAnsi="Calibri" w:cs="Calibri"/>
                <w:sz w:val="20"/>
                <w:szCs w:val="20"/>
              </w:rPr>
              <w:t>Cells are coloured and have a star</w:t>
            </w:r>
            <w:r w:rsidR="00CA49DC">
              <w:rPr>
                <w:rFonts w:ascii="Calibri" w:hAnsi="Calibri" w:cs="Calibri"/>
                <w:sz w:val="20"/>
                <w:szCs w:val="20"/>
              </w:rPr>
              <w:t xml:space="preserve"> for genera that were significantly differentially abundant (</w:t>
            </w:r>
            <w:r w:rsidR="00CA49DC">
              <w:rPr>
                <w:rFonts w:ascii="Calibri" w:hAnsi="Calibri" w:cs="Calibri"/>
                <w:i/>
                <w:iCs/>
                <w:sz w:val="20"/>
                <w:szCs w:val="20"/>
              </w:rPr>
              <w:t>q</w:t>
            </w:r>
            <w:r w:rsidR="00CA49DC">
              <w:rPr>
                <w:rFonts w:ascii="Calibri" w:hAnsi="Calibri" w:cs="Calibri"/>
                <w:sz w:val="20"/>
                <w:szCs w:val="20"/>
              </w:rPr>
              <w:t xml:space="preserve"> </w:t>
            </w:r>
            <w:r w:rsidR="00CA49DC">
              <w:rPr>
                <w:rFonts w:ascii="Symbol" w:eastAsia="Symbol" w:hAnsi="Symbol" w:cs="Symbol"/>
                <w:sz w:val="20"/>
                <w:szCs w:val="20"/>
              </w:rPr>
              <w:t>£</w:t>
            </w:r>
            <w:r w:rsidR="00CA49DC">
              <w:rPr>
                <w:rFonts w:ascii="Calibri" w:hAnsi="Calibri" w:cs="Calibri"/>
                <w:sz w:val="20"/>
                <w:szCs w:val="20"/>
              </w:rPr>
              <w:t xml:space="preserve"> 0.1).</w:t>
            </w:r>
          </w:p>
        </w:tc>
      </w:tr>
    </w:tbl>
    <w:p w14:paraId="5A669F63" w14:textId="77777777" w:rsidR="00651D90" w:rsidRDefault="00651D90">
      <w:pPr>
        <w:rPr>
          <w:rFonts w:ascii="Calibri" w:hAnsi="Calibri" w:cs="Calibri"/>
        </w:rPr>
      </w:pPr>
    </w:p>
    <w:tbl>
      <w:tblPr>
        <w:tblStyle w:val="TableGrid"/>
        <w:tblW w:w="0" w:type="auto"/>
        <w:tblLook w:val="04A0" w:firstRow="1" w:lastRow="0" w:firstColumn="1" w:lastColumn="0" w:noHBand="0" w:noVBand="1"/>
      </w:tblPr>
      <w:tblGrid>
        <w:gridCol w:w="9022"/>
      </w:tblGrid>
      <w:tr w:rsidR="00651D90" w14:paraId="16D45D46" w14:textId="77777777" w:rsidTr="00651D90">
        <w:tc>
          <w:tcPr>
            <w:tcW w:w="9016" w:type="dxa"/>
            <w:tcBorders>
              <w:top w:val="nil"/>
              <w:left w:val="nil"/>
              <w:bottom w:val="nil"/>
              <w:right w:val="nil"/>
            </w:tcBorders>
          </w:tcPr>
          <w:p w14:paraId="2D953998" w14:textId="0060CD2D" w:rsidR="00651D90" w:rsidRPr="00651D90" w:rsidRDefault="00555BB9">
            <w:pPr>
              <w:rPr>
                <w:rFonts w:ascii="Calibri" w:hAnsi="Calibri" w:cs="Calibri"/>
                <w:sz w:val="20"/>
                <w:szCs w:val="20"/>
              </w:rPr>
            </w:pPr>
            <w:r>
              <w:rPr>
                <w:rFonts w:ascii="Calibri" w:hAnsi="Calibri" w:cs="Calibri"/>
                <w:noProof/>
                <w:sz w:val="20"/>
                <w:szCs w:val="20"/>
              </w:rPr>
              <w:lastRenderedPageBreak/>
              <w:drawing>
                <wp:inline distT="0" distB="0" distL="0" distR="0" wp14:anchorId="46B2D2A4" wp14:editId="0279CA59">
                  <wp:extent cx="5591908" cy="5643329"/>
                  <wp:effectExtent l="0" t="0" r="0" b="0"/>
                  <wp:docPr id="11963815"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815" name="Picture 3" descr="A screenshot of a computer scree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8754" cy="5650238"/>
                          </a:xfrm>
                          <a:prstGeom prst="rect">
                            <a:avLst/>
                          </a:prstGeom>
                        </pic:spPr>
                      </pic:pic>
                    </a:graphicData>
                  </a:graphic>
                </wp:inline>
              </w:drawing>
            </w:r>
          </w:p>
          <w:p w14:paraId="13E016B8" w14:textId="6A35FB1E" w:rsidR="00651D90" w:rsidRDefault="00651D90">
            <w:pPr>
              <w:rPr>
                <w:rFonts w:ascii="Calibri" w:hAnsi="Calibri" w:cs="Calibri"/>
              </w:rPr>
            </w:pPr>
            <w:r w:rsidRPr="00651D90">
              <w:rPr>
                <w:rFonts w:ascii="Calibri" w:hAnsi="Calibri" w:cs="Calibri"/>
                <w:b/>
                <w:bCs/>
                <w:sz w:val="20"/>
                <w:szCs w:val="20"/>
              </w:rPr>
              <w:t>Figure S4.</w:t>
            </w:r>
            <w:r w:rsidRPr="00651D90">
              <w:rPr>
                <w:rFonts w:ascii="Calibri" w:hAnsi="Calibri" w:cs="Calibri"/>
                <w:sz w:val="20"/>
                <w:szCs w:val="20"/>
              </w:rPr>
              <w:t xml:space="preserve"> </w:t>
            </w:r>
            <w:r w:rsidR="005519E5">
              <w:rPr>
                <w:rFonts w:ascii="Calibri" w:hAnsi="Calibri" w:cs="Calibri"/>
                <w:b/>
                <w:bCs/>
                <w:sz w:val="20"/>
                <w:szCs w:val="20"/>
              </w:rPr>
              <w:t xml:space="preserve">Association between gender and the salivary microbiome in children and adolescents. </w:t>
            </w:r>
            <w:r w:rsidR="005519E5">
              <w:rPr>
                <w:rFonts w:ascii="Calibri" w:hAnsi="Calibri" w:cs="Calibri"/>
                <w:sz w:val="20"/>
                <w:szCs w:val="20"/>
              </w:rPr>
              <w:t xml:space="preserve">(Top left) </w:t>
            </w:r>
            <w:r w:rsidR="005519E5" w:rsidRPr="24D8EBE2">
              <w:rPr>
                <w:rFonts w:ascii="Calibri" w:hAnsi="Calibri" w:cs="Calibri"/>
                <w:sz w:val="20"/>
                <w:szCs w:val="20"/>
              </w:rPr>
              <w:t xml:space="preserve">Phylogenetic-Robust Principal Component Analysis (RPCA) representing beta diversity between all participants, with each participant coloured by </w:t>
            </w:r>
            <w:r w:rsidR="00F11B49">
              <w:rPr>
                <w:rFonts w:ascii="Calibri" w:hAnsi="Calibri" w:cs="Calibri"/>
                <w:sz w:val="20"/>
                <w:szCs w:val="20"/>
              </w:rPr>
              <w:t>gender</w:t>
            </w:r>
            <w:r w:rsidR="005519E5">
              <w:rPr>
                <w:rFonts w:ascii="Calibri" w:hAnsi="Calibri" w:cs="Calibri"/>
                <w:sz w:val="20"/>
                <w:szCs w:val="20"/>
              </w:rPr>
              <w:t xml:space="preserve">, with the plots on the bottom and right showing each of the Principal Components (PCs) with </w:t>
            </w:r>
            <w:r w:rsidR="00F11B49">
              <w:rPr>
                <w:rFonts w:ascii="Calibri" w:hAnsi="Calibri" w:cs="Calibri"/>
                <w:sz w:val="20"/>
                <w:szCs w:val="20"/>
              </w:rPr>
              <w:t>gender</w:t>
            </w:r>
            <w:r w:rsidR="005519E5">
              <w:rPr>
                <w:rFonts w:ascii="Calibri" w:hAnsi="Calibri" w:cs="Calibri"/>
                <w:sz w:val="20"/>
                <w:szCs w:val="20"/>
              </w:rPr>
              <w:t xml:space="preserve">. (Top right) six different alpha diversity metrics (y-axis) plotted against </w:t>
            </w:r>
            <w:r w:rsidR="00F11B49">
              <w:rPr>
                <w:rFonts w:ascii="Calibri" w:hAnsi="Calibri" w:cs="Calibri"/>
                <w:sz w:val="20"/>
                <w:szCs w:val="20"/>
              </w:rPr>
              <w:t>gender</w:t>
            </w:r>
            <w:r w:rsidR="005519E5">
              <w:rPr>
                <w:rFonts w:ascii="Calibri" w:hAnsi="Calibri" w:cs="Calibri"/>
                <w:sz w:val="20"/>
                <w:szCs w:val="20"/>
              </w:rPr>
              <w:t xml:space="preserve"> (x-axis). Box plots represent the interquartile range (IQR) and the line represents the median while whiskers represent the 1.5 x the IQR added to the third quartile or subtracted from the first quartile. Shaded areas indicate violin plots and each point represents a participant. Statistics values shown on the top left and top right are for uni- and multivariate PERMANOVA and ANOVA tests, respectively. (Bottom) Relative abundance (%), prevalence and differential abundance for genera that were either within the 20 most abundant genera overall (by mean abundance) or that were significantly differentially abundant with </w:t>
            </w:r>
            <w:r w:rsidR="003A5CD1">
              <w:rPr>
                <w:rFonts w:ascii="Calibri" w:hAnsi="Calibri" w:cs="Calibri"/>
                <w:sz w:val="20"/>
                <w:szCs w:val="20"/>
              </w:rPr>
              <w:t>gender</w:t>
            </w:r>
            <w:r w:rsidR="005519E5">
              <w:rPr>
                <w:rFonts w:ascii="Calibri" w:hAnsi="Calibri" w:cs="Calibri"/>
                <w:sz w:val="20"/>
                <w:szCs w:val="20"/>
              </w:rPr>
              <w:t xml:space="preserve"> (MaAsLin3 </w:t>
            </w:r>
            <w:r w:rsidR="005519E5">
              <w:rPr>
                <w:rFonts w:ascii="Calibri" w:hAnsi="Calibri" w:cs="Calibri"/>
                <w:i/>
                <w:iCs/>
                <w:sz w:val="20"/>
                <w:szCs w:val="20"/>
              </w:rPr>
              <w:t>q</w:t>
            </w:r>
            <w:r w:rsidR="005519E5">
              <w:rPr>
                <w:rFonts w:ascii="Calibri" w:hAnsi="Calibri" w:cs="Calibri"/>
                <w:sz w:val="20"/>
                <w:szCs w:val="20"/>
              </w:rPr>
              <w:t xml:space="preserve"> </w:t>
            </w:r>
            <w:r w:rsidR="005519E5">
              <w:rPr>
                <w:rFonts w:ascii="Symbol" w:eastAsia="Symbol" w:hAnsi="Symbol" w:cs="Symbol"/>
                <w:sz w:val="20"/>
                <w:szCs w:val="20"/>
              </w:rPr>
              <w:t>£</w:t>
            </w:r>
            <w:r w:rsidR="005519E5">
              <w:rPr>
                <w:rFonts w:ascii="Calibri" w:hAnsi="Calibri" w:cs="Calibri"/>
                <w:sz w:val="20"/>
                <w:szCs w:val="20"/>
              </w:rPr>
              <w:t xml:space="preserve"> 0.1). The left plot shows relative abundance with the cells being coloured by the proportion of the maximum abundance within each genus, with values being the mean within each </w:t>
            </w:r>
            <w:r w:rsidR="00AC4693">
              <w:rPr>
                <w:rFonts w:ascii="Calibri" w:hAnsi="Calibri" w:cs="Calibri"/>
                <w:sz w:val="20"/>
                <w:szCs w:val="20"/>
              </w:rPr>
              <w:t>gender</w:t>
            </w:r>
            <w:r w:rsidR="005519E5">
              <w:rPr>
                <w:rFonts w:ascii="Calibri" w:hAnsi="Calibri" w:cs="Calibri"/>
                <w:sz w:val="20"/>
                <w:szCs w:val="20"/>
              </w:rPr>
              <w:t xml:space="preserve"> group (yellow being the most abundant and dark blue being the least abundant). The middle plot shows prevalence within each </w:t>
            </w:r>
            <w:r w:rsidR="00AC4693">
              <w:rPr>
                <w:rFonts w:ascii="Calibri" w:hAnsi="Calibri" w:cs="Calibri"/>
                <w:sz w:val="20"/>
                <w:szCs w:val="20"/>
              </w:rPr>
              <w:t>gender</w:t>
            </w:r>
            <w:r w:rsidR="005519E5">
              <w:rPr>
                <w:rFonts w:ascii="Calibri" w:hAnsi="Calibri" w:cs="Calibri"/>
                <w:sz w:val="20"/>
                <w:szCs w:val="20"/>
              </w:rPr>
              <w:t xml:space="preserve"> group, with dark blue indicating high prevalence and white indicating low prevalence. The right plot shows whether each genus was significant associated with abundance or prevalence. </w:t>
            </w:r>
            <w:r w:rsidR="00CA075E">
              <w:rPr>
                <w:rFonts w:ascii="Calibri" w:hAnsi="Calibri" w:cs="Calibri"/>
                <w:sz w:val="20"/>
                <w:szCs w:val="20"/>
              </w:rPr>
              <w:t xml:space="preserve">No reference group was used for differential abundance tests and there are therefore no coefficients associated with ethnicity. </w:t>
            </w:r>
            <w:r w:rsidR="005519E5">
              <w:rPr>
                <w:rFonts w:ascii="Calibri" w:hAnsi="Calibri" w:cs="Calibri"/>
                <w:sz w:val="20"/>
                <w:szCs w:val="20"/>
              </w:rPr>
              <w:t>Cells are coloured and have a star for genera that were significantly differentially abundant (</w:t>
            </w:r>
            <w:r w:rsidR="005519E5">
              <w:rPr>
                <w:rFonts w:ascii="Calibri" w:hAnsi="Calibri" w:cs="Calibri"/>
                <w:i/>
                <w:iCs/>
                <w:sz w:val="20"/>
                <w:szCs w:val="20"/>
              </w:rPr>
              <w:t>q</w:t>
            </w:r>
            <w:r w:rsidR="005519E5">
              <w:rPr>
                <w:rFonts w:ascii="Calibri" w:hAnsi="Calibri" w:cs="Calibri"/>
                <w:sz w:val="20"/>
                <w:szCs w:val="20"/>
              </w:rPr>
              <w:t xml:space="preserve"> </w:t>
            </w:r>
            <w:r w:rsidR="005519E5">
              <w:rPr>
                <w:rFonts w:ascii="Symbol" w:eastAsia="Symbol" w:hAnsi="Symbol" w:cs="Symbol"/>
                <w:sz w:val="20"/>
                <w:szCs w:val="20"/>
              </w:rPr>
              <w:t>£</w:t>
            </w:r>
            <w:r w:rsidR="005519E5">
              <w:rPr>
                <w:rFonts w:ascii="Calibri" w:hAnsi="Calibri" w:cs="Calibri"/>
                <w:sz w:val="20"/>
                <w:szCs w:val="20"/>
              </w:rPr>
              <w:t xml:space="preserve"> 0.1).</w:t>
            </w:r>
          </w:p>
        </w:tc>
      </w:tr>
    </w:tbl>
    <w:p w14:paraId="70C0788E" w14:textId="77777777" w:rsidR="00651D90" w:rsidRDefault="00651D90">
      <w:pPr>
        <w:rPr>
          <w:rFonts w:ascii="Calibri" w:hAnsi="Calibri" w:cs="Calibri"/>
        </w:rPr>
      </w:pPr>
    </w:p>
    <w:tbl>
      <w:tblPr>
        <w:tblStyle w:val="TableGrid"/>
        <w:tblW w:w="0" w:type="auto"/>
        <w:tblLook w:val="04A0" w:firstRow="1" w:lastRow="0" w:firstColumn="1" w:lastColumn="0" w:noHBand="0" w:noVBand="1"/>
      </w:tblPr>
      <w:tblGrid>
        <w:gridCol w:w="9026"/>
      </w:tblGrid>
      <w:tr w:rsidR="00651D90" w14:paraId="4761E13D" w14:textId="77777777" w:rsidTr="00651D90">
        <w:tc>
          <w:tcPr>
            <w:tcW w:w="9016" w:type="dxa"/>
            <w:tcBorders>
              <w:top w:val="nil"/>
              <w:left w:val="nil"/>
              <w:bottom w:val="nil"/>
              <w:right w:val="nil"/>
            </w:tcBorders>
          </w:tcPr>
          <w:p w14:paraId="3E83745F" w14:textId="6167D9E5" w:rsidR="00651D90" w:rsidRDefault="00BB3E3D">
            <w:pPr>
              <w:rPr>
                <w:rFonts w:ascii="Calibri" w:hAnsi="Calibri" w:cs="Calibri"/>
              </w:rPr>
            </w:pPr>
            <w:r>
              <w:rPr>
                <w:rFonts w:ascii="Calibri" w:hAnsi="Calibri" w:cs="Calibri"/>
                <w:noProof/>
              </w:rPr>
              <w:lastRenderedPageBreak/>
              <w:drawing>
                <wp:inline distT="0" distB="0" distL="0" distR="0" wp14:anchorId="57DA055F" wp14:editId="12C025B9">
                  <wp:extent cx="5598000" cy="5759254"/>
                  <wp:effectExtent l="0" t="0" r="3175" b="0"/>
                  <wp:docPr id="212774233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42330" name="Picture 1" descr="A screenshot of a computer scree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8000" cy="5759254"/>
                          </a:xfrm>
                          <a:prstGeom prst="rect">
                            <a:avLst/>
                          </a:prstGeom>
                        </pic:spPr>
                      </pic:pic>
                    </a:graphicData>
                  </a:graphic>
                </wp:inline>
              </w:drawing>
            </w:r>
          </w:p>
          <w:p w14:paraId="0EEA2388" w14:textId="3502959F" w:rsidR="00651D90" w:rsidRPr="00651D90" w:rsidRDefault="00651D90">
            <w:pPr>
              <w:rPr>
                <w:rFonts w:ascii="Calibri" w:hAnsi="Calibri" w:cs="Calibri"/>
                <w:b/>
                <w:bCs/>
                <w:sz w:val="20"/>
                <w:szCs w:val="20"/>
              </w:rPr>
            </w:pPr>
            <w:r w:rsidRPr="00651D90">
              <w:rPr>
                <w:rFonts w:ascii="Calibri" w:hAnsi="Calibri" w:cs="Calibri"/>
                <w:b/>
                <w:bCs/>
                <w:sz w:val="20"/>
                <w:szCs w:val="20"/>
              </w:rPr>
              <w:t xml:space="preserve">Figure S5. </w:t>
            </w:r>
            <w:r w:rsidR="00337E10">
              <w:rPr>
                <w:rFonts w:ascii="Calibri" w:hAnsi="Calibri" w:cs="Calibri"/>
                <w:b/>
                <w:bCs/>
                <w:sz w:val="20"/>
                <w:szCs w:val="20"/>
              </w:rPr>
              <w:t xml:space="preserve">Association between </w:t>
            </w:r>
            <w:r w:rsidR="00722782">
              <w:rPr>
                <w:rFonts w:ascii="Calibri" w:hAnsi="Calibri" w:cs="Calibri"/>
                <w:b/>
                <w:bCs/>
                <w:sz w:val="20"/>
                <w:szCs w:val="20"/>
              </w:rPr>
              <w:t>diagnosed</w:t>
            </w:r>
            <w:r w:rsidR="00337E10">
              <w:rPr>
                <w:rFonts w:ascii="Calibri" w:hAnsi="Calibri" w:cs="Calibri"/>
                <w:b/>
                <w:bCs/>
                <w:sz w:val="20"/>
                <w:szCs w:val="20"/>
              </w:rPr>
              <w:t xml:space="preserve"> health conditions and the salivary microbiome in children and adolescents. </w:t>
            </w:r>
            <w:r w:rsidR="00337E10">
              <w:rPr>
                <w:rFonts w:ascii="Calibri" w:hAnsi="Calibri" w:cs="Calibri"/>
                <w:sz w:val="20"/>
                <w:szCs w:val="20"/>
              </w:rPr>
              <w:t xml:space="preserve">(Top left) </w:t>
            </w:r>
            <w:r w:rsidR="00337E10" w:rsidRPr="24D8EBE2">
              <w:rPr>
                <w:rFonts w:ascii="Calibri" w:hAnsi="Calibri" w:cs="Calibri"/>
                <w:sz w:val="20"/>
                <w:szCs w:val="20"/>
              </w:rPr>
              <w:t xml:space="preserve">Phylogenetic-Robust Principal Component Analysis (RPCA) representing beta diversity between all participants, with each participant coloured by </w:t>
            </w:r>
            <w:r w:rsidR="00337E10">
              <w:rPr>
                <w:rFonts w:ascii="Calibri" w:hAnsi="Calibri" w:cs="Calibri"/>
                <w:sz w:val="20"/>
                <w:szCs w:val="20"/>
              </w:rPr>
              <w:t>physical</w:t>
            </w:r>
            <w:r w:rsidR="00722782">
              <w:rPr>
                <w:rFonts w:ascii="Calibri" w:hAnsi="Calibri" w:cs="Calibri"/>
                <w:sz w:val="20"/>
                <w:szCs w:val="20"/>
              </w:rPr>
              <w:t xml:space="preserve"> health condition or psychiatric/neurodevelopmental disorder</w:t>
            </w:r>
            <w:r w:rsidR="00FD7FF9">
              <w:rPr>
                <w:rFonts w:ascii="Calibri" w:hAnsi="Calibri" w:cs="Calibri"/>
                <w:sz w:val="20"/>
                <w:szCs w:val="20"/>
              </w:rPr>
              <w:t xml:space="preserve"> (Psych/NDD)</w:t>
            </w:r>
            <w:r w:rsidR="00337E10">
              <w:rPr>
                <w:rFonts w:ascii="Calibri" w:hAnsi="Calibri" w:cs="Calibri"/>
                <w:sz w:val="20"/>
                <w:szCs w:val="20"/>
              </w:rPr>
              <w:t xml:space="preserve">, with the plots on the bottom and right showing each of the Principal Components (PCs) with </w:t>
            </w:r>
            <w:r w:rsidR="00D2494A">
              <w:rPr>
                <w:rFonts w:ascii="Calibri" w:hAnsi="Calibri" w:cs="Calibri"/>
                <w:sz w:val="20"/>
                <w:szCs w:val="20"/>
              </w:rPr>
              <w:t xml:space="preserve">the </w:t>
            </w:r>
            <w:r w:rsidR="000B5FDD">
              <w:rPr>
                <w:rFonts w:ascii="Calibri" w:hAnsi="Calibri" w:cs="Calibri"/>
                <w:sz w:val="20"/>
                <w:szCs w:val="20"/>
              </w:rPr>
              <w:t xml:space="preserve">diagnosed </w:t>
            </w:r>
            <w:r w:rsidR="00337E10">
              <w:rPr>
                <w:rFonts w:ascii="Calibri" w:hAnsi="Calibri" w:cs="Calibri"/>
                <w:sz w:val="20"/>
                <w:szCs w:val="20"/>
              </w:rPr>
              <w:t>health condition</w:t>
            </w:r>
            <w:r w:rsidR="00B52B87">
              <w:rPr>
                <w:rFonts w:ascii="Calibri" w:hAnsi="Calibri" w:cs="Calibri"/>
                <w:sz w:val="20"/>
                <w:szCs w:val="20"/>
              </w:rPr>
              <w:t>s</w:t>
            </w:r>
            <w:r w:rsidR="00337E10">
              <w:rPr>
                <w:rFonts w:ascii="Calibri" w:hAnsi="Calibri" w:cs="Calibri"/>
                <w:sz w:val="20"/>
                <w:szCs w:val="20"/>
              </w:rPr>
              <w:t xml:space="preserve">. (Top right) six different alpha diversity metrics (y-axis) plotted against </w:t>
            </w:r>
            <w:r w:rsidR="009057D9">
              <w:rPr>
                <w:rFonts w:ascii="Calibri" w:hAnsi="Calibri" w:cs="Calibri"/>
                <w:sz w:val="20"/>
                <w:szCs w:val="20"/>
              </w:rPr>
              <w:t>diagnosed health conditions</w:t>
            </w:r>
            <w:r w:rsidR="009057D9" w:rsidDel="009057D9">
              <w:rPr>
                <w:rFonts w:ascii="Calibri" w:hAnsi="Calibri" w:cs="Calibri"/>
                <w:sz w:val="20"/>
                <w:szCs w:val="20"/>
              </w:rPr>
              <w:t xml:space="preserve"> </w:t>
            </w:r>
            <w:r w:rsidR="00337E10">
              <w:rPr>
                <w:rFonts w:ascii="Calibri" w:hAnsi="Calibri" w:cs="Calibri"/>
                <w:sz w:val="20"/>
                <w:szCs w:val="20"/>
              </w:rPr>
              <w:t xml:space="preserve">(x-axis). Box plots represent the interquartile range (IQR) and the line represents the median while whiskers represent the 1.5 x the IQR added to the third quartile or subtracted from the first quartile. Shaded areas indicate violin plots and each point represents a participant. Statistics values shown on the top left and top right are for uni- and multivariate PERMANOVA and ANOVA tests, respectively. (Bottom) Relative abundance (%), prevalence and differential abundance for genera that were either within the 20 most abundant genera overall (by mean abundance) or that were significantly differentially abundant </w:t>
            </w:r>
            <w:r w:rsidR="004E018A">
              <w:rPr>
                <w:rFonts w:ascii="Calibri" w:hAnsi="Calibri" w:cs="Calibri"/>
                <w:sz w:val="20"/>
                <w:szCs w:val="20"/>
              </w:rPr>
              <w:t xml:space="preserve">between those with no </w:t>
            </w:r>
            <w:r w:rsidR="003279E0">
              <w:rPr>
                <w:rFonts w:ascii="Calibri" w:hAnsi="Calibri" w:cs="Calibri"/>
                <w:sz w:val="20"/>
                <w:szCs w:val="20"/>
              </w:rPr>
              <w:t>diagnosed condition</w:t>
            </w:r>
            <w:r w:rsidR="004E018A">
              <w:rPr>
                <w:rFonts w:ascii="Calibri" w:hAnsi="Calibri" w:cs="Calibri"/>
                <w:sz w:val="20"/>
                <w:szCs w:val="20"/>
              </w:rPr>
              <w:t xml:space="preserve"> and those with </w:t>
            </w:r>
            <w:r w:rsidR="00E1703E">
              <w:rPr>
                <w:rFonts w:ascii="Calibri" w:hAnsi="Calibri" w:cs="Calibri"/>
                <w:sz w:val="20"/>
                <w:szCs w:val="20"/>
              </w:rPr>
              <w:t xml:space="preserve">a physical health condition, a </w:t>
            </w:r>
            <w:r w:rsidR="005F30F7">
              <w:rPr>
                <w:rFonts w:ascii="Calibri" w:hAnsi="Calibri" w:cs="Calibri"/>
                <w:sz w:val="20"/>
                <w:szCs w:val="20"/>
              </w:rPr>
              <w:t>psychiatric/neurodevelopmental disorder</w:t>
            </w:r>
            <w:r w:rsidR="00E1703E">
              <w:rPr>
                <w:rFonts w:ascii="Calibri" w:hAnsi="Calibri" w:cs="Calibri"/>
                <w:sz w:val="20"/>
                <w:szCs w:val="20"/>
              </w:rPr>
              <w:t>, or both physical</w:t>
            </w:r>
            <w:r w:rsidR="009B77A7">
              <w:rPr>
                <w:rFonts w:ascii="Calibri" w:hAnsi="Calibri" w:cs="Calibri"/>
                <w:sz w:val="20"/>
                <w:szCs w:val="20"/>
              </w:rPr>
              <w:t xml:space="preserve"> health conditions</w:t>
            </w:r>
            <w:r w:rsidR="00E1703E">
              <w:rPr>
                <w:rFonts w:ascii="Calibri" w:hAnsi="Calibri" w:cs="Calibri"/>
                <w:sz w:val="20"/>
                <w:szCs w:val="20"/>
              </w:rPr>
              <w:t xml:space="preserve"> and </w:t>
            </w:r>
            <w:r w:rsidR="009B77A7">
              <w:rPr>
                <w:rFonts w:ascii="Calibri" w:hAnsi="Calibri" w:cs="Calibri"/>
                <w:sz w:val="20"/>
                <w:szCs w:val="20"/>
              </w:rPr>
              <w:t>psychiatric/neurodevelopmental disorders</w:t>
            </w:r>
            <w:r w:rsidR="009B77A7" w:rsidDel="009B77A7">
              <w:rPr>
                <w:rFonts w:ascii="Calibri" w:hAnsi="Calibri" w:cs="Calibri"/>
                <w:sz w:val="20"/>
                <w:szCs w:val="20"/>
              </w:rPr>
              <w:t xml:space="preserve"> </w:t>
            </w:r>
            <w:r w:rsidR="00337E10">
              <w:rPr>
                <w:rFonts w:ascii="Calibri" w:hAnsi="Calibri" w:cs="Calibri"/>
                <w:sz w:val="20"/>
                <w:szCs w:val="20"/>
              </w:rPr>
              <w:t xml:space="preserve">(MaAsLin3 </w:t>
            </w:r>
            <w:r w:rsidR="00337E10">
              <w:rPr>
                <w:rFonts w:ascii="Calibri" w:hAnsi="Calibri" w:cs="Calibri"/>
                <w:i/>
                <w:iCs/>
                <w:sz w:val="20"/>
                <w:szCs w:val="20"/>
              </w:rPr>
              <w:t>q</w:t>
            </w:r>
            <w:r w:rsidR="00337E10">
              <w:rPr>
                <w:rFonts w:ascii="Calibri" w:hAnsi="Calibri" w:cs="Calibri"/>
                <w:sz w:val="20"/>
                <w:szCs w:val="20"/>
              </w:rPr>
              <w:t xml:space="preserve"> </w:t>
            </w:r>
            <w:r w:rsidR="00337E10">
              <w:rPr>
                <w:rFonts w:ascii="Symbol" w:eastAsia="Symbol" w:hAnsi="Symbol" w:cs="Symbol"/>
                <w:sz w:val="20"/>
                <w:szCs w:val="20"/>
              </w:rPr>
              <w:t>£</w:t>
            </w:r>
            <w:r w:rsidR="00337E10">
              <w:rPr>
                <w:rFonts w:ascii="Calibri" w:hAnsi="Calibri" w:cs="Calibri"/>
                <w:sz w:val="20"/>
                <w:szCs w:val="20"/>
              </w:rPr>
              <w:t xml:space="preserve"> 0.1). The left plot shows relative abundance with the cells being coloured by the proportion of the maximum abundance within each genus, with values being the mean within each </w:t>
            </w:r>
            <w:r w:rsidR="0001132E">
              <w:rPr>
                <w:rFonts w:ascii="Calibri" w:hAnsi="Calibri" w:cs="Calibri"/>
                <w:sz w:val="20"/>
                <w:szCs w:val="20"/>
              </w:rPr>
              <w:t>health</w:t>
            </w:r>
            <w:r w:rsidR="00E1703E">
              <w:rPr>
                <w:rFonts w:ascii="Calibri" w:hAnsi="Calibri" w:cs="Calibri"/>
                <w:sz w:val="20"/>
                <w:szCs w:val="20"/>
              </w:rPr>
              <w:t xml:space="preserve"> condition</w:t>
            </w:r>
            <w:r w:rsidR="00337E10">
              <w:rPr>
                <w:rFonts w:ascii="Calibri" w:hAnsi="Calibri" w:cs="Calibri"/>
                <w:sz w:val="20"/>
                <w:szCs w:val="20"/>
              </w:rPr>
              <w:t xml:space="preserve"> group (yellow being the most abundant and </w:t>
            </w:r>
            <w:r w:rsidR="00E1703E">
              <w:rPr>
                <w:rFonts w:ascii="Calibri" w:hAnsi="Calibri" w:cs="Calibri"/>
                <w:sz w:val="20"/>
                <w:szCs w:val="20"/>
              </w:rPr>
              <w:t>black</w:t>
            </w:r>
            <w:r w:rsidR="00337E10">
              <w:rPr>
                <w:rFonts w:ascii="Calibri" w:hAnsi="Calibri" w:cs="Calibri"/>
                <w:sz w:val="20"/>
                <w:szCs w:val="20"/>
              </w:rPr>
              <w:t xml:space="preserve"> being the least abundant). The middle plot shows prevalence within each </w:t>
            </w:r>
            <w:r w:rsidR="00FB4610">
              <w:rPr>
                <w:rFonts w:ascii="Calibri" w:hAnsi="Calibri" w:cs="Calibri"/>
                <w:sz w:val="20"/>
                <w:szCs w:val="20"/>
              </w:rPr>
              <w:t>health condition</w:t>
            </w:r>
            <w:r w:rsidR="00337E10">
              <w:rPr>
                <w:rFonts w:ascii="Calibri" w:hAnsi="Calibri" w:cs="Calibri"/>
                <w:sz w:val="20"/>
                <w:szCs w:val="20"/>
              </w:rPr>
              <w:t xml:space="preserve"> group, with dark blue indicating high prevalence and white indicating low prevalence. </w:t>
            </w:r>
            <w:r w:rsidR="00FB4610">
              <w:rPr>
                <w:rFonts w:ascii="Calibri" w:hAnsi="Calibri" w:cs="Calibri"/>
                <w:sz w:val="20"/>
                <w:szCs w:val="20"/>
              </w:rPr>
              <w:t>The right plot shows coefficients for each genus with abundance or prevalence, with red colours indicating a positive association (</w:t>
            </w:r>
            <w:r w:rsidR="00FB4610">
              <w:rPr>
                <w:rFonts w:ascii="Calibri" w:hAnsi="Calibri" w:cs="Calibri"/>
                <w:i/>
                <w:iCs/>
                <w:sz w:val="20"/>
                <w:szCs w:val="20"/>
              </w:rPr>
              <w:t>i.e.</w:t>
            </w:r>
            <w:r w:rsidR="00FB4610">
              <w:rPr>
                <w:rFonts w:ascii="Calibri" w:hAnsi="Calibri" w:cs="Calibri"/>
                <w:sz w:val="20"/>
                <w:szCs w:val="20"/>
              </w:rPr>
              <w:t xml:space="preserve">, higher </w:t>
            </w:r>
            <w:r w:rsidR="00FB4610">
              <w:rPr>
                <w:rFonts w:ascii="Calibri" w:hAnsi="Calibri" w:cs="Calibri"/>
                <w:sz w:val="20"/>
                <w:szCs w:val="20"/>
              </w:rPr>
              <w:lastRenderedPageBreak/>
              <w:t>in those with no condition) and blue colours indicating a negative association (</w:t>
            </w:r>
            <w:r w:rsidR="00FB4610">
              <w:rPr>
                <w:rFonts w:ascii="Calibri" w:hAnsi="Calibri" w:cs="Calibri"/>
                <w:i/>
                <w:iCs/>
                <w:sz w:val="20"/>
                <w:szCs w:val="20"/>
              </w:rPr>
              <w:t>i.e.,</w:t>
            </w:r>
            <w:r w:rsidR="00FB4610">
              <w:rPr>
                <w:rFonts w:ascii="Calibri" w:hAnsi="Calibri" w:cs="Calibri"/>
                <w:sz w:val="20"/>
                <w:szCs w:val="20"/>
              </w:rPr>
              <w:t xml:space="preserve"> lower in those with no condition). </w:t>
            </w:r>
            <w:r w:rsidR="006363A1">
              <w:rPr>
                <w:rFonts w:ascii="Calibri" w:hAnsi="Calibri" w:cs="Calibri"/>
                <w:sz w:val="20"/>
                <w:szCs w:val="20"/>
              </w:rPr>
              <w:t xml:space="preserve">No diagnosed condition was the reference group for all differential abundance tests. </w:t>
            </w:r>
            <w:r w:rsidR="00FB4610">
              <w:rPr>
                <w:rFonts w:ascii="Calibri" w:hAnsi="Calibri" w:cs="Calibri"/>
                <w:sz w:val="20"/>
                <w:szCs w:val="20"/>
              </w:rPr>
              <w:t>Coefficients are only shown for genera that were significantly differentially abundant (</w:t>
            </w:r>
            <w:r w:rsidR="00FB4610">
              <w:rPr>
                <w:rFonts w:ascii="Calibri" w:hAnsi="Calibri" w:cs="Calibri"/>
                <w:i/>
                <w:iCs/>
                <w:sz w:val="20"/>
                <w:szCs w:val="20"/>
              </w:rPr>
              <w:t>q</w:t>
            </w:r>
            <w:r w:rsidR="00FB4610">
              <w:rPr>
                <w:rFonts w:ascii="Calibri" w:hAnsi="Calibri" w:cs="Calibri"/>
                <w:sz w:val="20"/>
                <w:szCs w:val="20"/>
              </w:rPr>
              <w:t xml:space="preserve"> </w:t>
            </w:r>
            <w:r w:rsidR="00FB4610">
              <w:rPr>
                <w:rFonts w:ascii="Symbol" w:eastAsia="Symbol" w:hAnsi="Symbol" w:cs="Symbol"/>
                <w:sz w:val="20"/>
                <w:szCs w:val="20"/>
              </w:rPr>
              <w:t>£</w:t>
            </w:r>
            <w:r w:rsidR="00FB4610">
              <w:rPr>
                <w:rFonts w:ascii="Calibri" w:hAnsi="Calibri" w:cs="Calibri"/>
                <w:sz w:val="20"/>
                <w:szCs w:val="20"/>
              </w:rPr>
              <w:t xml:space="preserve"> 0.1).</w:t>
            </w:r>
          </w:p>
        </w:tc>
      </w:tr>
    </w:tbl>
    <w:p w14:paraId="196EDC1C" w14:textId="77777777" w:rsidR="00651D90" w:rsidRPr="0022140A" w:rsidRDefault="00651D90">
      <w:pPr>
        <w:rPr>
          <w:rFonts w:ascii="Calibri" w:hAnsi="Calibri" w:cs="Calibri"/>
          <w:sz w:val="20"/>
          <w:szCs w:val="20"/>
        </w:rPr>
      </w:pPr>
    </w:p>
    <w:tbl>
      <w:tblPr>
        <w:tblStyle w:val="TableGrid"/>
        <w:tblW w:w="0" w:type="auto"/>
        <w:tblLook w:val="04A0" w:firstRow="1" w:lastRow="0" w:firstColumn="1" w:lastColumn="0" w:noHBand="0" w:noVBand="1"/>
      </w:tblPr>
      <w:tblGrid>
        <w:gridCol w:w="9026"/>
      </w:tblGrid>
      <w:tr w:rsidR="0022140A" w:rsidRPr="001C4EBE" w14:paraId="5E12E42F" w14:textId="77777777" w:rsidTr="0022140A">
        <w:tc>
          <w:tcPr>
            <w:tcW w:w="9016" w:type="dxa"/>
            <w:tcBorders>
              <w:top w:val="nil"/>
              <w:left w:val="nil"/>
              <w:bottom w:val="nil"/>
              <w:right w:val="nil"/>
            </w:tcBorders>
          </w:tcPr>
          <w:p w14:paraId="34F843BF" w14:textId="6E417A38" w:rsidR="0022140A" w:rsidRPr="001C4EBE" w:rsidRDefault="00021B3A" w:rsidP="007A5313">
            <w:pPr>
              <w:jc w:val="center"/>
              <w:rPr>
                <w:rFonts w:ascii="Calibri" w:hAnsi="Calibri" w:cs="Calibri"/>
                <w:sz w:val="20"/>
                <w:szCs w:val="20"/>
              </w:rPr>
            </w:pPr>
            <w:r>
              <w:rPr>
                <w:rFonts w:ascii="Calibri" w:hAnsi="Calibri" w:cs="Calibri"/>
                <w:noProof/>
                <w:sz w:val="20"/>
                <w:szCs w:val="20"/>
              </w:rPr>
              <w:drawing>
                <wp:inline distT="0" distB="0" distL="0" distR="0" wp14:anchorId="0C3EA525" wp14:editId="0DCE07B9">
                  <wp:extent cx="5631180" cy="3400170"/>
                  <wp:effectExtent l="0" t="0" r="0" b="3810"/>
                  <wp:docPr id="390633685"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33685" name="Picture 3" descr="A screenshot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4324" cy="3402068"/>
                          </a:xfrm>
                          <a:prstGeom prst="rect">
                            <a:avLst/>
                          </a:prstGeom>
                        </pic:spPr>
                      </pic:pic>
                    </a:graphicData>
                  </a:graphic>
                </wp:inline>
              </w:drawing>
            </w:r>
          </w:p>
          <w:p w14:paraId="7F0781FE" w14:textId="2262F645" w:rsidR="0022140A" w:rsidRPr="003259B3" w:rsidRDefault="0022140A">
            <w:pPr>
              <w:rPr>
                <w:rFonts w:ascii="Calibri" w:hAnsi="Calibri" w:cs="Calibri"/>
                <w:sz w:val="20"/>
                <w:szCs w:val="20"/>
              </w:rPr>
            </w:pPr>
            <w:r w:rsidRPr="001C4EBE">
              <w:rPr>
                <w:rFonts w:ascii="Calibri" w:hAnsi="Calibri" w:cs="Calibri"/>
                <w:b/>
                <w:bCs/>
                <w:sz w:val="20"/>
                <w:szCs w:val="20"/>
              </w:rPr>
              <w:t xml:space="preserve">Figure S6. </w:t>
            </w:r>
            <w:r w:rsidR="003259B3">
              <w:rPr>
                <w:rFonts w:ascii="Calibri" w:hAnsi="Calibri" w:cs="Calibri"/>
                <w:b/>
                <w:bCs/>
                <w:sz w:val="20"/>
                <w:szCs w:val="20"/>
              </w:rPr>
              <w:t>Prevalence of ASVs and genera within children and adolescents</w:t>
            </w:r>
            <w:r w:rsidR="003259B3">
              <w:rPr>
                <w:rFonts w:ascii="Calibri" w:hAnsi="Calibri" w:cs="Calibri"/>
                <w:sz w:val="20"/>
                <w:szCs w:val="20"/>
              </w:rPr>
              <w:t>. (</w:t>
            </w:r>
            <w:r w:rsidR="00F03B0F">
              <w:rPr>
                <w:rFonts w:ascii="Calibri" w:hAnsi="Calibri" w:cs="Calibri"/>
                <w:sz w:val="20"/>
                <w:szCs w:val="20"/>
              </w:rPr>
              <w:t>L</w:t>
            </w:r>
            <w:r w:rsidR="003259B3">
              <w:rPr>
                <w:rFonts w:ascii="Calibri" w:hAnsi="Calibri" w:cs="Calibri"/>
                <w:sz w:val="20"/>
                <w:szCs w:val="20"/>
              </w:rPr>
              <w:t>eft) Relative abundance remaining (y-axis) within samples when ASVs (top) or genera (</w:t>
            </w:r>
            <w:r w:rsidR="00CF4999">
              <w:rPr>
                <w:rFonts w:ascii="Calibri" w:hAnsi="Calibri" w:cs="Calibri"/>
                <w:sz w:val="20"/>
                <w:szCs w:val="20"/>
              </w:rPr>
              <w:t>bottom</w:t>
            </w:r>
            <w:r w:rsidR="003259B3">
              <w:rPr>
                <w:rFonts w:ascii="Calibri" w:hAnsi="Calibri" w:cs="Calibri"/>
                <w:sz w:val="20"/>
                <w:szCs w:val="20"/>
              </w:rPr>
              <w:t xml:space="preserve">) below different prevalence thresholds (x-axis) are removed. </w:t>
            </w:r>
            <w:r w:rsidR="005D360C">
              <w:rPr>
                <w:rFonts w:ascii="Calibri" w:hAnsi="Calibri" w:cs="Calibri"/>
                <w:sz w:val="20"/>
                <w:szCs w:val="20"/>
              </w:rPr>
              <w:t>(</w:t>
            </w:r>
            <w:r w:rsidR="00EE4F7D">
              <w:rPr>
                <w:rFonts w:ascii="Calibri" w:hAnsi="Calibri" w:cs="Calibri"/>
                <w:sz w:val="20"/>
                <w:szCs w:val="20"/>
              </w:rPr>
              <w:t>Right</w:t>
            </w:r>
            <w:r w:rsidR="005D360C">
              <w:rPr>
                <w:rFonts w:ascii="Calibri" w:hAnsi="Calibri" w:cs="Calibri"/>
                <w:sz w:val="20"/>
                <w:szCs w:val="20"/>
              </w:rPr>
              <w:t xml:space="preserve">) </w:t>
            </w:r>
            <w:r w:rsidR="00EE4F7D">
              <w:rPr>
                <w:rFonts w:ascii="Calibri" w:hAnsi="Calibri" w:cs="Calibri"/>
                <w:sz w:val="20"/>
                <w:szCs w:val="20"/>
              </w:rPr>
              <w:t xml:space="preserve">Prevalence and relative abundance of all ASVs (top) or genera (bottom) that are present in </w:t>
            </w:r>
            <w:r w:rsidR="00EE4F7D">
              <w:rPr>
                <w:rFonts w:ascii="Symbol" w:eastAsia="Symbol" w:hAnsi="Symbol" w:cs="Symbol"/>
                <w:sz w:val="20"/>
                <w:szCs w:val="20"/>
              </w:rPr>
              <w:t>³</w:t>
            </w:r>
            <w:r w:rsidR="00EE4F7D">
              <w:rPr>
                <w:rFonts w:ascii="Calibri" w:hAnsi="Calibri" w:cs="Calibri"/>
                <w:sz w:val="20"/>
                <w:szCs w:val="20"/>
              </w:rPr>
              <w:t xml:space="preserve">95% participants. </w:t>
            </w:r>
            <w:r w:rsidR="005D360C">
              <w:rPr>
                <w:rFonts w:ascii="Calibri" w:hAnsi="Calibri" w:cs="Calibri"/>
                <w:sz w:val="20"/>
                <w:szCs w:val="20"/>
              </w:rPr>
              <w:t>Box plots represent the interquartile range (IQR) and the line represents the median while whiskers represent the 1.5 x the IQR added to the third quartile or subtracted from the first quartile.</w:t>
            </w:r>
            <w:r w:rsidR="00CC62F7">
              <w:rPr>
                <w:rFonts w:ascii="Calibri" w:hAnsi="Calibri" w:cs="Calibri"/>
                <w:sz w:val="20"/>
                <w:szCs w:val="20"/>
              </w:rPr>
              <w:t xml:space="preserve"> Values on the right are the median relative abundance for each ASV/genus. </w:t>
            </w:r>
            <w:r w:rsidR="008F713F">
              <w:rPr>
                <w:rFonts w:ascii="Calibri" w:hAnsi="Calibri" w:cs="Calibri"/>
                <w:sz w:val="20"/>
                <w:szCs w:val="20"/>
              </w:rPr>
              <w:t xml:space="preserve">Numbers in brackets next to genus names indicate the number of ASVs within each genus. </w:t>
            </w:r>
          </w:p>
        </w:tc>
      </w:tr>
    </w:tbl>
    <w:p w14:paraId="654290F8" w14:textId="77777777" w:rsidR="0022140A" w:rsidRPr="001C4EBE" w:rsidRDefault="0022140A">
      <w:pPr>
        <w:rPr>
          <w:rFonts w:ascii="Calibri" w:hAnsi="Calibri" w:cs="Calibri"/>
          <w:sz w:val="20"/>
          <w:szCs w:val="20"/>
        </w:rPr>
      </w:pPr>
    </w:p>
    <w:tbl>
      <w:tblPr>
        <w:tblStyle w:val="TableGrid"/>
        <w:tblW w:w="0" w:type="auto"/>
        <w:tblLook w:val="04A0" w:firstRow="1" w:lastRow="0" w:firstColumn="1" w:lastColumn="0" w:noHBand="0" w:noVBand="1"/>
      </w:tblPr>
      <w:tblGrid>
        <w:gridCol w:w="9016"/>
      </w:tblGrid>
      <w:tr w:rsidR="001C4EBE" w:rsidRPr="001C4EBE" w14:paraId="6E471781" w14:textId="77777777" w:rsidTr="007A5313">
        <w:tc>
          <w:tcPr>
            <w:tcW w:w="9016" w:type="dxa"/>
            <w:tcBorders>
              <w:top w:val="nil"/>
              <w:left w:val="nil"/>
              <w:bottom w:val="nil"/>
              <w:right w:val="nil"/>
            </w:tcBorders>
          </w:tcPr>
          <w:p w14:paraId="369D3F3B" w14:textId="5FFEA972" w:rsidR="001C4EBE" w:rsidRPr="001C4EBE" w:rsidRDefault="008F713F" w:rsidP="007A5313">
            <w:pPr>
              <w:jc w:val="center"/>
              <w:rPr>
                <w:rFonts w:ascii="Calibri" w:hAnsi="Calibri" w:cs="Calibri"/>
                <w:sz w:val="20"/>
                <w:szCs w:val="20"/>
              </w:rPr>
            </w:pPr>
            <w:r>
              <w:rPr>
                <w:rFonts w:ascii="Calibri" w:hAnsi="Calibri" w:cs="Calibri"/>
                <w:noProof/>
                <w:sz w:val="20"/>
                <w:szCs w:val="20"/>
              </w:rPr>
              <w:lastRenderedPageBreak/>
              <w:drawing>
                <wp:inline distT="0" distB="0" distL="0" distR="0" wp14:anchorId="100E1A75" wp14:editId="3D525ACE">
                  <wp:extent cx="5552729" cy="3352800"/>
                  <wp:effectExtent l="0" t="0" r="0" b="0"/>
                  <wp:docPr id="876227980"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27980" name="Picture 4" descr="A screenshot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7282" cy="3355549"/>
                          </a:xfrm>
                          <a:prstGeom prst="rect">
                            <a:avLst/>
                          </a:prstGeom>
                        </pic:spPr>
                      </pic:pic>
                    </a:graphicData>
                  </a:graphic>
                </wp:inline>
              </w:drawing>
            </w:r>
          </w:p>
          <w:p w14:paraId="414B57CF" w14:textId="77777777" w:rsidR="001C4EBE" w:rsidRDefault="001C4EBE">
            <w:pPr>
              <w:rPr>
                <w:rFonts w:ascii="Calibri" w:hAnsi="Calibri" w:cs="Calibri"/>
                <w:sz w:val="20"/>
                <w:szCs w:val="20"/>
              </w:rPr>
            </w:pPr>
            <w:r w:rsidRPr="001C4EBE">
              <w:rPr>
                <w:rFonts w:ascii="Calibri" w:hAnsi="Calibri" w:cs="Calibri"/>
                <w:b/>
                <w:bCs/>
                <w:sz w:val="20"/>
                <w:szCs w:val="20"/>
              </w:rPr>
              <w:t xml:space="preserve">Figure S7. </w:t>
            </w:r>
            <w:r w:rsidR="000823DC">
              <w:rPr>
                <w:rFonts w:ascii="Calibri" w:hAnsi="Calibri" w:cs="Calibri"/>
                <w:b/>
                <w:bCs/>
                <w:sz w:val="20"/>
                <w:szCs w:val="20"/>
              </w:rPr>
              <w:t>Prevalence of ASVs and genera within adults from the Atlantic PATH cohort</w:t>
            </w:r>
            <w:r w:rsidR="000823DC">
              <w:rPr>
                <w:rFonts w:ascii="Calibri" w:hAnsi="Calibri" w:cs="Calibri"/>
                <w:sz w:val="20"/>
                <w:szCs w:val="20"/>
              </w:rPr>
              <w:t xml:space="preserve">. </w:t>
            </w:r>
            <w:r w:rsidR="00103B80">
              <w:rPr>
                <w:rFonts w:ascii="Calibri" w:hAnsi="Calibri" w:cs="Calibri"/>
                <w:sz w:val="20"/>
                <w:szCs w:val="20"/>
              </w:rPr>
              <w:t xml:space="preserve">(Left) Relative abundance remaining (y-axis) within samples when ASVs (top) or genera (bottom) below different prevalence thresholds (x-axis) are removed. (Right) Prevalence and relative abundance of all ASVs (top) or genera (bottom) that are present in </w:t>
            </w:r>
            <w:r w:rsidR="00103B80">
              <w:rPr>
                <w:rFonts w:ascii="Symbol" w:eastAsia="Symbol" w:hAnsi="Symbol" w:cs="Symbol"/>
                <w:sz w:val="20"/>
                <w:szCs w:val="20"/>
              </w:rPr>
              <w:t>³</w:t>
            </w:r>
            <w:r w:rsidR="00103B80">
              <w:rPr>
                <w:rFonts w:ascii="Calibri" w:hAnsi="Calibri" w:cs="Calibri"/>
                <w:sz w:val="20"/>
                <w:szCs w:val="20"/>
              </w:rPr>
              <w:t xml:space="preserve">95% participants. Box plots represent the interquartile range (IQR) and the line represents the median while whiskers represent the 1.5 x the IQR added to the third quartile or subtracted from the first quartile. Values on the right are the median relative abundance for each ASV/genus. Note that ASV numbers here are not the same as in Fig. S6. </w:t>
            </w:r>
            <w:r w:rsidR="008F713F">
              <w:rPr>
                <w:rFonts w:ascii="Calibri" w:hAnsi="Calibri" w:cs="Calibri"/>
                <w:sz w:val="20"/>
                <w:szCs w:val="20"/>
              </w:rPr>
              <w:t>Numbers in brackets next to genus names indicate the number of ASVs within each genus.</w:t>
            </w:r>
          </w:p>
          <w:p w14:paraId="20FAAF91" w14:textId="77777777" w:rsidR="00212AB8" w:rsidRDefault="00212AB8">
            <w:pPr>
              <w:rPr>
                <w:rFonts w:ascii="Calibri" w:hAnsi="Calibri" w:cs="Calibri"/>
                <w:b/>
                <w:bCs/>
                <w:sz w:val="20"/>
                <w:szCs w:val="20"/>
              </w:rPr>
            </w:pPr>
          </w:p>
          <w:tbl>
            <w:tblPr>
              <w:tblStyle w:val="TableGrid"/>
              <w:tblW w:w="0" w:type="auto"/>
              <w:tblLook w:val="04A0" w:firstRow="1" w:lastRow="0" w:firstColumn="1" w:lastColumn="0" w:noHBand="0" w:noVBand="1"/>
            </w:tblPr>
            <w:tblGrid>
              <w:gridCol w:w="8790"/>
            </w:tblGrid>
            <w:tr w:rsidR="00212AB8" w14:paraId="29F776FC" w14:textId="77777777" w:rsidTr="00AD442A">
              <w:tc>
                <w:tcPr>
                  <w:tcW w:w="8790" w:type="dxa"/>
                  <w:tcBorders>
                    <w:top w:val="nil"/>
                    <w:left w:val="nil"/>
                    <w:bottom w:val="nil"/>
                    <w:right w:val="nil"/>
                  </w:tcBorders>
                </w:tcPr>
                <w:p w14:paraId="5CE60412" w14:textId="54345DC7" w:rsidR="00212AB8" w:rsidRDefault="00FA4892">
                  <w:pPr>
                    <w:rPr>
                      <w:rFonts w:ascii="Calibri" w:hAnsi="Calibri" w:cs="Calibri"/>
                      <w:b/>
                      <w:bCs/>
                      <w:sz w:val="20"/>
                      <w:szCs w:val="20"/>
                    </w:rPr>
                  </w:pPr>
                  <w:r>
                    <w:rPr>
                      <w:rFonts w:ascii="Calibri" w:hAnsi="Calibri" w:cs="Calibri"/>
                      <w:b/>
                      <w:bCs/>
                      <w:noProof/>
                      <w:sz w:val="20"/>
                      <w:szCs w:val="20"/>
                    </w:rPr>
                    <w:lastRenderedPageBreak/>
                    <w:drawing>
                      <wp:inline distT="0" distB="0" distL="0" distR="0" wp14:anchorId="77FE8EAE" wp14:editId="5066BC15">
                        <wp:extent cx="5438378" cy="5372100"/>
                        <wp:effectExtent l="0" t="0" r="0" b="0"/>
                        <wp:docPr id="2103814483"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14483" name="Picture 2"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7205" cy="5380820"/>
                                </a:xfrm>
                                <a:prstGeom prst="rect">
                                  <a:avLst/>
                                </a:prstGeom>
                              </pic:spPr>
                            </pic:pic>
                          </a:graphicData>
                        </a:graphic>
                      </wp:inline>
                    </w:drawing>
                  </w:r>
                </w:p>
                <w:p w14:paraId="70F60A56" w14:textId="4D779188" w:rsidR="00212AB8" w:rsidRPr="00AD442A" w:rsidRDefault="00212AB8">
                  <w:pPr>
                    <w:rPr>
                      <w:rFonts w:ascii="Calibri" w:hAnsi="Calibri" w:cs="Calibri"/>
                      <w:sz w:val="20"/>
                      <w:szCs w:val="20"/>
                    </w:rPr>
                  </w:pPr>
                  <w:r>
                    <w:rPr>
                      <w:rFonts w:ascii="Calibri" w:hAnsi="Calibri" w:cs="Calibri"/>
                      <w:b/>
                      <w:bCs/>
                      <w:sz w:val="20"/>
                      <w:szCs w:val="20"/>
                    </w:rPr>
                    <w:t>Figure S8. Children have more consistent oral microbiomes than adults. (A)</w:t>
                  </w:r>
                  <w:r>
                    <w:rPr>
                      <w:rFonts w:ascii="Calibri" w:hAnsi="Calibri" w:cs="Calibri"/>
                      <w:sz w:val="20"/>
                      <w:szCs w:val="20"/>
                    </w:rPr>
                    <w:t xml:space="preserve"> and </w:t>
                  </w:r>
                  <w:r w:rsidRPr="00AD442A">
                    <w:rPr>
                      <w:rFonts w:ascii="Calibri" w:hAnsi="Calibri" w:cs="Calibri"/>
                      <w:b/>
                      <w:bCs/>
                      <w:sz w:val="20"/>
                      <w:szCs w:val="20"/>
                    </w:rPr>
                    <w:t>(B)</w:t>
                  </w:r>
                  <w:r>
                    <w:rPr>
                      <w:rFonts w:ascii="Calibri" w:hAnsi="Calibri" w:cs="Calibri"/>
                      <w:sz w:val="20"/>
                      <w:szCs w:val="20"/>
                    </w:rPr>
                    <w:t xml:space="preserve"> show phylogenetic-RPCA distances between all pairs of participants that are </w:t>
                  </w:r>
                  <w:r w:rsidRPr="00212AB8">
                    <w:rPr>
                      <w:rFonts w:ascii="Calibri" w:hAnsi="Calibri" w:cs="Calibri"/>
                      <w:sz w:val="20"/>
                      <w:szCs w:val="20"/>
                    </w:rPr>
                    <w:t>≤</w:t>
                  </w:r>
                  <w:r>
                    <w:rPr>
                      <w:rFonts w:ascii="Calibri" w:hAnsi="Calibri" w:cs="Calibri"/>
                      <w:sz w:val="20"/>
                      <w:szCs w:val="20"/>
                    </w:rPr>
                    <w:t xml:space="preserve">1 year apart in age, </w:t>
                  </w:r>
                  <w:r w:rsidRPr="00AD442A">
                    <w:rPr>
                      <w:rFonts w:ascii="Calibri" w:hAnsi="Calibri" w:cs="Calibri"/>
                      <w:b/>
                      <w:bCs/>
                      <w:sz w:val="20"/>
                      <w:szCs w:val="20"/>
                    </w:rPr>
                    <w:t>(C)</w:t>
                  </w:r>
                  <w:r>
                    <w:rPr>
                      <w:rFonts w:ascii="Calibri" w:hAnsi="Calibri" w:cs="Calibri"/>
                      <w:sz w:val="20"/>
                      <w:szCs w:val="20"/>
                    </w:rPr>
                    <w:t xml:space="preserve"> and </w:t>
                  </w:r>
                  <w:r w:rsidRPr="00AD442A">
                    <w:rPr>
                      <w:rFonts w:ascii="Calibri" w:hAnsi="Calibri" w:cs="Calibri"/>
                      <w:b/>
                      <w:bCs/>
                      <w:sz w:val="20"/>
                      <w:szCs w:val="20"/>
                    </w:rPr>
                    <w:t>(D)</w:t>
                  </w:r>
                  <w:r>
                    <w:rPr>
                      <w:rFonts w:ascii="Calibri" w:hAnsi="Calibri" w:cs="Calibri"/>
                      <w:sz w:val="20"/>
                      <w:szCs w:val="20"/>
                    </w:rPr>
                    <w:t xml:space="preserve"> show the number of rare ASVs (</w:t>
                  </w:r>
                  <w:r w:rsidRPr="00212AB8">
                    <w:rPr>
                      <w:rFonts w:ascii="Calibri" w:hAnsi="Calibri" w:cs="Calibri"/>
                      <w:sz w:val="20"/>
                      <w:szCs w:val="20"/>
                    </w:rPr>
                    <w:t>≤</w:t>
                  </w:r>
                  <w:r>
                    <w:rPr>
                      <w:rFonts w:ascii="Calibri" w:hAnsi="Calibri" w:cs="Calibri"/>
                      <w:sz w:val="20"/>
                      <w:szCs w:val="20"/>
                    </w:rPr>
                    <w:t xml:space="preserve">10% prevalence) in all participants, and </w:t>
                  </w:r>
                  <w:r w:rsidRPr="00AD442A">
                    <w:rPr>
                      <w:rFonts w:ascii="Calibri" w:hAnsi="Calibri" w:cs="Calibri"/>
                      <w:b/>
                      <w:bCs/>
                      <w:sz w:val="20"/>
                      <w:szCs w:val="20"/>
                    </w:rPr>
                    <w:t>(E)</w:t>
                  </w:r>
                  <w:r>
                    <w:rPr>
                      <w:rFonts w:ascii="Calibri" w:hAnsi="Calibri" w:cs="Calibri"/>
                      <w:sz w:val="20"/>
                      <w:szCs w:val="20"/>
                    </w:rPr>
                    <w:t xml:space="preserve"> and </w:t>
                  </w:r>
                  <w:r w:rsidRPr="00AD442A">
                    <w:rPr>
                      <w:rFonts w:ascii="Calibri" w:hAnsi="Calibri" w:cs="Calibri"/>
                      <w:b/>
                      <w:bCs/>
                      <w:sz w:val="20"/>
                      <w:szCs w:val="20"/>
                    </w:rPr>
                    <w:t>(F)</w:t>
                  </w:r>
                  <w:r>
                    <w:rPr>
                      <w:rFonts w:ascii="Calibri" w:hAnsi="Calibri" w:cs="Calibri"/>
                      <w:sz w:val="20"/>
                      <w:szCs w:val="20"/>
                    </w:rPr>
                    <w:t xml:space="preserve"> show the total relative abundance of rare ASVs (</w:t>
                  </w:r>
                  <w:r w:rsidRPr="00212AB8">
                    <w:rPr>
                      <w:rFonts w:ascii="Calibri" w:hAnsi="Calibri" w:cs="Calibri"/>
                      <w:sz w:val="20"/>
                      <w:szCs w:val="20"/>
                    </w:rPr>
                    <w:t>≤</w:t>
                  </w:r>
                  <w:r>
                    <w:rPr>
                      <w:rFonts w:ascii="Calibri" w:hAnsi="Calibri" w:cs="Calibri"/>
                      <w:sz w:val="20"/>
                      <w:szCs w:val="20"/>
                    </w:rPr>
                    <w:t xml:space="preserve">10% prevalence) in all participants. </w:t>
                  </w:r>
                  <w:r w:rsidRPr="00AD442A">
                    <w:rPr>
                      <w:rFonts w:ascii="Calibri" w:hAnsi="Calibri" w:cs="Calibri"/>
                      <w:b/>
                      <w:bCs/>
                      <w:sz w:val="20"/>
                      <w:szCs w:val="20"/>
                    </w:rPr>
                    <w:t>(A)</w:t>
                  </w:r>
                  <w:r>
                    <w:rPr>
                      <w:rFonts w:ascii="Calibri" w:hAnsi="Calibri" w:cs="Calibri"/>
                      <w:sz w:val="20"/>
                      <w:szCs w:val="20"/>
                    </w:rPr>
                    <w:t xml:space="preserve">, </w:t>
                  </w:r>
                  <w:r w:rsidRPr="00AD442A">
                    <w:rPr>
                      <w:rFonts w:ascii="Calibri" w:hAnsi="Calibri" w:cs="Calibri"/>
                      <w:b/>
                      <w:bCs/>
                      <w:sz w:val="20"/>
                      <w:szCs w:val="20"/>
                    </w:rPr>
                    <w:t>(C)</w:t>
                  </w:r>
                  <w:r>
                    <w:rPr>
                      <w:rFonts w:ascii="Calibri" w:hAnsi="Calibri" w:cs="Calibri"/>
                      <w:sz w:val="20"/>
                      <w:szCs w:val="20"/>
                    </w:rPr>
                    <w:t xml:space="preserve"> and </w:t>
                  </w:r>
                  <w:r w:rsidRPr="00AD442A">
                    <w:rPr>
                      <w:rFonts w:ascii="Calibri" w:hAnsi="Calibri" w:cs="Calibri"/>
                      <w:b/>
                      <w:bCs/>
                      <w:sz w:val="20"/>
                      <w:szCs w:val="20"/>
                    </w:rPr>
                    <w:t>(E)</w:t>
                  </w:r>
                  <w:r>
                    <w:rPr>
                      <w:rFonts w:ascii="Calibri" w:hAnsi="Calibri" w:cs="Calibri"/>
                      <w:sz w:val="20"/>
                      <w:szCs w:val="20"/>
                    </w:rPr>
                    <w:t xml:space="preserve"> show participants grouped to children/adolescents (Spit for Science cohort) and adults (Atlantic PATH cohort), with violin plots showing the distribution of data, grey lines indicating the interquartile range, and white points and text showing the mean for each group.</w:t>
                  </w:r>
                  <w:r w:rsidR="002520B0">
                    <w:rPr>
                      <w:rFonts w:ascii="Calibri" w:hAnsi="Calibri" w:cs="Calibri"/>
                      <w:sz w:val="20"/>
                      <w:szCs w:val="20"/>
                    </w:rPr>
                    <w:t xml:space="preserve"> </w:t>
                  </w:r>
                  <w:r w:rsidRPr="00AD442A">
                    <w:rPr>
                      <w:rFonts w:ascii="Calibri" w:hAnsi="Calibri" w:cs="Calibri"/>
                      <w:b/>
                      <w:bCs/>
                      <w:sz w:val="20"/>
                      <w:szCs w:val="20"/>
                    </w:rPr>
                    <w:t>(B)</w:t>
                  </w:r>
                  <w:r>
                    <w:rPr>
                      <w:rFonts w:ascii="Calibri" w:hAnsi="Calibri" w:cs="Calibri"/>
                      <w:sz w:val="20"/>
                      <w:szCs w:val="20"/>
                    </w:rPr>
                    <w:t xml:space="preserve">, </w:t>
                  </w:r>
                  <w:r w:rsidRPr="00AD442A">
                    <w:rPr>
                      <w:rFonts w:ascii="Calibri" w:hAnsi="Calibri" w:cs="Calibri"/>
                      <w:b/>
                      <w:bCs/>
                      <w:sz w:val="20"/>
                      <w:szCs w:val="20"/>
                    </w:rPr>
                    <w:t>(D)</w:t>
                  </w:r>
                  <w:r>
                    <w:rPr>
                      <w:rFonts w:ascii="Calibri" w:hAnsi="Calibri" w:cs="Calibri"/>
                      <w:sz w:val="20"/>
                      <w:szCs w:val="20"/>
                    </w:rPr>
                    <w:t xml:space="preserve"> and </w:t>
                  </w:r>
                  <w:r w:rsidRPr="00AD442A">
                    <w:rPr>
                      <w:rFonts w:ascii="Calibri" w:hAnsi="Calibri" w:cs="Calibri"/>
                      <w:b/>
                      <w:bCs/>
                      <w:sz w:val="20"/>
                      <w:szCs w:val="20"/>
                    </w:rPr>
                    <w:t>(F)</w:t>
                  </w:r>
                  <w:r>
                    <w:rPr>
                      <w:rFonts w:ascii="Calibri" w:hAnsi="Calibri" w:cs="Calibri"/>
                      <w:sz w:val="20"/>
                      <w:szCs w:val="20"/>
                    </w:rPr>
                    <w:t xml:space="preserve"> show distances, number of ASVs, or relative abundance of ASVs on a continuous scale, with the x-axis representing the mean age </w:t>
                  </w:r>
                  <w:r w:rsidRPr="00AD442A">
                    <w:rPr>
                      <w:rFonts w:ascii="Calibri" w:hAnsi="Calibri" w:cs="Calibri"/>
                      <w:b/>
                      <w:bCs/>
                      <w:sz w:val="20"/>
                      <w:szCs w:val="20"/>
                    </w:rPr>
                    <w:t>(B)</w:t>
                  </w:r>
                  <w:r>
                    <w:rPr>
                      <w:rFonts w:ascii="Calibri" w:hAnsi="Calibri" w:cs="Calibri"/>
                      <w:sz w:val="20"/>
                      <w:szCs w:val="20"/>
                    </w:rPr>
                    <w:t xml:space="preserve"> or age </w:t>
                  </w:r>
                  <w:r w:rsidRPr="00AD442A">
                    <w:rPr>
                      <w:rFonts w:ascii="Calibri" w:hAnsi="Calibri" w:cs="Calibri"/>
                      <w:b/>
                      <w:bCs/>
                      <w:sz w:val="20"/>
                      <w:szCs w:val="20"/>
                    </w:rPr>
                    <w:t>(D</w:t>
                  </w:r>
                  <w:r>
                    <w:rPr>
                      <w:rFonts w:ascii="Calibri" w:hAnsi="Calibri" w:cs="Calibri"/>
                      <w:sz w:val="20"/>
                      <w:szCs w:val="20"/>
                    </w:rPr>
                    <w:t xml:space="preserve"> and </w:t>
                  </w:r>
                  <w:r w:rsidRPr="00AD442A">
                    <w:rPr>
                      <w:rFonts w:ascii="Calibri" w:hAnsi="Calibri" w:cs="Calibri"/>
                      <w:b/>
                      <w:bCs/>
                      <w:sz w:val="20"/>
                      <w:szCs w:val="20"/>
                    </w:rPr>
                    <w:t>F)</w:t>
                  </w:r>
                  <w:r>
                    <w:rPr>
                      <w:rFonts w:ascii="Calibri" w:hAnsi="Calibri" w:cs="Calibri"/>
                      <w:sz w:val="20"/>
                      <w:szCs w:val="20"/>
                    </w:rPr>
                    <w:t xml:space="preserve"> in years. </w:t>
                  </w:r>
                  <w:r w:rsidR="00FA4F52">
                    <w:rPr>
                      <w:rFonts w:ascii="Calibri" w:hAnsi="Calibri" w:cs="Calibri"/>
                      <w:sz w:val="20"/>
                      <w:szCs w:val="20"/>
                    </w:rPr>
                    <w:t xml:space="preserve">In </w:t>
                  </w:r>
                  <w:r w:rsidR="00FA4F52" w:rsidRPr="00AD442A">
                    <w:rPr>
                      <w:rFonts w:ascii="Calibri" w:hAnsi="Calibri" w:cs="Calibri"/>
                      <w:b/>
                      <w:bCs/>
                      <w:sz w:val="20"/>
                      <w:szCs w:val="20"/>
                    </w:rPr>
                    <w:t>(A)</w:t>
                  </w:r>
                  <w:r w:rsidR="00FA4F52">
                    <w:rPr>
                      <w:rFonts w:ascii="Calibri" w:hAnsi="Calibri" w:cs="Calibri"/>
                      <w:sz w:val="20"/>
                      <w:szCs w:val="20"/>
                    </w:rPr>
                    <w:t xml:space="preserve"> and </w:t>
                  </w:r>
                  <w:r w:rsidR="00FA4F52" w:rsidRPr="00AD442A">
                    <w:rPr>
                      <w:rFonts w:ascii="Calibri" w:hAnsi="Calibri" w:cs="Calibri"/>
                      <w:b/>
                      <w:bCs/>
                      <w:sz w:val="20"/>
                      <w:szCs w:val="20"/>
                    </w:rPr>
                    <w:t>(B)</w:t>
                  </w:r>
                  <w:r w:rsidR="00FA4F52">
                    <w:rPr>
                      <w:rFonts w:ascii="Calibri" w:hAnsi="Calibri" w:cs="Calibri"/>
                      <w:sz w:val="20"/>
                      <w:szCs w:val="20"/>
                    </w:rPr>
                    <w:t xml:space="preserve"> points represent a pair or participants while in all other subplots each point represents a participant. </w:t>
                  </w:r>
                </w:p>
              </w:tc>
            </w:tr>
          </w:tbl>
          <w:p w14:paraId="2E78E071" w14:textId="6CCFC080" w:rsidR="00212AB8" w:rsidRPr="001C4EBE" w:rsidRDefault="00212AB8">
            <w:pPr>
              <w:rPr>
                <w:rFonts w:ascii="Calibri" w:hAnsi="Calibri" w:cs="Calibri"/>
                <w:b/>
                <w:bCs/>
                <w:sz w:val="20"/>
                <w:szCs w:val="20"/>
              </w:rPr>
            </w:pPr>
          </w:p>
        </w:tc>
      </w:tr>
    </w:tbl>
    <w:p w14:paraId="407D9EF9" w14:textId="77777777" w:rsidR="001C4EBE" w:rsidRDefault="001C4EBE">
      <w:pPr>
        <w:rPr>
          <w:rFonts w:ascii="Calibri" w:hAnsi="Calibri" w:cs="Calibri"/>
          <w:sz w:val="20"/>
          <w:szCs w:val="20"/>
        </w:rPr>
      </w:pPr>
    </w:p>
    <w:tbl>
      <w:tblPr>
        <w:tblStyle w:val="TableGrid"/>
        <w:tblW w:w="0" w:type="auto"/>
        <w:tblLook w:val="04A0" w:firstRow="1" w:lastRow="0" w:firstColumn="1" w:lastColumn="0" w:noHBand="0" w:noVBand="1"/>
      </w:tblPr>
      <w:tblGrid>
        <w:gridCol w:w="9016"/>
      </w:tblGrid>
      <w:tr w:rsidR="003603D3" w14:paraId="0B08CF11" w14:textId="77777777" w:rsidTr="606828AE">
        <w:tc>
          <w:tcPr>
            <w:tcW w:w="9016" w:type="dxa"/>
            <w:tcBorders>
              <w:top w:val="nil"/>
              <w:left w:val="nil"/>
              <w:bottom w:val="nil"/>
              <w:right w:val="nil"/>
            </w:tcBorders>
          </w:tcPr>
          <w:p w14:paraId="3C941C1B" w14:textId="6F953EE7" w:rsidR="003603D3" w:rsidRDefault="00323303">
            <w:pPr>
              <w:rPr>
                <w:rFonts w:ascii="Calibri" w:hAnsi="Calibri" w:cs="Calibri"/>
                <w:sz w:val="20"/>
                <w:szCs w:val="20"/>
              </w:rPr>
            </w:pPr>
            <w:r>
              <w:rPr>
                <w:noProof/>
              </w:rPr>
              <w:lastRenderedPageBreak/>
              <w:drawing>
                <wp:inline distT="0" distB="0" distL="0" distR="0" wp14:anchorId="233FE8BA" wp14:editId="43F824CA">
                  <wp:extent cx="5532120" cy="2793028"/>
                  <wp:effectExtent l="0" t="0" r="5080" b="1270"/>
                  <wp:docPr id="907741186" name="Picture 2" descr="A table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41186" name="Picture 2" descr="A table of different colo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3869" cy="2798960"/>
                          </a:xfrm>
                          <a:prstGeom prst="rect">
                            <a:avLst/>
                          </a:prstGeom>
                        </pic:spPr>
                      </pic:pic>
                    </a:graphicData>
                  </a:graphic>
                </wp:inline>
              </w:drawing>
            </w:r>
          </w:p>
          <w:p w14:paraId="34E68854" w14:textId="099C6574" w:rsidR="003603D3" w:rsidRDefault="29FE668D">
            <w:pPr>
              <w:rPr>
                <w:rFonts w:ascii="Calibri" w:hAnsi="Calibri" w:cs="Calibri"/>
                <w:sz w:val="20"/>
                <w:szCs w:val="20"/>
              </w:rPr>
            </w:pPr>
            <w:r w:rsidRPr="29FE668D">
              <w:rPr>
                <w:rFonts w:ascii="Calibri" w:hAnsi="Calibri" w:cs="Calibri"/>
                <w:b/>
                <w:bCs/>
                <w:sz w:val="20"/>
                <w:szCs w:val="20"/>
              </w:rPr>
              <w:t>Figure S</w:t>
            </w:r>
            <w:r w:rsidR="001E1263">
              <w:rPr>
                <w:rFonts w:ascii="Calibri" w:hAnsi="Calibri" w:cs="Calibri"/>
                <w:b/>
                <w:bCs/>
                <w:sz w:val="20"/>
                <w:szCs w:val="20"/>
              </w:rPr>
              <w:t>9</w:t>
            </w:r>
            <w:r w:rsidRPr="29FE668D">
              <w:rPr>
                <w:rFonts w:ascii="Calibri" w:hAnsi="Calibri" w:cs="Calibri"/>
                <w:b/>
                <w:bCs/>
                <w:sz w:val="20"/>
                <w:szCs w:val="20"/>
              </w:rPr>
              <w:t>.</w:t>
            </w:r>
            <w:r w:rsidRPr="29FE668D">
              <w:rPr>
                <w:rFonts w:ascii="Calibri" w:hAnsi="Calibri" w:cs="Calibri"/>
                <w:sz w:val="20"/>
                <w:szCs w:val="20"/>
              </w:rPr>
              <w:t xml:space="preserve"> </w:t>
            </w:r>
            <w:r w:rsidRPr="29FE668D">
              <w:rPr>
                <w:rFonts w:ascii="Calibri" w:hAnsi="Calibri" w:cs="Calibri"/>
                <w:b/>
                <w:bCs/>
                <w:sz w:val="20"/>
                <w:szCs w:val="20"/>
              </w:rPr>
              <w:t xml:space="preserve">Abundance and prevalence within children and adolescents compared with adults for all genera that are significantly differentially abundant with age or gender in children. </w:t>
            </w:r>
            <w:r w:rsidRPr="29FE668D">
              <w:rPr>
                <w:rFonts w:ascii="Calibri" w:hAnsi="Calibri" w:cs="Calibri"/>
                <w:sz w:val="20"/>
                <w:szCs w:val="20"/>
              </w:rPr>
              <w:t>From left to right, subplots show a phylogenetic tree, genus name, mean relative abundance within children/adolescents and adults, prevalence within children/adolescents and adults, and heatmaps showing mean relative abundance within children/adolescents and adults grouped by gender</w:t>
            </w:r>
            <w:r w:rsidR="00E55D79">
              <w:rPr>
                <w:rFonts w:ascii="Calibri" w:hAnsi="Calibri" w:cs="Calibri"/>
                <w:sz w:val="20"/>
                <w:szCs w:val="20"/>
              </w:rPr>
              <w:t>/sex</w:t>
            </w:r>
            <w:r w:rsidRPr="29FE668D">
              <w:rPr>
                <w:rFonts w:ascii="Calibri" w:hAnsi="Calibri" w:cs="Calibri"/>
                <w:sz w:val="20"/>
                <w:szCs w:val="20"/>
              </w:rPr>
              <w:t xml:space="preserve"> (male [M], female [F]; </w:t>
            </w:r>
            <w:r w:rsidR="00D85D54">
              <w:rPr>
                <w:rFonts w:ascii="Calibri" w:hAnsi="Calibri" w:cs="Calibri"/>
                <w:sz w:val="20"/>
                <w:szCs w:val="20"/>
              </w:rPr>
              <w:t>Atlantic PATH did not collect information on gender from the adults at baseline</w:t>
            </w:r>
            <w:r w:rsidRPr="29FE668D">
              <w:rPr>
                <w:rFonts w:ascii="Calibri" w:hAnsi="Calibri" w:cs="Calibri"/>
                <w:sz w:val="20"/>
                <w:szCs w:val="20"/>
              </w:rPr>
              <w:t>), and age rounded down to a whole number for children/adolescents, or within five-year groupings for adults. Circles in the mean abundance column are scaled to represent the mean abundance of that genus, with larger circles representing higher relative abundance. For the prevalence heatmap, lighter colours indicate lower prevalence while darker colours indicate higher prevalence. For the relative abundance heatmaps, lighter colours represent higher values while darker colours represent lower values; colours are scaled within age/gender groups for each genus. For both prevalence and relative abundance, all values are shown within cells.</w:t>
            </w:r>
          </w:p>
        </w:tc>
      </w:tr>
    </w:tbl>
    <w:p w14:paraId="4E4CAA99" w14:textId="2FA1CE2F" w:rsidR="00783168" w:rsidRDefault="00783168">
      <w:pPr>
        <w:rPr>
          <w:rFonts w:ascii="Calibri" w:hAnsi="Calibri" w:cs="Calibri"/>
          <w:sz w:val="20"/>
          <w:szCs w:val="20"/>
        </w:rPr>
      </w:pPr>
    </w:p>
    <w:tbl>
      <w:tblPr>
        <w:tblStyle w:val="TableGrid"/>
        <w:tblW w:w="0" w:type="auto"/>
        <w:tblLook w:val="04A0" w:firstRow="1" w:lastRow="0" w:firstColumn="1" w:lastColumn="0" w:noHBand="0" w:noVBand="1"/>
      </w:tblPr>
      <w:tblGrid>
        <w:gridCol w:w="9016"/>
      </w:tblGrid>
      <w:tr w:rsidR="00783168" w14:paraId="46B18701" w14:textId="77777777" w:rsidTr="00AF4715">
        <w:tc>
          <w:tcPr>
            <w:tcW w:w="9016" w:type="dxa"/>
            <w:tcBorders>
              <w:top w:val="nil"/>
              <w:left w:val="nil"/>
              <w:bottom w:val="nil"/>
              <w:right w:val="nil"/>
            </w:tcBorders>
          </w:tcPr>
          <w:p w14:paraId="2571EC8C" w14:textId="39E49301" w:rsidR="00783168" w:rsidRDefault="00DF1203" w:rsidP="00185A6E">
            <w:pPr>
              <w:jc w:val="center"/>
              <w:rPr>
                <w:rFonts w:ascii="Calibri" w:hAnsi="Calibri" w:cs="Calibri"/>
                <w:sz w:val="20"/>
                <w:szCs w:val="20"/>
              </w:rPr>
            </w:pPr>
            <w:r>
              <w:rPr>
                <w:rFonts w:ascii="Calibri" w:hAnsi="Calibri" w:cs="Calibri"/>
                <w:noProof/>
                <w:sz w:val="20"/>
                <w:szCs w:val="20"/>
              </w:rPr>
              <w:drawing>
                <wp:inline distT="0" distB="0" distL="0" distR="0" wp14:anchorId="2F66BE74" wp14:editId="4B0F9737">
                  <wp:extent cx="4507226" cy="3446585"/>
                  <wp:effectExtent l="0" t="0" r="1905" b="0"/>
                  <wp:docPr id="1349048147" name="Picture 6" descr="A group of graphs showing different types of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48147" name="Picture 6" descr="A group of graphs showing different types of growt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3200" cy="3466447"/>
                          </a:xfrm>
                          <a:prstGeom prst="rect">
                            <a:avLst/>
                          </a:prstGeom>
                        </pic:spPr>
                      </pic:pic>
                    </a:graphicData>
                  </a:graphic>
                </wp:inline>
              </w:drawing>
            </w:r>
          </w:p>
          <w:p w14:paraId="3F2D44B4" w14:textId="4FECD0BB" w:rsidR="00783168" w:rsidRPr="00185A6E" w:rsidRDefault="00783168">
            <w:pPr>
              <w:rPr>
                <w:rFonts w:ascii="Calibri" w:hAnsi="Calibri" w:cs="Calibri"/>
                <w:sz w:val="20"/>
                <w:szCs w:val="20"/>
              </w:rPr>
            </w:pPr>
            <w:r w:rsidRPr="003603D3">
              <w:rPr>
                <w:rFonts w:ascii="Calibri" w:hAnsi="Calibri" w:cs="Calibri"/>
                <w:b/>
                <w:bCs/>
                <w:sz w:val="20"/>
                <w:szCs w:val="20"/>
              </w:rPr>
              <w:t>Figure S</w:t>
            </w:r>
            <w:r w:rsidR="00014F05">
              <w:rPr>
                <w:rFonts w:ascii="Calibri" w:hAnsi="Calibri" w:cs="Calibri"/>
                <w:b/>
                <w:bCs/>
                <w:sz w:val="20"/>
                <w:szCs w:val="20"/>
              </w:rPr>
              <w:t>10</w:t>
            </w:r>
            <w:r w:rsidRPr="003603D3">
              <w:rPr>
                <w:rFonts w:ascii="Calibri" w:hAnsi="Calibri" w:cs="Calibri"/>
                <w:b/>
                <w:bCs/>
                <w:sz w:val="20"/>
                <w:szCs w:val="20"/>
              </w:rPr>
              <w:t>.</w:t>
            </w:r>
            <w:r w:rsidRPr="003603D3">
              <w:rPr>
                <w:rFonts w:ascii="Calibri" w:hAnsi="Calibri" w:cs="Calibri"/>
                <w:sz w:val="20"/>
                <w:szCs w:val="20"/>
              </w:rPr>
              <w:t xml:space="preserve"> </w:t>
            </w:r>
            <w:r w:rsidR="00185A6E">
              <w:rPr>
                <w:rFonts w:ascii="Calibri" w:hAnsi="Calibri" w:cs="Calibri"/>
                <w:b/>
                <w:bCs/>
                <w:sz w:val="20"/>
                <w:szCs w:val="20"/>
              </w:rPr>
              <w:t>Association between age and gender for four abundant genera that were significantly differentially abundant with both age and gender</w:t>
            </w:r>
            <w:r>
              <w:rPr>
                <w:rFonts w:ascii="Calibri" w:hAnsi="Calibri" w:cs="Calibri"/>
                <w:b/>
                <w:bCs/>
                <w:sz w:val="20"/>
                <w:szCs w:val="20"/>
              </w:rPr>
              <w:t>.</w:t>
            </w:r>
            <w:r w:rsidR="00185A6E">
              <w:rPr>
                <w:rFonts w:ascii="Calibri" w:hAnsi="Calibri" w:cs="Calibri"/>
                <w:b/>
                <w:bCs/>
                <w:sz w:val="20"/>
                <w:szCs w:val="20"/>
              </w:rPr>
              <w:t xml:space="preserve"> </w:t>
            </w:r>
            <w:r w:rsidR="00253AF3">
              <w:rPr>
                <w:rFonts w:ascii="Calibri" w:hAnsi="Calibri" w:cs="Calibri"/>
                <w:sz w:val="20"/>
                <w:szCs w:val="20"/>
              </w:rPr>
              <w:t xml:space="preserve">Plots show </w:t>
            </w:r>
            <w:r w:rsidR="00026B26">
              <w:rPr>
                <w:rFonts w:ascii="Calibri" w:hAnsi="Calibri" w:cs="Calibri"/>
                <w:sz w:val="20"/>
                <w:szCs w:val="20"/>
              </w:rPr>
              <w:t xml:space="preserve">the relative abundance of each genus (y-axis) </w:t>
            </w:r>
            <w:r w:rsidR="00026B26">
              <w:rPr>
                <w:rFonts w:ascii="Calibri" w:hAnsi="Calibri" w:cs="Calibri"/>
                <w:sz w:val="20"/>
                <w:szCs w:val="20"/>
              </w:rPr>
              <w:lastRenderedPageBreak/>
              <w:t xml:space="preserve">plotted against age (x-axis) with individual points showing participants and lines showing the </w:t>
            </w:r>
            <w:r w:rsidR="00026B26" w:rsidRPr="000B2285">
              <w:rPr>
                <w:rFonts w:ascii="Calibri" w:hAnsi="Calibri" w:cs="Calibri"/>
                <w:sz w:val="20"/>
                <w:szCs w:val="20"/>
              </w:rPr>
              <w:t xml:space="preserve">least squares regression </w:t>
            </w:r>
            <w:r w:rsidR="00026B26">
              <w:rPr>
                <w:rFonts w:ascii="Calibri" w:hAnsi="Calibri" w:cs="Calibri"/>
                <w:sz w:val="20"/>
                <w:szCs w:val="20"/>
              </w:rPr>
              <w:t xml:space="preserve">for males (yellow) or females (red). </w:t>
            </w:r>
          </w:p>
        </w:tc>
      </w:tr>
    </w:tbl>
    <w:p w14:paraId="71993DBB" w14:textId="77777777" w:rsidR="00783168" w:rsidRDefault="00783168">
      <w:pPr>
        <w:rPr>
          <w:rFonts w:ascii="Calibri" w:hAnsi="Calibri" w:cs="Calibri"/>
          <w:sz w:val="20"/>
          <w:szCs w:val="20"/>
        </w:rPr>
      </w:pPr>
    </w:p>
    <w:tbl>
      <w:tblPr>
        <w:tblStyle w:val="TableGrid"/>
        <w:tblW w:w="0" w:type="auto"/>
        <w:tblLook w:val="04A0" w:firstRow="1" w:lastRow="0" w:firstColumn="1" w:lastColumn="0" w:noHBand="0" w:noVBand="1"/>
      </w:tblPr>
      <w:tblGrid>
        <w:gridCol w:w="9016"/>
      </w:tblGrid>
      <w:tr w:rsidR="00C85165" w14:paraId="2A189AF5" w14:textId="77777777" w:rsidTr="33140B6E">
        <w:tc>
          <w:tcPr>
            <w:tcW w:w="9016" w:type="dxa"/>
            <w:tcBorders>
              <w:top w:val="nil"/>
              <w:left w:val="nil"/>
              <w:bottom w:val="nil"/>
              <w:right w:val="nil"/>
            </w:tcBorders>
          </w:tcPr>
          <w:p w14:paraId="0E8E7412" w14:textId="17D16C5A" w:rsidR="00C85165" w:rsidRPr="008A6177" w:rsidRDefault="008900E4">
            <w:pPr>
              <w:rPr>
                <w:rFonts w:ascii="Calibri" w:hAnsi="Calibri" w:cs="Calibri"/>
                <w:sz w:val="20"/>
                <w:szCs w:val="20"/>
              </w:rPr>
            </w:pPr>
            <w:r w:rsidRPr="008A6177">
              <w:rPr>
                <w:rFonts w:ascii="Calibri" w:hAnsi="Calibri" w:cs="Calibri"/>
                <w:noProof/>
                <w:sz w:val="20"/>
                <w:szCs w:val="20"/>
              </w:rPr>
              <w:drawing>
                <wp:inline distT="0" distB="0" distL="0" distR="0" wp14:anchorId="583678D5" wp14:editId="6FC77DB4">
                  <wp:extent cx="5477435" cy="2107593"/>
                  <wp:effectExtent l="0" t="0" r="0" b="635"/>
                  <wp:docPr id="114096244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62446" name="Picture 1" descr="A screenshot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9487" cy="2112230"/>
                          </a:xfrm>
                          <a:prstGeom prst="rect">
                            <a:avLst/>
                          </a:prstGeom>
                        </pic:spPr>
                      </pic:pic>
                    </a:graphicData>
                  </a:graphic>
                </wp:inline>
              </w:drawing>
            </w:r>
          </w:p>
          <w:p w14:paraId="57065C87" w14:textId="59F5CCC4" w:rsidR="00C85165" w:rsidRPr="001B3135" w:rsidRDefault="33140B6E">
            <w:pPr>
              <w:rPr>
                <w:rFonts w:ascii="Calibri" w:hAnsi="Calibri" w:cs="Calibri"/>
                <w:sz w:val="20"/>
                <w:szCs w:val="20"/>
              </w:rPr>
            </w:pPr>
            <w:r w:rsidRPr="008A6177">
              <w:rPr>
                <w:rFonts w:ascii="Calibri" w:hAnsi="Calibri" w:cs="Calibri"/>
                <w:b/>
                <w:bCs/>
                <w:sz w:val="20"/>
                <w:szCs w:val="20"/>
              </w:rPr>
              <w:t xml:space="preserve">Figure S11. Associations between alternate alleles at seven human genome loci and beta diversity, alpha diversity, or the abundance of genera. </w:t>
            </w:r>
            <w:r w:rsidRPr="008A6177">
              <w:rPr>
                <w:rFonts w:ascii="Calibri" w:hAnsi="Calibri" w:cs="Calibri"/>
                <w:sz w:val="20"/>
                <w:szCs w:val="20"/>
              </w:rPr>
              <w:t>Association with: phylogenetic-RPCA distances (beta diversity) showing R</w:t>
            </w:r>
            <w:r w:rsidRPr="008A6177">
              <w:rPr>
                <w:rFonts w:ascii="Calibri" w:hAnsi="Calibri" w:cs="Calibri"/>
                <w:sz w:val="20"/>
                <w:szCs w:val="20"/>
                <w:vertAlign w:val="superscript"/>
              </w:rPr>
              <w:t>2</w:t>
            </w:r>
            <w:r w:rsidRPr="008A6177">
              <w:rPr>
                <w:rFonts w:ascii="Calibri" w:hAnsi="Calibri" w:cs="Calibri"/>
                <w:sz w:val="20"/>
                <w:szCs w:val="20"/>
              </w:rPr>
              <w:t xml:space="preserve"> values in cells (top); alpha diversity metrics, showing Spearman’s correlation values in cells (middle); and the abundance of genera, showing MaAsLin 3 coefficients in cells (bottom). Significant associations (PERMANOVA/ANOVA </w:t>
            </w:r>
            <w:r w:rsidRPr="008A6177">
              <w:rPr>
                <w:rFonts w:ascii="Calibri" w:hAnsi="Calibri" w:cs="Calibri"/>
                <w:i/>
                <w:iCs/>
                <w:sz w:val="20"/>
                <w:szCs w:val="20"/>
              </w:rPr>
              <w:t>p</w:t>
            </w:r>
            <w:r w:rsidRPr="008A6177">
              <w:rPr>
                <w:rFonts w:ascii="Calibri" w:hAnsi="Calibri" w:cs="Calibri"/>
                <w:sz w:val="20"/>
                <w:szCs w:val="20"/>
              </w:rPr>
              <w:t xml:space="preserve"> </w:t>
            </w:r>
            <w:r w:rsidRPr="008A6177">
              <w:rPr>
                <w:rFonts w:ascii="Symbol" w:eastAsia="Symbol" w:hAnsi="Symbol" w:cs="Symbol"/>
                <w:sz w:val="20"/>
                <w:szCs w:val="20"/>
              </w:rPr>
              <w:t>£</w:t>
            </w:r>
            <w:r w:rsidRPr="008A6177">
              <w:rPr>
                <w:rFonts w:ascii="Calibri" w:hAnsi="Calibri" w:cs="Calibri"/>
                <w:sz w:val="20"/>
                <w:szCs w:val="20"/>
              </w:rPr>
              <w:t xml:space="preserve"> 0.05 or MaAsLin 3 </w:t>
            </w:r>
            <w:r w:rsidRPr="008A6177">
              <w:rPr>
                <w:rFonts w:ascii="Calibri" w:hAnsi="Calibri" w:cs="Calibri"/>
                <w:i/>
                <w:iCs/>
                <w:sz w:val="20"/>
                <w:szCs w:val="20"/>
              </w:rPr>
              <w:t>q</w:t>
            </w:r>
            <w:r w:rsidRPr="008A6177">
              <w:rPr>
                <w:rFonts w:ascii="Calibri" w:hAnsi="Calibri" w:cs="Calibri"/>
                <w:sz w:val="20"/>
                <w:szCs w:val="20"/>
              </w:rPr>
              <w:t xml:space="preserve"> </w:t>
            </w:r>
            <w:r w:rsidRPr="008A6177">
              <w:rPr>
                <w:rFonts w:ascii="Symbol" w:eastAsia="Symbol" w:hAnsi="Symbol" w:cs="Symbol"/>
                <w:sz w:val="20"/>
                <w:szCs w:val="20"/>
              </w:rPr>
              <w:t>£</w:t>
            </w:r>
            <w:r w:rsidRPr="008A6177">
              <w:rPr>
                <w:rFonts w:ascii="Calibri" w:hAnsi="Calibri" w:cs="Calibri"/>
                <w:sz w:val="20"/>
                <w:szCs w:val="20"/>
              </w:rPr>
              <w:t xml:space="preserve"> 0.1) are indicated with coloured cells. Values for all statistical tests are shown in Table S7.</w:t>
            </w:r>
            <w:r w:rsidRPr="33140B6E">
              <w:rPr>
                <w:rFonts w:ascii="Calibri" w:hAnsi="Calibri" w:cs="Calibri"/>
                <w:sz w:val="20"/>
                <w:szCs w:val="20"/>
              </w:rPr>
              <w:t xml:space="preserve"> </w:t>
            </w:r>
          </w:p>
        </w:tc>
      </w:tr>
    </w:tbl>
    <w:p w14:paraId="77F12F33" w14:textId="77777777" w:rsidR="00C85165" w:rsidRDefault="00C85165">
      <w:pPr>
        <w:rPr>
          <w:rFonts w:ascii="Calibri" w:hAnsi="Calibri" w:cs="Calibri"/>
          <w:sz w:val="20"/>
          <w:szCs w:val="20"/>
        </w:rPr>
      </w:pPr>
    </w:p>
    <w:p w14:paraId="4F8A0D40" w14:textId="77777777" w:rsidR="00C85165" w:rsidRDefault="00C85165">
      <w:pPr>
        <w:rPr>
          <w:rFonts w:ascii="Calibri" w:hAnsi="Calibri" w:cs="Calibri"/>
          <w:sz w:val="20"/>
          <w:szCs w:val="20"/>
        </w:rPr>
      </w:pPr>
    </w:p>
    <w:tbl>
      <w:tblPr>
        <w:tblStyle w:val="TableGrid"/>
        <w:tblW w:w="0" w:type="auto"/>
        <w:tblLook w:val="04A0" w:firstRow="1" w:lastRow="0" w:firstColumn="1" w:lastColumn="0" w:noHBand="0" w:noVBand="1"/>
      </w:tblPr>
      <w:tblGrid>
        <w:gridCol w:w="9016"/>
      </w:tblGrid>
      <w:tr w:rsidR="003C46D8" w14:paraId="255035BB" w14:textId="77777777" w:rsidTr="002A2413">
        <w:tc>
          <w:tcPr>
            <w:tcW w:w="9016" w:type="dxa"/>
            <w:tcBorders>
              <w:top w:val="nil"/>
              <w:left w:val="nil"/>
              <w:bottom w:val="nil"/>
              <w:right w:val="nil"/>
            </w:tcBorders>
          </w:tcPr>
          <w:p w14:paraId="0511758E" w14:textId="421C8659" w:rsidR="003C46D8" w:rsidRDefault="009F3575">
            <w:pPr>
              <w:rPr>
                <w:rFonts w:ascii="Calibri" w:hAnsi="Calibri" w:cs="Calibri"/>
                <w:sz w:val="20"/>
                <w:szCs w:val="20"/>
              </w:rPr>
            </w:pPr>
            <w:r>
              <w:rPr>
                <w:rFonts w:ascii="Calibri" w:hAnsi="Calibri" w:cs="Calibri"/>
                <w:noProof/>
                <w:sz w:val="20"/>
                <w:szCs w:val="20"/>
              </w:rPr>
              <w:drawing>
                <wp:inline distT="0" distB="0" distL="0" distR="0" wp14:anchorId="5B5AC957" wp14:editId="16B540F8">
                  <wp:extent cx="5533200" cy="4034344"/>
                  <wp:effectExtent l="0" t="0" r="4445" b="4445"/>
                  <wp:docPr id="1459784537" name="Picture 2" descr="A screenshot of a data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84537" name="Picture 2" descr="A screenshot of a data shee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3200" cy="4034344"/>
                          </a:xfrm>
                          <a:prstGeom prst="rect">
                            <a:avLst/>
                          </a:prstGeom>
                        </pic:spPr>
                      </pic:pic>
                    </a:graphicData>
                  </a:graphic>
                </wp:inline>
              </w:drawing>
            </w:r>
          </w:p>
          <w:p w14:paraId="054AE56D" w14:textId="18193506" w:rsidR="003C46D8" w:rsidRDefault="003C46D8">
            <w:pPr>
              <w:rPr>
                <w:rFonts w:ascii="Calibri" w:hAnsi="Calibri" w:cs="Calibri"/>
                <w:sz w:val="20"/>
                <w:szCs w:val="20"/>
              </w:rPr>
            </w:pPr>
            <w:r w:rsidRPr="003C46D8">
              <w:rPr>
                <w:rFonts w:ascii="Calibri" w:hAnsi="Calibri" w:cs="Calibri"/>
                <w:b/>
                <w:bCs/>
                <w:sz w:val="20"/>
                <w:szCs w:val="20"/>
              </w:rPr>
              <w:t>Figure S</w:t>
            </w:r>
            <w:r w:rsidR="00AF4715">
              <w:rPr>
                <w:rFonts w:ascii="Calibri" w:hAnsi="Calibri" w:cs="Calibri"/>
                <w:b/>
                <w:bCs/>
                <w:sz w:val="20"/>
                <w:szCs w:val="20"/>
              </w:rPr>
              <w:t>1</w:t>
            </w:r>
            <w:r w:rsidR="00D8576F">
              <w:rPr>
                <w:rFonts w:ascii="Calibri" w:hAnsi="Calibri" w:cs="Calibri"/>
                <w:b/>
                <w:bCs/>
                <w:sz w:val="20"/>
                <w:szCs w:val="20"/>
              </w:rPr>
              <w:t>2</w:t>
            </w:r>
            <w:r w:rsidRPr="003C46D8">
              <w:rPr>
                <w:rFonts w:ascii="Calibri" w:hAnsi="Calibri" w:cs="Calibri"/>
                <w:b/>
                <w:bCs/>
                <w:sz w:val="20"/>
                <w:szCs w:val="20"/>
              </w:rPr>
              <w:t>.</w:t>
            </w:r>
            <w:r>
              <w:rPr>
                <w:rFonts w:ascii="Calibri" w:hAnsi="Calibri" w:cs="Calibri"/>
                <w:sz w:val="20"/>
                <w:szCs w:val="20"/>
              </w:rPr>
              <w:t xml:space="preserve"> </w:t>
            </w:r>
            <w:r w:rsidR="00D85674" w:rsidRPr="00D85674">
              <w:rPr>
                <w:rFonts w:ascii="Calibri" w:hAnsi="Calibri" w:cs="Calibri"/>
                <w:b/>
                <w:bCs/>
                <w:sz w:val="20"/>
                <w:szCs w:val="20"/>
              </w:rPr>
              <w:t>Association between current marginalisation, environmental characteristics and the oral microbiome in children and adolescents</w:t>
            </w:r>
            <w:r w:rsidR="00732FEA">
              <w:rPr>
                <w:rFonts w:ascii="Calibri" w:hAnsi="Calibri" w:cs="Calibri"/>
                <w:b/>
                <w:bCs/>
                <w:sz w:val="20"/>
                <w:szCs w:val="20"/>
              </w:rPr>
              <w:t xml:space="preserve"> (</w:t>
            </w:r>
            <w:r w:rsidR="00732FEA">
              <w:rPr>
                <w:rFonts w:ascii="Calibri" w:hAnsi="Calibri" w:cs="Calibri"/>
                <w:b/>
                <w:bCs/>
                <w:i/>
                <w:iCs/>
                <w:sz w:val="20"/>
                <w:szCs w:val="20"/>
              </w:rPr>
              <w:t>n</w:t>
            </w:r>
            <w:r w:rsidR="00732FEA">
              <w:rPr>
                <w:rFonts w:ascii="Calibri" w:hAnsi="Calibri" w:cs="Calibri"/>
                <w:b/>
                <w:bCs/>
                <w:sz w:val="20"/>
                <w:szCs w:val="20"/>
              </w:rPr>
              <w:t>=4,178)</w:t>
            </w:r>
            <w:r w:rsidR="00D85674" w:rsidRPr="00D85674">
              <w:rPr>
                <w:rFonts w:ascii="Calibri" w:hAnsi="Calibri" w:cs="Calibri"/>
                <w:b/>
                <w:bCs/>
                <w:sz w:val="20"/>
                <w:szCs w:val="20"/>
              </w:rPr>
              <w:t>.</w:t>
            </w:r>
            <w:r w:rsidR="00D85674">
              <w:rPr>
                <w:rFonts w:ascii="Calibri" w:hAnsi="Calibri" w:cs="Calibri"/>
                <w:sz w:val="20"/>
                <w:szCs w:val="20"/>
              </w:rPr>
              <w:t xml:space="preserve"> </w:t>
            </w:r>
            <w:r w:rsidR="00751350">
              <w:rPr>
                <w:rFonts w:ascii="Calibri" w:hAnsi="Calibri" w:cs="Calibri"/>
                <w:sz w:val="20"/>
                <w:szCs w:val="20"/>
              </w:rPr>
              <w:t>Contribution to beta diversity variation (</w:t>
            </w:r>
            <w:r w:rsidR="00751350" w:rsidRPr="003066BA">
              <w:rPr>
                <w:rFonts w:ascii="Calibri" w:hAnsi="Calibri" w:cs="Calibri"/>
                <w:b/>
                <w:bCs/>
                <w:sz w:val="20"/>
                <w:szCs w:val="20"/>
              </w:rPr>
              <w:t>A</w:t>
            </w:r>
            <w:r w:rsidR="00751350">
              <w:rPr>
                <w:rFonts w:ascii="Calibri" w:hAnsi="Calibri" w:cs="Calibri"/>
                <w:sz w:val="20"/>
                <w:szCs w:val="20"/>
              </w:rPr>
              <w:t>) and Spearman’s correlation with beta diversity (</w:t>
            </w:r>
            <w:r w:rsidR="00751350" w:rsidRPr="003066BA">
              <w:rPr>
                <w:rFonts w:ascii="Calibri" w:hAnsi="Calibri" w:cs="Calibri"/>
                <w:b/>
                <w:bCs/>
                <w:sz w:val="20"/>
                <w:szCs w:val="20"/>
              </w:rPr>
              <w:t>B</w:t>
            </w:r>
            <w:r w:rsidR="00751350">
              <w:rPr>
                <w:rFonts w:ascii="Calibri" w:hAnsi="Calibri" w:cs="Calibri"/>
                <w:sz w:val="20"/>
                <w:szCs w:val="20"/>
              </w:rPr>
              <w:t xml:space="preserve">) represented by phylogenetic RPCA diversity on PC1, PC2 and PC3. For each PC, the variation represented by it is shown in the labels. Alpha diversity statistical test results </w:t>
            </w:r>
            <w:r w:rsidR="00751350">
              <w:rPr>
                <w:rFonts w:ascii="Calibri" w:hAnsi="Calibri" w:cs="Calibri"/>
                <w:sz w:val="20"/>
                <w:szCs w:val="20"/>
              </w:rPr>
              <w:lastRenderedPageBreak/>
              <w:t>(</w:t>
            </w:r>
            <w:r w:rsidR="00751350" w:rsidRPr="003066BA">
              <w:rPr>
                <w:rFonts w:ascii="Calibri" w:hAnsi="Calibri" w:cs="Calibri"/>
                <w:b/>
                <w:bCs/>
                <w:sz w:val="20"/>
                <w:szCs w:val="20"/>
              </w:rPr>
              <w:t>C</w:t>
            </w:r>
            <w:r w:rsidR="00751350">
              <w:rPr>
                <w:rFonts w:ascii="Calibri" w:hAnsi="Calibri" w:cs="Calibri"/>
                <w:sz w:val="20"/>
                <w:szCs w:val="20"/>
              </w:rPr>
              <w:t>) and Spearman’s correlation with alpha diversity metrics (</w:t>
            </w:r>
            <w:r w:rsidR="00751350" w:rsidRPr="003066BA">
              <w:rPr>
                <w:rFonts w:ascii="Calibri" w:hAnsi="Calibri" w:cs="Calibri"/>
                <w:b/>
                <w:bCs/>
                <w:sz w:val="20"/>
                <w:szCs w:val="20"/>
              </w:rPr>
              <w:t>D</w:t>
            </w:r>
            <w:r w:rsidR="00751350">
              <w:rPr>
                <w:rFonts w:ascii="Calibri" w:hAnsi="Calibri" w:cs="Calibri"/>
                <w:sz w:val="20"/>
                <w:szCs w:val="20"/>
              </w:rPr>
              <w:t>). Coefficients obtained for significant (</w:t>
            </w:r>
            <w:r w:rsidR="00751350" w:rsidRPr="00BD49A5">
              <w:rPr>
                <w:rFonts w:ascii="Calibri" w:hAnsi="Calibri" w:cs="Calibri"/>
                <w:i/>
                <w:iCs/>
                <w:sz w:val="20"/>
                <w:szCs w:val="20"/>
              </w:rPr>
              <w:t>q</w:t>
            </w:r>
            <w:r w:rsidR="00751350">
              <w:rPr>
                <w:rFonts w:ascii="Calibri" w:hAnsi="Calibri" w:cs="Calibri"/>
                <w:sz w:val="20"/>
                <w:szCs w:val="20"/>
              </w:rPr>
              <w:t xml:space="preserve"> </w:t>
            </w:r>
            <w:r w:rsidR="00751350">
              <w:rPr>
                <w:rFonts w:ascii="Symbol" w:eastAsia="Symbol" w:hAnsi="Symbol" w:cs="Symbol"/>
                <w:sz w:val="20"/>
                <w:szCs w:val="20"/>
              </w:rPr>
              <w:t>£</w:t>
            </w:r>
            <w:r w:rsidR="00751350">
              <w:rPr>
                <w:rFonts w:ascii="Calibri" w:hAnsi="Calibri" w:cs="Calibri"/>
                <w:sz w:val="20"/>
                <w:szCs w:val="20"/>
              </w:rPr>
              <w:t xml:space="preserve"> 0.1) associations between genus abundance and the shown metrics obtained using MaAsLin 3 (</w:t>
            </w:r>
            <w:r w:rsidR="00751350" w:rsidRPr="00751350">
              <w:rPr>
                <w:rFonts w:ascii="Calibri" w:hAnsi="Calibri" w:cs="Calibri"/>
                <w:b/>
                <w:bCs/>
                <w:sz w:val="20"/>
                <w:szCs w:val="20"/>
              </w:rPr>
              <w:t>E</w:t>
            </w:r>
            <w:r w:rsidR="00751350">
              <w:rPr>
                <w:rFonts w:ascii="Calibri" w:hAnsi="Calibri" w:cs="Calibri"/>
                <w:sz w:val="20"/>
                <w:szCs w:val="20"/>
              </w:rPr>
              <w:t>). Marginalisation and environmental variables for the participants’ current postal code are used and are sorted by PERMANOVA multivariate R</w:t>
            </w:r>
            <w:r w:rsidR="00751350" w:rsidRPr="00751350">
              <w:rPr>
                <w:rFonts w:ascii="Calibri" w:hAnsi="Calibri" w:cs="Calibri"/>
                <w:sz w:val="20"/>
                <w:szCs w:val="20"/>
                <w:vertAlign w:val="superscript"/>
              </w:rPr>
              <w:t>2</w:t>
            </w:r>
            <w:r w:rsidR="00751350">
              <w:rPr>
                <w:rFonts w:ascii="Calibri" w:hAnsi="Calibri" w:cs="Calibri"/>
                <w:sz w:val="20"/>
                <w:szCs w:val="20"/>
              </w:rPr>
              <w:t xml:space="preserve"> effect size in (</w:t>
            </w:r>
            <w:r w:rsidR="00751350" w:rsidRPr="00751350">
              <w:rPr>
                <w:rFonts w:ascii="Calibri" w:hAnsi="Calibri" w:cs="Calibri"/>
                <w:b/>
                <w:bCs/>
                <w:sz w:val="20"/>
                <w:szCs w:val="20"/>
              </w:rPr>
              <w:t>A</w:t>
            </w:r>
            <w:r w:rsidR="00751350">
              <w:rPr>
                <w:rFonts w:ascii="Calibri" w:hAnsi="Calibri" w:cs="Calibri"/>
                <w:sz w:val="20"/>
                <w:szCs w:val="20"/>
              </w:rPr>
              <w:t>)-(</w:t>
            </w:r>
            <w:r w:rsidR="00751350" w:rsidRPr="00751350">
              <w:rPr>
                <w:rFonts w:ascii="Calibri" w:hAnsi="Calibri" w:cs="Calibri"/>
                <w:b/>
                <w:bCs/>
                <w:sz w:val="20"/>
                <w:szCs w:val="20"/>
              </w:rPr>
              <w:t>D</w:t>
            </w:r>
            <w:r w:rsidR="00751350">
              <w:rPr>
                <w:rFonts w:ascii="Calibri" w:hAnsi="Calibri" w:cs="Calibri"/>
                <w:sz w:val="20"/>
                <w:szCs w:val="20"/>
              </w:rPr>
              <w:t>). In (</w:t>
            </w:r>
            <w:r w:rsidR="00751350" w:rsidRPr="000E6B23">
              <w:rPr>
                <w:rFonts w:ascii="Calibri" w:hAnsi="Calibri" w:cs="Calibri"/>
                <w:b/>
                <w:bCs/>
                <w:sz w:val="20"/>
                <w:szCs w:val="20"/>
              </w:rPr>
              <w:t>A</w:t>
            </w:r>
            <w:r w:rsidR="00751350">
              <w:rPr>
                <w:rFonts w:ascii="Calibri" w:hAnsi="Calibri" w:cs="Calibri"/>
                <w:sz w:val="20"/>
                <w:szCs w:val="20"/>
              </w:rPr>
              <w:t>) and (</w:t>
            </w:r>
            <w:r w:rsidR="00751350">
              <w:rPr>
                <w:rFonts w:ascii="Calibri" w:hAnsi="Calibri" w:cs="Calibri"/>
                <w:b/>
                <w:bCs/>
                <w:sz w:val="20"/>
                <w:szCs w:val="20"/>
              </w:rPr>
              <w:t>C</w:t>
            </w:r>
            <w:r w:rsidR="00751350">
              <w:rPr>
                <w:rFonts w:ascii="Calibri" w:hAnsi="Calibri" w:cs="Calibri"/>
                <w:sz w:val="20"/>
                <w:szCs w:val="20"/>
              </w:rPr>
              <w:t xml:space="preserve">), univariate and multivariate statistical test results are shown in blue or purple, respectively, and filled bars/boxes represent significant </w:t>
            </w:r>
            <w:r w:rsidR="00751350">
              <w:rPr>
                <w:rFonts w:ascii="Calibri" w:hAnsi="Calibri" w:cs="Calibri"/>
                <w:i/>
                <w:iCs/>
                <w:sz w:val="20"/>
                <w:szCs w:val="20"/>
              </w:rPr>
              <w:t>p</w:t>
            </w:r>
            <w:r w:rsidR="00751350">
              <w:rPr>
                <w:rFonts w:ascii="Calibri" w:hAnsi="Calibri" w:cs="Calibri"/>
                <w:sz w:val="20"/>
                <w:szCs w:val="20"/>
              </w:rPr>
              <w:t>-values. Multivariate tests included age, gender, ethnicity and diagnosed health condition</w:t>
            </w:r>
            <w:r w:rsidR="009C6CF7">
              <w:rPr>
                <w:rFonts w:ascii="Calibri" w:hAnsi="Calibri" w:cs="Calibri"/>
                <w:sz w:val="20"/>
                <w:szCs w:val="20"/>
              </w:rPr>
              <w:t xml:space="preserve"> as well as all variables shown here</w:t>
            </w:r>
            <w:r w:rsidR="00751350">
              <w:rPr>
                <w:rFonts w:ascii="Calibri" w:hAnsi="Calibri" w:cs="Calibri"/>
                <w:sz w:val="20"/>
                <w:szCs w:val="20"/>
              </w:rPr>
              <w:t>; see Methods section for full details on how statistical tests were carried out. In (</w:t>
            </w:r>
            <w:r w:rsidR="00751350" w:rsidRPr="003066BA">
              <w:rPr>
                <w:rFonts w:ascii="Calibri" w:hAnsi="Calibri" w:cs="Calibri"/>
                <w:b/>
                <w:bCs/>
                <w:sz w:val="20"/>
                <w:szCs w:val="20"/>
              </w:rPr>
              <w:t>B</w:t>
            </w:r>
            <w:r w:rsidR="00751350">
              <w:rPr>
                <w:rFonts w:ascii="Calibri" w:hAnsi="Calibri" w:cs="Calibri"/>
                <w:sz w:val="20"/>
                <w:szCs w:val="20"/>
              </w:rPr>
              <w:t>) higher absolute correlations (darker green) represent higher associations with each PC, while in (</w:t>
            </w:r>
            <w:r w:rsidR="00751350" w:rsidRPr="003066BA">
              <w:rPr>
                <w:rFonts w:ascii="Calibri" w:hAnsi="Calibri" w:cs="Calibri"/>
                <w:b/>
                <w:bCs/>
                <w:sz w:val="20"/>
                <w:szCs w:val="20"/>
              </w:rPr>
              <w:t>D</w:t>
            </w:r>
            <w:r w:rsidR="00751350">
              <w:rPr>
                <w:rFonts w:ascii="Calibri" w:hAnsi="Calibri" w:cs="Calibri"/>
                <w:sz w:val="20"/>
                <w:szCs w:val="20"/>
              </w:rPr>
              <w:t>)</w:t>
            </w:r>
            <w:r w:rsidR="00BD49A5">
              <w:rPr>
                <w:rFonts w:ascii="Calibri" w:hAnsi="Calibri" w:cs="Calibri"/>
                <w:sz w:val="20"/>
                <w:szCs w:val="20"/>
              </w:rPr>
              <w:t xml:space="preserve"> and (</w:t>
            </w:r>
            <w:r w:rsidR="00BD49A5" w:rsidRPr="00BD49A5">
              <w:rPr>
                <w:rFonts w:ascii="Calibri" w:hAnsi="Calibri" w:cs="Calibri"/>
                <w:b/>
                <w:bCs/>
                <w:sz w:val="20"/>
                <w:szCs w:val="20"/>
              </w:rPr>
              <w:t>E</w:t>
            </w:r>
            <w:r w:rsidR="00BD49A5">
              <w:rPr>
                <w:rFonts w:ascii="Calibri" w:hAnsi="Calibri" w:cs="Calibri"/>
                <w:sz w:val="20"/>
                <w:szCs w:val="20"/>
              </w:rPr>
              <w:t>)</w:t>
            </w:r>
            <w:r w:rsidR="00751350">
              <w:rPr>
                <w:rFonts w:ascii="Calibri" w:hAnsi="Calibri" w:cs="Calibri"/>
                <w:sz w:val="20"/>
                <w:szCs w:val="20"/>
              </w:rPr>
              <w:t>, higher (darker red) or lower (darker blue) values represent positive or negative associations, respectively.</w:t>
            </w:r>
            <w:r w:rsidR="00BD49A5">
              <w:rPr>
                <w:rFonts w:ascii="Calibri" w:hAnsi="Calibri" w:cs="Calibri"/>
                <w:sz w:val="20"/>
                <w:szCs w:val="20"/>
              </w:rPr>
              <w:t xml:space="preserve"> In (</w:t>
            </w:r>
            <w:r w:rsidR="00BD49A5" w:rsidRPr="00BD49A5">
              <w:rPr>
                <w:rFonts w:ascii="Calibri" w:hAnsi="Calibri" w:cs="Calibri"/>
                <w:b/>
                <w:bCs/>
                <w:sz w:val="20"/>
                <w:szCs w:val="20"/>
              </w:rPr>
              <w:t>E</w:t>
            </w:r>
            <w:r w:rsidR="00BD49A5">
              <w:rPr>
                <w:rFonts w:ascii="Calibri" w:hAnsi="Calibri" w:cs="Calibri"/>
                <w:sz w:val="20"/>
                <w:szCs w:val="20"/>
              </w:rPr>
              <w:t>) significant (</w:t>
            </w:r>
            <w:r w:rsidR="00BD49A5" w:rsidRPr="00BD49A5">
              <w:rPr>
                <w:rFonts w:ascii="Calibri" w:hAnsi="Calibri" w:cs="Calibri"/>
                <w:i/>
                <w:iCs/>
                <w:sz w:val="20"/>
                <w:szCs w:val="20"/>
              </w:rPr>
              <w:t>q</w:t>
            </w:r>
            <w:r w:rsidR="00BD49A5">
              <w:rPr>
                <w:rFonts w:ascii="Calibri" w:hAnsi="Calibri" w:cs="Calibri"/>
                <w:sz w:val="20"/>
                <w:szCs w:val="20"/>
              </w:rPr>
              <w:t xml:space="preserve"> </w:t>
            </w:r>
            <w:r w:rsidR="00BD49A5">
              <w:rPr>
                <w:rFonts w:ascii="Symbol" w:eastAsia="Symbol" w:hAnsi="Symbol" w:cs="Symbol"/>
                <w:sz w:val="20"/>
                <w:szCs w:val="20"/>
              </w:rPr>
              <w:t>£</w:t>
            </w:r>
            <w:r w:rsidR="00BD49A5">
              <w:rPr>
                <w:rFonts w:ascii="Calibri" w:hAnsi="Calibri" w:cs="Calibri"/>
                <w:sz w:val="20"/>
                <w:szCs w:val="20"/>
              </w:rPr>
              <w:t xml:space="preserve"> 0.1) coefficients are shown with bold text. </w:t>
            </w:r>
          </w:p>
        </w:tc>
      </w:tr>
    </w:tbl>
    <w:p w14:paraId="188183F9" w14:textId="77777777" w:rsidR="003C46D8" w:rsidRDefault="003C46D8">
      <w:pPr>
        <w:rPr>
          <w:rFonts w:ascii="Calibri" w:hAnsi="Calibri" w:cs="Calibri"/>
          <w:sz w:val="20"/>
          <w:szCs w:val="20"/>
        </w:rPr>
      </w:pPr>
    </w:p>
    <w:tbl>
      <w:tblPr>
        <w:tblStyle w:val="TableGrid"/>
        <w:tblW w:w="0" w:type="auto"/>
        <w:tblLook w:val="04A0" w:firstRow="1" w:lastRow="0" w:firstColumn="1" w:lastColumn="0" w:noHBand="0" w:noVBand="1"/>
      </w:tblPr>
      <w:tblGrid>
        <w:gridCol w:w="9016"/>
      </w:tblGrid>
      <w:tr w:rsidR="002A2413" w14:paraId="399DAEB9" w14:textId="77777777" w:rsidTr="00E91510">
        <w:tc>
          <w:tcPr>
            <w:tcW w:w="9016" w:type="dxa"/>
            <w:tcBorders>
              <w:top w:val="nil"/>
              <w:left w:val="nil"/>
              <w:bottom w:val="nil"/>
              <w:right w:val="nil"/>
            </w:tcBorders>
          </w:tcPr>
          <w:p w14:paraId="740BF245" w14:textId="4E6E482D" w:rsidR="00D13E29" w:rsidRDefault="009F3575">
            <w:pPr>
              <w:rPr>
                <w:rFonts w:ascii="Calibri" w:hAnsi="Calibri" w:cs="Calibri"/>
                <w:b/>
                <w:bCs/>
                <w:sz w:val="20"/>
                <w:szCs w:val="20"/>
              </w:rPr>
            </w:pPr>
            <w:r>
              <w:rPr>
                <w:rFonts w:ascii="Calibri" w:hAnsi="Calibri" w:cs="Calibri"/>
                <w:b/>
                <w:bCs/>
                <w:noProof/>
                <w:sz w:val="20"/>
                <w:szCs w:val="20"/>
              </w:rPr>
              <w:drawing>
                <wp:inline distT="0" distB="0" distL="0" distR="0" wp14:anchorId="77D3B6F8" wp14:editId="13A40735">
                  <wp:extent cx="5533200" cy="6376728"/>
                  <wp:effectExtent l="0" t="0" r="4445" b="0"/>
                  <wp:docPr id="148651919"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1919" name="Picture 3"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3200" cy="6376728"/>
                          </a:xfrm>
                          <a:prstGeom prst="rect">
                            <a:avLst/>
                          </a:prstGeom>
                        </pic:spPr>
                      </pic:pic>
                    </a:graphicData>
                  </a:graphic>
                </wp:inline>
              </w:drawing>
            </w:r>
          </w:p>
          <w:p w14:paraId="3B189876" w14:textId="7902AD5B" w:rsidR="002A2413" w:rsidRPr="00D13E29" w:rsidRDefault="00D13E29">
            <w:pPr>
              <w:rPr>
                <w:rFonts w:ascii="Calibri" w:hAnsi="Calibri" w:cs="Calibri"/>
                <w:b/>
                <w:bCs/>
                <w:sz w:val="20"/>
                <w:szCs w:val="20"/>
              </w:rPr>
            </w:pPr>
            <w:r w:rsidRPr="00D13E29">
              <w:rPr>
                <w:rFonts w:ascii="Calibri" w:hAnsi="Calibri" w:cs="Calibri"/>
                <w:b/>
                <w:bCs/>
                <w:sz w:val="20"/>
                <w:szCs w:val="20"/>
              </w:rPr>
              <w:t>Figure S1</w:t>
            </w:r>
            <w:r w:rsidR="00DA401E">
              <w:rPr>
                <w:rFonts w:ascii="Calibri" w:hAnsi="Calibri" w:cs="Calibri"/>
                <w:b/>
                <w:bCs/>
                <w:sz w:val="20"/>
                <w:szCs w:val="20"/>
              </w:rPr>
              <w:t>3</w:t>
            </w:r>
            <w:r w:rsidRPr="00D13E29">
              <w:rPr>
                <w:rFonts w:ascii="Calibri" w:hAnsi="Calibri" w:cs="Calibri"/>
                <w:b/>
                <w:bCs/>
                <w:sz w:val="20"/>
                <w:szCs w:val="20"/>
              </w:rPr>
              <w:t xml:space="preserve">. </w:t>
            </w:r>
            <w:r w:rsidR="00447990" w:rsidRPr="00D85674">
              <w:rPr>
                <w:rFonts w:ascii="Calibri" w:hAnsi="Calibri" w:cs="Calibri"/>
                <w:b/>
                <w:bCs/>
                <w:sz w:val="20"/>
                <w:szCs w:val="20"/>
              </w:rPr>
              <w:t>Association between marginalisation, environmental characteristics and the oral microbiome in children and adolescents</w:t>
            </w:r>
            <w:r w:rsidR="001B4356">
              <w:rPr>
                <w:rFonts w:ascii="Calibri" w:hAnsi="Calibri" w:cs="Calibri"/>
                <w:b/>
                <w:bCs/>
                <w:sz w:val="20"/>
                <w:szCs w:val="20"/>
              </w:rPr>
              <w:t xml:space="preserve"> for their current, school</w:t>
            </w:r>
            <w:r w:rsidR="00826193">
              <w:rPr>
                <w:rFonts w:ascii="Calibri" w:hAnsi="Calibri" w:cs="Calibri"/>
                <w:b/>
                <w:bCs/>
                <w:sz w:val="20"/>
                <w:szCs w:val="20"/>
              </w:rPr>
              <w:t xml:space="preserve">, </w:t>
            </w:r>
            <w:r w:rsidR="001B4356">
              <w:rPr>
                <w:rFonts w:ascii="Calibri" w:hAnsi="Calibri" w:cs="Calibri"/>
                <w:b/>
                <w:bCs/>
                <w:sz w:val="20"/>
                <w:szCs w:val="20"/>
              </w:rPr>
              <w:t>and in-utero postal codes</w:t>
            </w:r>
            <w:r w:rsidR="00732FEA">
              <w:rPr>
                <w:rFonts w:ascii="Calibri" w:hAnsi="Calibri" w:cs="Calibri"/>
                <w:b/>
                <w:bCs/>
                <w:sz w:val="20"/>
                <w:szCs w:val="20"/>
              </w:rPr>
              <w:t xml:space="preserve"> (</w:t>
            </w:r>
            <w:r w:rsidR="00732FEA">
              <w:rPr>
                <w:rFonts w:ascii="Calibri" w:hAnsi="Calibri" w:cs="Calibri"/>
                <w:b/>
                <w:bCs/>
                <w:i/>
                <w:iCs/>
                <w:sz w:val="20"/>
                <w:szCs w:val="20"/>
              </w:rPr>
              <w:t>n</w:t>
            </w:r>
            <w:r w:rsidR="00732FEA">
              <w:rPr>
                <w:rFonts w:ascii="Calibri" w:hAnsi="Calibri" w:cs="Calibri"/>
                <w:b/>
                <w:bCs/>
                <w:sz w:val="20"/>
                <w:szCs w:val="20"/>
              </w:rPr>
              <w:t>=2,571)</w:t>
            </w:r>
            <w:r w:rsidR="00447990" w:rsidRPr="00D85674">
              <w:rPr>
                <w:rFonts w:ascii="Calibri" w:hAnsi="Calibri" w:cs="Calibri"/>
                <w:b/>
                <w:bCs/>
                <w:sz w:val="20"/>
                <w:szCs w:val="20"/>
              </w:rPr>
              <w:t>.</w:t>
            </w:r>
            <w:r w:rsidR="00447990">
              <w:rPr>
                <w:rFonts w:ascii="Calibri" w:hAnsi="Calibri" w:cs="Calibri"/>
                <w:sz w:val="20"/>
                <w:szCs w:val="20"/>
              </w:rPr>
              <w:t xml:space="preserve"> Contribution to beta diversity variation (</w:t>
            </w:r>
            <w:r w:rsidR="00447990" w:rsidRPr="003066BA">
              <w:rPr>
                <w:rFonts w:ascii="Calibri" w:hAnsi="Calibri" w:cs="Calibri"/>
                <w:b/>
                <w:bCs/>
                <w:sz w:val="20"/>
                <w:szCs w:val="20"/>
              </w:rPr>
              <w:t>A</w:t>
            </w:r>
            <w:r w:rsidR="00447990">
              <w:rPr>
                <w:rFonts w:ascii="Calibri" w:hAnsi="Calibri" w:cs="Calibri"/>
                <w:sz w:val="20"/>
                <w:szCs w:val="20"/>
              </w:rPr>
              <w:t>) and Spearman’s correlation with beta diversity (</w:t>
            </w:r>
            <w:r w:rsidR="00447990" w:rsidRPr="003066BA">
              <w:rPr>
                <w:rFonts w:ascii="Calibri" w:hAnsi="Calibri" w:cs="Calibri"/>
                <w:b/>
                <w:bCs/>
                <w:sz w:val="20"/>
                <w:szCs w:val="20"/>
              </w:rPr>
              <w:t>B</w:t>
            </w:r>
            <w:r w:rsidR="00447990">
              <w:rPr>
                <w:rFonts w:ascii="Calibri" w:hAnsi="Calibri" w:cs="Calibri"/>
                <w:sz w:val="20"/>
                <w:szCs w:val="20"/>
              </w:rPr>
              <w:t xml:space="preserve">) represented by phylogenetic RPCA diversity on PC1, PC2 and PC3. For each PC, the variation represented by it is shown in the labels. </w:t>
            </w:r>
            <w:r w:rsidR="00447990">
              <w:rPr>
                <w:rFonts w:ascii="Calibri" w:hAnsi="Calibri" w:cs="Calibri"/>
                <w:sz w:val="20"/>
                <w:szCs w:val="20"/>
              </w:rPr>
              <w:lastRenderedPageBreak/>
              <w:t>Alpha diversity statistical test results (</w:t>
            </w:r>
            <w:r w:rsidR="00447990" w:rsidRPr="003066BA">
              <w:rPr>
                <w:rFonts w:ascii="Calibri" w:hAnsi="Calibri" w:cs="Calibri"/>
                <w:b/>
                <w:bCs/>
                <w:sz w:val="20"/>
                <w:szCs w:val="20"/>
              </w:rPr>
              <w:t>C</w:t>
            </w:r>
            <w:r w:rsidR="00447990">
              <w:rPr>
                <w:rFonts w:ascii="Calibri" w:hAnsi="Calibri" w:cs="Calibri"/>
                <w:sz w:val="20"/>
                <w:szCs w:val="20"/>
              </w:rPr>
              <w:t>) and Spearman’s correlation with alpha diversity metrics (</w:t>
            </w:r>
            <w:r w:rsidR="00447990" w:rsidRPr="003066BA">
              <w:rPr>
                <w:rFonts w:ascii="Calibri" w:hAnsi="Calibri" w:cs="Calibri"/>
                <w:b/>
                <w:bCs/>
                <w:sz w:val="20"/>
                <w:szCs w:val="20"/>
              </w:rPr>
              <w:t>D</w:t>
            </w:r>
            <w:r w:rsidR="00447990">
              <w:rPr>
                <w:rFonts w:ascii="Calibri" w:hAnsi="Calibri" w:cs="Calibri"/>
                <w:sz w:val="20"/>
                <w:szCs w:val="20"/>
              </w:rPr>
              <w:t>). Coefficients obtained for significant (</w:t>
            </w:r>
            <w:r w:rsidR="00447990" w:rsidRPr="00BD49A5">
              <w:rPr>
                <w:rFonts w:ascii="Calibri" w:hAnsi="Calibri" w:cs="Calibri"/>
                <w:i/>
                <w:iCs/>
                <w:sz w:val="20"/>
                <w:szCs w:val="20"/>
              </w:rPr>
              <w:t>q</w:t>
            </w:r>
            <w:r w:rsidR="00447990">
              <w:rPr>
                <w:rFonts w:ascii="Calibri" w:hAnsi="Calibri" w:cs="Calibri"/>
                <w:sz w:val="20"/>
                <w:szCs w:val="20"/>
              </w:rPr>
              <w:t xml:space="preserve"> </w:t>
            </w:r>
            <w:r w:rsidR="00447990">
              <w:rPr>
                <w:rFonts w:ascii="Symbol" w:eastAsia="Symbol" w:hAnsi="Symbol" w:cs="Symbol"/>
                <w:sz w:val="20"/>
                <w:szCs w:val="20"/>
              </w:rPr>
              <w:t>£</w:t>
            </w:r>
            <w:r w:rsidR="00447990">
              <w:rPr>
                <w:rFonts w:ascii="Calibri" w:hAnsi="Calibri" w:cs="Calibri"/>
                <w:sz w:val="20"/>
                <w:szCs w:val="20"/>
              </w:rPr>
              <w:t xml:space="preserve"> 0.1) associations between genus abundance and the shown metrics obtained using MaAsLin 3 (</w:t>
            </w:r>
            <w:r w:rsidR="00447990" w:rsidRPr="00751350">
              <w:rPr>
                <w:rFonts w:ascii="Calibri" w:hAnsi="Calibri" w:cs="Calibri"/>
                <w:b/>
                <w:bCs/>
                <w:sz w:val="20"/>
                <w:szCs w:val="20"/>
              </w:rPr>
              <w:t>E</w:t>
            </w:r>
            <w:r w:rsidR="00447990">
              <w:rPr>
                <w:rFonts w:ascii="Calibri" w:hAnsi="Calibri" w:cs="Calibri"/>
                <w:sz w:val="20"/>
                <w:szCs w:val="20"/>
              </w:rPr>
              <w:t>). Marginalisation and environmental variables for the participants’ current</w:t>
            </w:r>
            <w:r w:rsidR="00826193">
              <w:rPr>
                <w:rFonts w:ascii="Calibri" w:hAnsi="Calibri" w:cs="Calibri"/>
                <w:sz w:val="20"/>
                <w:szCs w:val="20"/>
              </w:rPr>
              <w:t>, school, and in-utero</w:t>
            </w:r>
            <w:r w:rsidR="00447990">
              <w:rPr>
                <w:rFonts w:ascii="Calibri" w:hAnsi="Calibri" w:cs="Calibri"/>
                <w:sz w:val="20"/>
                <w:szCs w:val="20"/>
              </w:rPr>
              <w:t xml:space="preserve"> postal code</w:t>
            </w:r>
            <w:r w:rsidR="00826193">
              <w:rPr>
                <w:rFonts w:ascii="Calibri" w:hAnsi="Calibri" w:cs="Calibri"/>
                <w:sz w:val="20"/>
                <w:szCs w:val="20"/>
              </w:rPr>
              <w:t>s</w:t>
            </w:r>
            <w:r w:rsidR="00447990">
              <w:rPr>
                <w:rFonts w:ascii="Calibri" w:hAnsi="Calibri" w:cs="Calibri"/>
                <w:sz w:val="20"/>
                <w:szCs w:val="20"/>
              </w:rPr>
              <w:t xml:space="preserve"> are used and are sorted by PERMANOVA multivariate R</w:t>
            </w:r>
            <w:r w:rsidR="00447990" w:rsidRPr="00751350">
              <w:rPr>
                <w:rFonts w:ascii="Calibri" w:hAnsi="Calibri" w:cs="Calibri"/>
                <w:sz w:val="20"/>
                <w:szCs w:val="20"/>
                <w:vertAlign w:val="superscript"/>
              </w:rPr>
              <w:t>2</w:t>
            </w:r>
            <w:r w:rsidR="00447990">
              <w:rPr>
                <w:rFonts w:ascii="Calibri" w:hAnsi="Calibri" w:cs="Calibri"/>
                <w:sz w:val="20"/>
                <w:szCs w:val="20"/>
              </w:rPr>
              <w:t xml:space="preserve"> effect size in (</w:t>
            </w:r>
            <w:r w:rsidR="00447990" w:rsidRPr="00751350">
              <w:rPr>
                <w:rFonts w:ascii="Calibri" w:hAnsi="Calibri" w:cs="Calibri"/>
                <w:b/>
                <w:bCs/>
                <w:sz w:val="20"/>
                <w:szCs w:val="20"/>
              </w:rPr>
              <w:t>A</w:t>
            </w:r>
            <w:r w:rsidR="00447990">
              <w:rPr>
                <w:rFonts w:ascii="Calibri" w:hAnsi="Calibri" w:cs="Calibri"/>
                <w:sz w:val="20"/>
                <w:szCs w:val="20"/>
              </w:rPr>
              <w:t>)-(</w:t>
            </w:r>
            <w:r w:rsidR="00447990" w:rsidRPr="00751350">
              <w:rPr>
                <w:rFonts w:ascii="Calibri" w:hAnsi="Calibri" w:cs="Calibri"/>
                <w:b/>
                <w:bCs/>
                <w:sz w:val="20"/>
                <w:szCs w:val="20"/>
              </w:rPr>
              <w:t>D</w:t>
            </w:r>
            <w:r w:rsidR="00447990">
              <w:rPr>
                <w:rFonts w:ascii="Calibri" w:hAnsi="Calibri" w:cs="Calibri"/>
                <w:sz w:val="20"/>
                <w:szCs w:val="20"/>
              </w:rPr>
              <w:t>). In (</w:t>
            </w:r>
            <w:r w:rsidR="00447990" w:rsidRPr="000E6B23">
              <w:rPr>
                <w:rFonts w:ascii="Calibri" w:hAnsi="Calibri" w:cs="Calibri"/>
                <w:b/>
                <w:bCs/>
                <w:sz w:val="20"/>
                <w:szCs w:val="20"/>
              </w:rPr>
              <w:t>A</w:t>
            </w:r>
            <w:r w:rsidR="00447990">
              <w:rPr>
                <w:rFonts w:ascii="Calibri" w:hAnsi="Calibri" w:cs="Calibri"/>
                <w:sz w:val="20"/>
                <w:szCs w:val="20"/>
              </w:rPr>
              <w:t>) and (</w:t>
            </w:r>
            <w:r w:rsidR="00447990">
              <w:rPr>
                <w:rFonts w:ascii="Calibri" w:hAnsi="Calibri" w:cs="Calibri"/>
                <w:b/>
                <w:bCs/>
                <w:sz w:val="20"/>
                <w:szCs w:val="20"/>
              </w:rPr>
              <w:t>C</w:t>
            </w:r>
            <w:r w:rsidR="00447990">
              <w:rPr>
                <w:rFonts w:ascii="Calibri" w:hAnsi="Calibri" w:cs="Calibri"/>
                <w:sz w:val="20"/>
                <w:szCs w:val="20"/>
              </w:rPr>
              <w:t xml:space="preserve">), univariate and multivariate statistical test results are shown in blue or purple, respectively, and filled bars/boxes represent significant </w:t>
            </w:r>
            <w:r w:rsidR="00447990">
              <w:rPr>
                <w:rFonts w:ascii="Calibri" w:hAnsi="Calibri" w:cs="Calibri"/>
                <w:i/>
                <w:iCs/>
                <w:sz w:val="20"/>
                <w:szCs w:val="20"/>
              </w:rPr>
              <w:t>p</w:t>
            </w:r>
            <w:r w:rsidR="00447990">
              <w:rPr>
                <w:rFonts w:ascii="Calibri" w:hAnsi="Calibri" w:cs="Calibri"/>
                <w:sz w:val="20"/>
                <w:szCs w:val="20"/>
              </w:rPr>
              <w:t>-values. Multivariate tests included age, gender, ethnicity and diagnosed health condition as well as all variables shown here; see Methods section for full details on how statistical tests were carried out. In (</w:t>
            </w:r>
            <w:r w:rsidR="00447990" w:rsidRPr="003066BA">
              <w:rPr>
                <w:rFonts w:ascii="Calibri" w:hAnsi="Calibri" w:cs="Calibri"/>
                <w:b/>
                <w:bCs/>
                <w:sz w:val="20"/>
                <w:szCs w:val="20"/>
              </w:rPr>
              <w:t>B</w:t>
            </w:r>
            <w:r w:rsidR="00447990">
              <w:rPr>
                <w:rFonts w:ascii="Calibri" w:hAnsi="Calibri" w:cs="Calibri"/>
                <w:sz w:val="20"/>
                <w:szCs w:val="20"/>
              </w:rPr>
              <w:t>) higher absolute correlations (darker green) represent higher associations with each PC, while in (</w:t>
            </w:r>
            <w:r w:rsidR="00447990" w:rsidRPr="003066BA">
              <w:rPr>
                <w:rFonts w:ascii="Calibri" w:hAnsi="Calibri" w:cs="Calibri"/>
                <w:b/>
                <w:bCs/>
                <w:sz w:val="20"/>
                <w:szCs w:val="20"/>
              </w:rPr>
              <w:t>D</w:t>
            </w:r>
            <w:r w:rsidR="00447990">
              <w:rPr>
                <w:rFonts w:ascii="Calibri" w:hAnsi="Calibri" w:cs="Calibri"/>
                <w:sz w:val="20"/>
                <w:szCs w:val="20"/>
              </w:rPr>
              <w:t>) and (</w:t>
            </w:r>
            <w:r w:rsidR="00447990" w:rsidRPr="00BD49A5">
              <w:rPr>
                <w:rFonts w:ascii="Calibri" w:hAnsi="Calibri" w:cs="Calibri"/>
                <w:b/>
                <w:bCs/>
                <w:sz w:val="20"/>
                <w:szCs w:val="20"/>
              </w:rPr>
              <w:t>E</w:t>
            </w:r>
            <w:r w:rsidR="00447990">
              <w:rPr>
                <w:rFonts w:ascii="Calibri" w:hAnsi="Calibri" w:cs="Calibri"/>
                <w:sz w:val="20"/>
                <w:szCs w:val="20"/>
              </w:rPr>
              <w:t>), higher (darker red) or lower (darker blue) values represent positive or negative associations, respectively. In (</w:t>
            </w:r>
            <w:r w:rsidR="00447990" w:rsidRPr="00BD49A5">
              <w:rPr>
                <w:rFonts w:ascii="Calibri" w:hAnsi="Calibri" w:cs="Calibri"/>
                <w:b/>
                <w:bCs/>
                <w:sz w:val="20"/>
                <w:szCs w:val="20"/>
              </w:rPr>
              <w:t>E</w:t>
            </w:r>
            <w:r w:rsidR="00447990">
              <w:rPr>
                <w:rFonts w:ascii="Calibri" w:hAnsi="Calibri" w:cs="Calibri"/>
                <w:sz w:val="20"/>
                <w:szCs w:val="20"/>
              </w:rPr>
              <w:t>) significant (</w:t>
            </w:r>
            <w:r w:rsidR="00447990" w:rsidRPr="00BD49A5">
              <w:rPr>
                <w:rFonts w:ascii="Calibri" w:hAnsi="Calibri" w:cs="Calibri"/>
                <w:i/>
                <w:iCs/>
                <w:sz w:val="20"/>
                <w:szCs w:val="20"/>
              </w:rPr>
              <w:t>q</w:t>
            </w:r>
            <w:r w:rsidR="00447990">
              <w:rPr>
                <w:rFonts w:ascii="Calibri" w:hAnsi="Calibri" w:cs="Calibri"/>
                <w:sz w:val="20"/>
                <w:szCs w:val="20"/>
              </w:rPr>
              <w:t xml:space="preserve"> </w:t>
            </w:r>
            <w:r w:rsidR="00447990">
              <w:rPr>
                <w:rFonts w:ascii="Symbol" w:eastAsia="Symbol" w:hAnsi="Symbol" w:cs="Symbol"/>
                <w:sz w:val="20"/>
                <w:szCs w:val="20"/>
              </w:rPr>
              <w:t>£</w:t>
            </w:r>
            <w:r w:rsidR="00447990">
              <w:rPr>
                <w:rFonts w:ascii="Calibri" w:hAnsi="Calibri" w:cs="Calibri"/>
                <w:sz w:val="20"/>
                <w:szCs w:val="20"/>
              </w:rPr>
              <w:t xml:space="preserve"> 0.1) coefficients are shown with bold text.</w:t>
            </w:r>
          </w:p>
        </w:tc>
      </w:tr>
    </w:tbl>
    <w:p w14:paraId="4605C9A4" w14:textId="77777777" w:rsidR="002A2413" w:rsidRDefault="002A2413">
      <w:pPr>
        <w:rPr>
          <w:rFonts w:ascii="Calibri" w:hAnsi="Calibri" w:cs="Calibri"/>
          <w:sz w:val="20"/>
          <w:szCs w:val="20"/>
        </w:rPr>
      </w:pPr>
    </w:p>
    <w:tbl>
      <w:tblPr>
        <w:tblStyle w:val="TableGrid"/>
        <w:tblW w:w="0" w:type="auto"/>
        <w:tblLook w:val="04A0" w:firstRow="1" w:lastRow="0" w:firstColumn="1" w:lastColumn="0" w:noHBand="0" w:noVBand="1"/>
      </w:tblPr>
      <w:tblGrid>
        <w:gridCol w:w="9016"/>
      </w:tblGrid>
      <w:tr w:rsidR="00EC6CC1" w14:paraId="405A6299" w14:textId="77777777" w:rsidTr="00EC6CC1">
        <w:tc>
          <w:tcPr>
            <w:tcW w:w="9016" w:type="dxa"/>
            <w:tcBorders>
              <w:top w:val="nil"/>
              <w:left w:val="nil"/>
              <w:bottom w:val="nil"/>
              <w:right w:val="nil"/>
            </w:tcBorders>
          </w:tcPr>
          <w:p w14:paraId="4A562828" w14:textId="778F074D" w:rsidR="00EC6CC1" w:rsidRDefault="009F3575">
            <w:pPr>
              <w:rPr>
                <w:rFonts w:ascii="Calibri" w:hAnsi="Calibri" w:cs="Calibri"/>
                <w:sz w:val="20"/>
                <w:szCs w:val="20"/>
              </w:rPr>
            </w:pPr>
            <w:r>
              <w:rPr>
                <w:rFonts w:ascii="Calibri" w:hAnsi="Calibri" w:cs="Calibri"/>
                <w:noProof/>
                <w:sz w:val="20"/>
                <w:szCs w:val="20"/>
              </w:rPr>
              <w:drawing>
                <wp:inline distT="0" distB="0" distL="0" distR="0" wp14:anchorId="45180B96" wp14:editId="011EBF78">
                  <wp:extent cx="5405933" cy="4780052"/>
                  <wp:effectExtent l="0" t="0" r="4445" b="0"/>
                  <wp:docPr id="2102350357" name="Picture 4" descr="A screenshot of a data analys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50357" name="Picture 4" descr="A screenshot of a data analysi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9126" cy="4791718"/>
                          </a:xfrm>
                          <a:prstGeom prst="rect">
                            <a:avLst/>
                          </a:prstGeom>
                        </pic:spPr>
                      </pic:pic>
                    </a:graphicData>
                  </a:graphic>
                </wp:inline>
              </w:drawing>
            </w:r>
          </w:p>
          <w:p w14:paraId="408EC64E" w14:textId="539211BC" w:rsidR="00EC6CC1" w:rsidRPr="00EC6CC1" w:rsidRDefault="00EC6CC1">
            <w:pPr>
              <w:rPr>
                <w:rFonts w:ascii="Calibri" w:hAnsi="Calibri" w:cs="Calibri"/>
                <w:b/>
                <w:bCs/>
                <w:sz w:val="20"/>
                <w:szCs w:val="20"/>
              </w:rPr>
            </w:pPr>
            <w:r w:rsidRPr="00EC6CC1">
              <w:rPr>
                <w:rFonts w:ascii="Calibri" w:hAnsi="Calibri" w:cs="Calibri"/>
                <w:b/>
                <w:bCs/>
                <w:sz w:val="20"/>
                <w:szCs w:val="20"/>
              </w:rPr>
              <w:t>Figure S1</w:t>
            </w:r>
            <w:r w:rsidR="00DA401E">
              <w:rPr>
                <w:rFonts w:ascii="Calibri" w:hAnsi="Calibri" w:cs="Calibri"/>
                <w:b/>
                <w:bCs/>
                <w:sz w:val="20"/>
                <w:szCs w:val="20"/>
              </w:rPr>
              <w:t>4</w:t>
            </w:r>
            <w:r w:rsidRPr="00EC6CC1">
              <w:rPr>
                <w:rFonts w:ascii="Calibri" w:hAnsi="Calibri" w:cs="Calibri"/>
                <w:b/>
                <w:bCs/>
                <w:sz w:val="20"/>
                <w:szCs w:val="20"/>
              </w:rPr>
              <w:t xml:space="preserve">. </w:t>
            </w:r>
            <w:r w:rsidR="001B4441" w:rsidRPr="00D85674">
              <w:rPr>
                <w:rFonts w:ascii="Calibri" w:hAnsi="Calibri" w:cs="Calibri"/>
                <w:b/>
                <w:bCs/>
                <w:sz w:val="20"/>
                <w:szCs w:val="20"/>
              </w:rPr>
              <w:t xml:space="preserve">Association between </w:t>
            </w:r>
            <w:r w:rsidR="001B4441">
              <w:rPr>
                <w:rFonts w:ascii="Calibri" w:hAnsi="Calibri" w:cs="Calibri"/>
                <w:b/>
                <w:bCs/>
                <w:sz w:val="20"/>
                <w:szCs w:val="20"/>
              </w:rPr>
              <w:t xml:space="preserve">ON-Marg </w:t>
            </w:r>
            <w:r w:rsidR="001B4441" w:rsidRPr="00D85674">
              <w:rPr>
                <w:rFonts w:ascii="Calibri" w:hAnsi="Calibri" w:cs="Calibri"/>
                <w:b/>
                <w:bCs/>
                <w:sz w:val="20"/>
                <w:szCs w:val="20"/>
              </w:rPr>
              <w:t>marginalisation</w:t>
            </w:r>
            <w:r w:rsidR="001B4441">
              <w:rPr>
                <w:rFonts w:ascii="Calibri" w:hAnsi="Calibri" w:cs="Calibri"/>
                <w:b/>
                <w:bCs/>
                <w:sz w:val="20"/>
                <w:szCs w:val="20"/>
              </w:rPr>
              <w:t xml:space="preserve"> indices</w:t>
            </w:r>
            <w:r w:rsidR="001B4441" w:rsidRPr="00D85674">
              <w:rPr>
                <w:rFonts w:ascii="Calibri" w:hAnsi="Calibri" w:cs="Calibri"/>
                <w:b/>
                <w:bCs/>
                <w:sz w:val="20"/>
                <w:szCs w:val="20"/>
              </w:rPr>
              <w:t>, environmental characteristics and the oral microbiome in children and adolescents</w:t>
            </w:r>
            <w:r w:rsidR="001B4441">
              <w:rPr>
                <w:rFonts w:ascii="Calibri" w:hAnsi="Calibri" w:cs="Calibri"/>
                <w:b/>
                <w:bCs/>
                <w:sz w:val="20"/>
                <w:szCs w:val="20"/>
              </w:rPr>
              <w:t xml:space="preserve"> for their current postal codes (</w:t>
            </w:r>
            <w:r w:rsidR="001B4441">
              <w:rPr>
                <w:rFonts w:ascii="Calibri" w:hAnsi="Calibri" w:cs="Calibri"/>
                <w:b/>
                <w:bCs/>
                <w:i/>
                <w:iCs/>
                <w:sz w:val="20"/>
                <w:szCs w:val="20"/>
              </w:rPr>
              <w:t>n</w:t>
            </w:r>
            <w:r w:rsidR="001B4441">
              <w:rPr>
                <w:rFonts w:ascii="Calibri" w:hAnsi="Calibri" w:cs="Calibri"/>
                <w:b/>
                <w:bCs/>
                <w:sz w:val="20"/>
                <w:szCs w:val="20"/>
              </w:rPr>
              <w:t>=</w:t>
            </w:r>
            <w:r w:rsidR="00BF6FFB">
              <w:rPr>
                <w:rFonts w:ascii="Calibri" w:hAnsi="Calibri" w:cs="Calibri"/>
                <w:b/>
                <w:bCs/>
                <w:sz w:val="20"/>
                <w:szCs w:val="20"/>
              </w:rPr>
              <w:t>3,776</w:t>
            </w:r>
            <w:r w:rsidR="001B4441">
              <w:rPr>
                <w:rFonts w:ascii="Calibri" w:hAnsi="Calibri" w:cs="Calibri"/>
                <w:b/>
                <w:bCs/>
                <w:sz w:val="20"/>
                <w:szCs w:val="20"/>
              </w:rPr>
              <w:t>)</w:t>
            </w:r>
            <w:r w:rsidR="001B4441" w:rsidRPr="00D85674">
              <w:rPr>
                <w:rFonts w:ascii="Calibri" w:hAnsi="Calibri" w:cs="Calibri"/>
                <w:b/>
                <w:bCs/>
                <w:sz w:val="20"/>
                <w:szCs w:val="20"/>
              </w:rPr>
              <w:t>.</w:t>
            </w:r>
            <w:r w:rsidR="001B4441">
              <w:rPr>
                <w:rFonts w:ascii="Calibri" w:hAnsi="Calibri" w:cs="Calibri"/>
                <w:sz w:val="20"/>
                <w:szCs w:val="20"/>
              </w:rPr>
              <w:t xml:space="preserve"> Contribution to beta diversity variation (</w:t>
            </w:r>
            <w:r w:rsidR="001B4441" w:rsidRPr="003066BA">
              <w:rPr>
                <w:rFonts w:ascii="Calibri" w:hAnsi="Calibri" w:cs="Calibri"/>
                <w:b/>
                <w:bCs/>
                <w:sz w:val="20"/>
                <w:szCs w:val="20"/>
              </w:rPr>
              <w:t>A</w:t>
            </w:r>
            <w:r w:rsidR="001B4441">
              <w:rPr>
                <w:rFonts w:ascii="Calibri" w:hAnsi="Calibri" w:cs="Calibri"/>
                <w:sz w:val="20"/>
                <w:szCs w:val="20"/>
              </w:rPr>
              <w:t>) and Spearman’s correlation with beta diversity (</w:t>
            </w:r>
            <w:r w:rsidR="001B4441" w:rsidRPr="003066BA">
              <w:rPr>
                <w:rFonts w:ascii="Calibri" w:hAnsi="Calibri" w:cs="Calibri"/>
                <w:b/>
                <w:bCs/>
                <w:sz w:val="20"/>
                <w:szCs w:val="20"/>
              </w:rPr>
              <w:t>B</w:t>
            </w:r>
            <w:r w:rsidR="001B4441">
              <w:rPr>
                <w:rFonts w:ascii="Calibri" w:hAnsi="Calibri" w:cs="Calibri"/>
                <w:sz w:val="20"/>
                <w:szCs w:val="20"/>
              </w:rPr>
              <w:t>) represented by phylogenetic RPCA diversity on PC1, PC2 and PC3. For each PC, the variation represented by it is shown in the labels. Alpha diversity statistical test results (</w:t>
            </w:r>
            <w:r w:rsidR="001B4441" w:rsidRPr="003066BA">
              <w:rPr>
                <w:rFonts w:ascii="Calibri" w:hAnsi="Calibri" w:cs="Calibri"/>
                <w:b/>
                <w:bCs/>
                <w:sz w:val="20"/>
                <w:szCs w:val="20"/>
              </w:rPr>
              <w:t>C</w:t>
            </w:r>
            <w:r w:rsidR="001B4441">
              <w:rPr>
                <w:rFonts w:ascii="Calibri" w:hAnsi="Calibri" w:cs="Calibri"/>
                <w:sz w:val="20"/>
                <w:szCs w:val="20"/>
              </w:rPr>
              <w:t>) and Spearman’s correlation with alpha diversity metrics (</w:t>
            </w:r>
            <w:r w:rsidR="001B4441" w:rsidRPr="003066BA">
              <w:rPr>
                <w:rFonts w:ascii="Calibri" w:hAnsi="Calibri" w:cs="Calibri"/>
                <w:b/>
                <w:bCs/>
                <w:sz w:val="20"/>
                <w:szCs w:val="20"/>
              </w:rPr>
              <w:t>D</w:t>
            </w:r>
            <w:r w:rsidR="001B4441">
              <w:rPr>
                <w:rFonts w:ascii="Calibri" w:hAnsi="Calibri" w:cs="Calibri"/>
                <w:sz w:val="20"/>
                <w:szCs w:val="20"/>
              </w:rPr>
              <w:t>). Coefficients obtained for significant (</w:t>
            </w:r>
            <w:r w:rsidR="001B4441" w:rsidRPr="00BD49A5">
              <w:rPr>
                <w:rFonts w:ascii="Calibri" w:hAnsi="Calibri" w:cs="Calibri"/>
                <w:i/>
                <w:iCs/>
                <w:sz w:val="20"/>
                <w:szCs w:val="20"/>
              </w:rPr>
              <w:t>q</w:t>
            </w:r>
            <w:r w:rsidR="001B4441">
              <w:rPr>
                <w:rFonts w:ascii="Calibri" w:hAnsi="Calibri" w:cs="Calibri"/>
                <w:sz w:val="20"/>
                <w:szCs w:val="20"/>
              </w:rPr>
              <w:t xml:space="preserve"> </w:t>
            </w:r>
            <w:r w:rsidR="001B4441">
              <w:rPr>
                <w:rFonts w:ascii="Symbol" w:eastAsia="Symbol" w:hAnsi="Symbol" w:cs="Symbol"/>
                <w:sz w:val="20"/>
                <w:szCs w:val="20"/>
              </w:rPr>
              <w:t>£</w:t>
            </w:r>
            <w:r w:rsidR="001B4441">
              <w:rPr>
                <w:rFonts w:ascii="Calibri" w:hAnsi="Calibri" w:cs="Calibri"/>
                <w:sz w:val="20"/>
                <w:szCs w:val="20"/>
              </w:rPr>
              <w:t xml:space="preserve"> 0.1) associations between genus abundance and the shown metrics obtained using MaAsLin 3 (</w:t>
            </w:r>
            <w:r w:rsidR="001B4441" w:rsidRPr="00751350">
              <w:rPr>
                <w:rFonts w:ascii="Calibri" w:hAnsi="Calibri" w:cs="Calibri"/>
                <w:b/>
                <w:bCs/>
                <w:sz w:val="20"/>
                <w:szCs w:val="20"/>
              </w:rPr>
              <w:t>E</w:t>
            </w:r>
            <w:r w:rsidR="001B4441">
              <w:rPr>
                <w:rFonts w:ascii="Calibri" w:hAnsi="Calibri" w:cs="Calibri"/>
                <w:sz w:val="20"/>
                <w:szCs w:val="20"/>
              </w:rPr>
              <w:t xml:space="preserve">). </w:t>
            </w:r>
            <w:r w:rsidR="0021542F">
              <w:rPr>
                <w:rFonts w:ascii="Calibri" w:hAnsi="Calibri" w:cs="Calibri"/>
                <w:sz w:val="20"/>
                <w:szCs w:val="20"/>
              </w:rPr>
              <w:t>ON-Marg m</w:t>
            </w:r>
            <w:r w:rsidR="001B4441">
              <w:rPr>
                <w:rFonts w:ascii="Calibri" w:hAnsi="Calibri" w:cs="Calibri"/>
                <w:sz w:val="20"/>
                <w:szCs w:val="20"/>
              </w:rPr>
              <w:t>arginalisation</w:t>
            </w:r>
            <w:r w:rsidR="0021542F">
              <w:rPr>
                <w:rFonts w:ascii="Calibri" w:hAnsi="Calibri" w:cs="Calibri"/>
                <w:sz w:val="20"/>
                <w:szCs w:val="20"/>
              </w:rPr>
              <w:t xml:space="preserve"> indices</w:t>
            </w:r>
            <w:r w:rsidR="001B4441">
              <w:rPr>
                <w:rFonts w:ascii="Calibri" w:hAnsi="Calibri" w:cs="Calibri"/>
                <w:sz w:val="20"/>
                <w:szCs w:val="20"/>
              </w:rPr>
              <w:t xml:space="preserve"> and environmental variables for the participants’ postal codes are used and are sorted by PERMANOVA multivariate R</w:t>
            </w:r>
            <w:r w:rsidR="001B4441" w:rsidRPr="00751350">
              <w:rPr>
                <w:rFonts w:ascii="Calibri" w:hAnsi="Calibri" w:cs="Calibri"/>
                <w:sz w:val="20"/>
                <w:szCs w:val="20"/>
                <w:vertAlign w:val="superscript"/>
              </w:rPr>
              <w:t>2</w:t>
            </w:r>
            <w:r w:rsidR="001B4441">
              <w:rPr>
                <w:rFonts w:ascii="Calibri" w:hAnsi="Calibri" w:cs="Calibri"/>
                <w:sz w:val="20"/>
                <w:szCs w:val="20"/>
              </w:rPr>
              <w:t xml:space="preserve"> effect size in (</w:t>
            </w:r>
            <w:r w:rsidR="001B4441" w:rsidRPr="00751350">
              <w:rPr>
                <w:rFonts w:ascii="Calibri" w:hAnsi="Calibri" w:cs="Calibri"/>
                <w:b/>
                <w:bCs/>
                <w:sz w:val="20"/>
                <w:szCs w:val="20"/>
              </w:rPr>
              <w:t>A</w:t>
            </w:r>
            <w:r w:rsidR="001B4441">
              <w:rPr>
                <w:rFonts w:ascii="Calibri" w:hAnsi="Calibri" w:cs="Calibri"/>
                <w:sz w:val="20"/>
                <w:szCs w:val="20"/>
              </w:rPr>
              <w:t>)-(</w:t>
            </w:r>
            <w:r w:rsidR="001B4441" w:rsidRPr="00751350">
              <w:rPr>
                <w:rFonts w:ascii="Calibri" w:hAnsi="Calibri" w:cs="Calibri"/>
                <w:b/>
                <w:bCs/>
                <w:sz w:val="20"/>
                <w:szCs w:val="20"/>
              </w:rPr>
              <w:t>D</w:t>
            </w:r>
            <w:r w:rsidR="001B4441">
              <w:rPr>
                <w:rFonts w:ascii="Calibri" w:hAnsi="Calibri" w:cs="Calibri"/>
                <w:sz w:val="20"/>
                <w:szCs w:val="20"/>
              </w:rPr>
              <w:t>). In (</w:t>
            </w:r>
            <w:r w:rsidR="001B4441" w:rsidRPr="000E6B23">
              <w:rPr>
                <w:rFonts w:ascii="Calibri" w:hAnsi="Calibri" w:cs="Calibri"/>
                <w:b/>
                <w:bCs/>
                <w:sz w:val="20"/>
                <w:szCs w:val="20"/>
              </w:rPr>
              <w:t>A</w:t>
            </w:r>
            <w:r w:rsidR="001B4441">
              <w:rPr>
                <w:rFonts w:ascii="Calibri" w:hAnsi="Calibri" w:cs="Calibri"/>
                <w:sz w:val="20"/>
                <w:szCs w:val="20"/>
              </w:rPr>
              <w:t>) and (</w:t>
            </w:r>
            <w:r w:rsidR="001B4441">
              <w:rPr>
                <w:rFonts w:ascii="Calibri" w:hAnsi="Calibri" w:cs="Calibri"/>
                <w:b/>
                <w:bCs/>
                <w:sz w:val="20"/>
                <w:szCs w:val="20"/>
              </w:rPr>
              <w:t>C</w:t>
            </w:r>
            <w:r w:rsidR="001B4441">
              <w:rPr>
                <w:rFonts w:ascii="Calibri" w:hAnsi="Calibri" w:cs="Calibri"/>
                <w:sz w:val="20"/>
                <w:szCs w:val="20"/>
              </w:rPr>
              <w:t xml:space="preserve">), univariate and multivariate statistical test results are shown in blue or purple, respectively, and filled bars/boxes represent significant </w:t>
            </w:r>
            <w:r w:rsidR="001B4441">
              <w:rPr>
                <w:rFonts w:ascii="Calibri" w:hAnsi="Calibri" w:cs="Calibri"/>
                <w:i/>
                <w:iCs/>
                <w:sz w:val="20"/>
                <w:szCs w:val="20"/>
              </w:rPr>
              <w:t>p</w:t>
            </w:r>
            <w:r w:rsidR="001B4441">
              <w:rPr>
                <w:rFonts w:ascii="Calibri" w:hAnsi="Calibri" w:cs="Calibri"/>
                <w:sz w:val="20"/>
                <w:szCs w:val="20"/>
              </w:rPr>
              <w:t>-values. Multivariate tests included age, gender, ethnicity and diagnosed health condition as well as all variables shown here; see Methods section for full details on how statistical tests were carried out. In (</w:t>
            </w:r>
            <w:r w:rsidR="001B4441" w:rsidRPr="003066BA">
              <w:rPr>
                <w:rFonts w:ascii="Calibri" w:hAnsi="Calibri" w:cs="Calibri"/>
                <w:b/>
                <w:bCs/>
                <w:sz w:val="20"/>
                <w:szCs w:val="20"/>
              </w:rPr>
              <w:t>B</w:t>
            </w:r>
            <w:r w:rsidR="001B4441">
              <w:rPr>
                <w:rFonts w:ascii="Calibri" w:hAnsi="Calibri" w:cs="Calibri"/>
                <w:sz w:val="20"/>
                <w:szCs w:val="20"/>
              </w:rPr>
              <w:t xml:space="preserve">) higher absolute correlations (darker green) represent higher associations with </w:t>
            </w:r>
            <w:r w:rsidR="001B4441">
              <w:rPr>
                <w:rFonts w:ascii="Calibri" w:hAnsi="Calibri" w:cs="Calibri"/>
                <w:sz w:val="20"/>
                <w:szCs w:val="20"/>
              </w:rPr>
              <w:lastRenderedPageBreak/>
              <w:t>each PC, while in (</w:t>
            </w:r>
            <w:r w:rsidR="001B4441" w:rsidRPr="003066BA">
              <w:rPr>
                <w:rFonts w:ascii="Calibri" w:hAnsi="Calibri" w:cs="Calibri"/>
                <w:b/>
                <w:bCs/>
                <w:sz w:val="20"/>
                <w:szCs w:val="20"/>
              </w:rPr>
              <w:t>D</w:t>
            </w:r>
            <w:r w:rsidR="001B4441">
              <w:rPr>
                <w:rFonts w:ascii="Calibri" w:hAnsi="Calibri" w:cs="Calibri"/>
                <w:sz w:val="20"/>
                <w:szCs w:val="20"/>
              </w:rPr>
              <w:t>) and (</w:t>
            </w:r>
            <w:r w:rsidR="001B4441" w:rsidRPr="00BD49A5">
              <w:rPr>
                <w:rFonts w:ascii="Calibri" w:hAnsi="Calibri" w:cs="Calibri"/>
                <w:b/>
                <w:bCs/>
                <w:sz w:val="20"/>
                <w:szCs w:val="20"/>
              </w:rPr>
              <w:t>E</w:t>
            </w:r>
            <w:r w:rsidR="001B4441">
              <w:rPr>
                <w:rFonts w:ascii="Calibri" w:hAnsi="Calibri" w:cs="Calibri"/>
                <w:sz w:val="20"/>
                <w:szCs w:val="20"/>
              </w:rPr>
              <w:t>), higher (darker red) or lower (darker blue) values represent positive or negative associations, respectively. In (</w:t>
            </w:r>
            <w:r w:rsidR="001B4441" w:rsidRPr="00BD49A5">
              <w:rPr>
                <w:rFonts w:ascii="Calibri" w:hAnsi="Calibri" w:cs="Calibri"/>
                <w:b/>
                <w:bCs/>
                <w:sz w:val="20"/>
                <w:szCs w:val="20"/>
              </w:rPr>
              <w:t>E</w:t>
            </w:r>
            <w:r w:rsidR="001B4441">
              <w:rPr>
                <w:rFonts w:ascii="Calibri" w:hAnsi="Calibri" w:cs="Calibri"/>
                <w:sz w:val="20"/>
                <w:szCs w:val="20"/>
              </w:rPr>
              <w:t>) significant (</w:t>
            </w:r>
            <w:r w:rsidR="001B4441" w:rsidRPr="00BD49A5">
              <w:rPr>
                <w:rFonts w:ascii="Calibri" w:hAnsi="Calibri" w:cs="Calibri"/>
                <w:i/>
                <w:iCs/>
                <w:sz w:val="20"/>
                <w:szCs w:val="20"/>
              </w:rPr>
              <w:t>q</w:t>
            </w:r>
            <w:r w:rsidR="001B4441">
              <w:rPr>
                <w:rFonts w:ascii="Calibri" w:hAnsi="Calibri" w:cs="Calibri"/>
                <w:sz w:val="20"/>
                <w:szCs w:val="20"/>
              </w:rPr>
              <w:t xml:space="preserve"> </w:t>
            </w:r>
            <w:r w:rsidR="001B4441">
              <w:rPr>
                <w:rFonts w:ascii="Symbol" w:eastAsia="Symbol" w:hAnsi="Symbol" w:cs="Symbol"/>
                <w:sz w:val="20"/>
                <w:szCs w:val="20"/>
              </w:rPr>
              <w:t>£</w:t>
            </w:r>
            <w:r w:rsidR="001B4441">
              <w:rPr>
                <w:rFonts w:ascii="Calibri" w:hAnsi="Calibri" w:cs="Calibri"/>
                <w:sz w:val="20"/>
                <w:szCs w:val="20"/>
              </w:rPr>
              <w:t xml:space="preserve"> 0.1) coefficients are shown with bold text.</w:t>
            </w:r>
          </w:p>
        </w:tc>
      </w:tr>
    </w:tbl>
    <w:p w14:paraId="4A6A0E90" w14:textId="77777777" w:rsidR="00EC6CC1" w:rsidRDefault="00EC6CC1">
      <w:pPr>
        <w:rPr>
          <w:rFonts w:ascii="Calibri" w:hAnsi="Calibri" w:cs="Calibri"/>
          <w:sz w:val="20"/>
          <w:szCs w:val="20"/>
        </w:rPr>
      </w:pPr>
    </w:p>
    <w:tbl>
      <w:tblPr>
        <w:tblStyle w:val="TableGrid"/>
        <w:tblW w:w="0" w:type="auto"/>
        <w:tblLook w:val="04A0" w:firstRow="1" w:lastRow="0" w:firstColumn="1" w:lastColumn="0" w:noHBand="0" w:noVBand="1"/>
      </w:tblPr>
      <w:tblGrid>
        <w:gridCol w:w="9016"/>
      </w:tblGrid>
      <w:tr w:rsidR="00FE1186" w14:paraId="5C73584B" w14:textId="77777777" w:rsidTr="00641574">
        <w:tc>
          <w:tcPr>
            <w:tcW w:w="9016" w:type="dxa"/>
            <w:tcBorders>
              <w:top w:val="nil"/>
              <w:left w:val="nil"/>
              <w:bottom w:val="nil"/>
              <w:right w:val="nil"/>
            </w:tcBorders>
          </w:tcPr>
          <w:p w14:paraId="7B8563A7" w14:textId="5E9D9574" w:rsidR="00FE1186" w:rsidRDefault="00904A5C">
            <w:pPr>
              <w:rPr>
                <w:rFonts w:ascii="Calibri" w:hAnsi="Calibri" w:cs="Calibri"/>
                <w:sz w:val="20"/>
                <w:szCs w:val="20"/>
              </w:rPr>
            </w:pPr>
            <w:r>
              <w:rPr>
                <w:rFonts w:ascii="Calibri" w:hAnsi="Calibri" w:cs="Calibri"/>
                <w:noProof/>
                <w:sz w:val="20"/>
                <w:szCs w:val="20"/>
              </w:rPr>
              <w:drawing>
                <wp:inline distT="0" distB="0" distL="0" distR="0" wp14:anchorId="6CD8F99A" wp14:editId="66AD0975">
                  <wp:extent cx="5585460" cy="2764264"/>
                  <wp:effectExtent l="0" t="0" r="2540" b="4445"/>
                  <wp:docPr id="1774307847" name="Picture 1" descr="A table of numbers and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07847" name="Picture 1" descr="A table of numbers and a number of individual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8637" cy="2770785"/>
                          </a:xfrm>
                          <a:prstGeom prst="rect">
                            <a:avLst/>
                          </a:prstGeom>
                        </pic:spPr>
                      </pic:pic>
                    </a:graphicData>
                  </a:graphic>
                </wp:inline>
              </w:drawing>
            </w:r>
          </w:p>
          <w:p w14:paraId="5D0D25E3" w14:textId="21DF52D2" w:rsidR="00FE1186" w:rsidRPr="00E448BE" w:rsidRDefault="00FE1186">
            <w:pPr>
              <w:rPr>
                <w:rFonts w:ascii="Calibri" w:hAnsi="Calibri" w:cs="Calibri"/>
                <w:sz w:val="20"/>
                <w:szCs w:val="20"/>
              </w:rPr>
            </w:pPr>
            <w:r>
              <w:rPr>
                <w:rFonts w:ascii="Calibri" w:hAnsi="Calibri" w:cs="Calibri"/>
                <w:b/>
                <w:bCs/>
                <w:sz w:val="20"/>
                <w:szCs w:val="20"/>
              </w:rPr>
              <w:t>Figure S1</w:t>
            </w:r>
            <w:r w:rsidR="00546BBE">
              <w:rPr>
                <w:rFonts w:ascii="Calibri" w:hAnsi="Calibri" w:cs="Calibri"/>
                <w:b/>
                <w:bCs/>
                <w:sz w:val="20"/>
                <w:szCs w:val="20"/>
              </w:rPr>
              <w:t>5</w:t>
            </w:r>
            <w:r>
              <w:rPr>
                <w:rFonts w:ascii="Calibri" w:hAnsi="Calibri" w:cs="Calibri"/>
                <w:b/>
                <w:bCs/>
                <w:sz w:val="20"/>
                <w:szCs w:val="20"/>
              </w:rPr>
              <w:t>.</w:t>
            </w:r>
            <w:r>
              <w:rPr>
                <w:rFonts w:ascii="Calibri" w:hAnsi="Calibri" w:cs="Calibri"/>
                <w:sz w:val="20"/>
                <w:szCs w:val="20"/>
              </w:rPr>
              <w:t xml:space="preserve"> </w:t>
            </w:r>
            <w:r w:rsidRPr="00E448BE">
              <w:rPr>
                <w:rFonts w:ascii="Calibri" w:hAnsi="Calibri" w:cs="Calibri"/>
                <w:b/>
                <w:bCs/>
                <w:sz w:val="20"/>
                <w:szCs w:val="20"/>
              </w:rPr>
              <w:t>Frequency of consumption</w:t>
            </w:r>
            <w:r w:rsidR="00E448BE" w:rsidRPr="00E448BE">
              <w:rPr>
                <w:rFonts w:ascii="Calibri" w:hAnsi="Calibri" w:cs="Calibri"/>
                <w:b/>
                <w:bCs/>
                <w:sz w:val="20"/>
                <w:szCs w:val="20"/>
              </w:rPr>
              <w:t xml:space="preserve"> of different food items</w:t>
            </w:r>
            <w:r w:rsidRPr="00E448BE">
              <w:rPr>
                <w:rFonts w:ascii="Calibri" w:hAnsi="Calibri" w:cs="Calibri"/>
                <w:b/>
                <w:bCs/>
                <w:sz w:val="20"/>
                <w:szCs w:val="20"/>
              </w:rPr>
              <w:t xml:space="preserve"> and </w:t>
            </w:r>
            <w:r w:rsidR="00E448BE" w:rsidRPr="00E448BE">
              <w:rPr>
                <w:rFonts w:ascii="Calibri" w:hAnsi="Calibri" w:cs="Calibri"/>
                <w:b/>
                <w:bCs/>
                <w:sz w:val="20"/>
                <w:szCs w:val="20"/>
              </w:rPr>
              <w:t xml:space="preserve">the </w:t>
            </w:r>
            <w:r w:rsidRPr="00E448BE">
              <w:rPr>
                <w:rFonts w:ascii="Calibri" w:hAnsi="Calibri" w:cs="Calibri"/>
                <w:b/>
                <w:bCs/>
                <w:sz w:val="20"/>
                <w:szCs w:val="20"/>
              </w:rPr>
              <w:t>most common/median answer given by participants of different ethnicities.</w:t>
            </w:r>
            <w:r w:rsidR="00E448BE">
              <w:rPr>
                <w:rFonts w:ascii="Calibri" w:hAnsi="Calibri" w:cs="Calibri"/>
                <w:sz w:val="20"/>
                <w:szCs w:val="20"/>
              </w:rPr>
              <w:t xml:space="preserve"> (Left) Summary of the frequency with which all food items are consumed by participants, with the numbers in cells indicating the number of participants that gave this answer. (Right) Most common or median answer given by participants of different ethnicities. </w:t>
            </w:r>
            <w:r w:rsidR="00711BA8">
              <w:rPr>
                <w:rFonts w:ascii="Calibri" w:hAnsi="Calibri" w:cs="Calibri"/>
                <w:sz w:val="20"/>
                <w:szCs w:val="20"/>
              </w:rPr>
              <w:t>Significant (</w:t>
            </w:r>
            <w:r w:rsidR="00711BA8" w:rsidRPr="00711BA8">
              <w:rPr>
                <w:rFonts w:ascii="Calibri" w:hAnsi="Calibri" w:cs="Calibri"/>
                <w:i/>
                <w:iCs/>
                <w:sz w:val="20"/>
                <w:szCs w:val="20"/>
              </w:rPr>
              <w:t>p</w:t>
            </w:r>
            <w:r w:rsidR="00711BA8">
              <w:rPr>
                <w:rFonts w:ascii="Calibri" w:hAnsi="Calibri" w:cs="Calibri"/>
                <w:sz w:val="20"/>
                <w:szCs w:val="20"/>
              </w:rPr>
              <w:t xml:space="preserve"> </w:t>
            </w:r>
            <w:r w:rsidR="00711BA8" w:rsidRPr="00711BA8">
              <w:rPr>
                <w:rFonts w:ascii="Calibri" w:hAnsi="Calibri" w:cs="Calibri"/>
                <w:sz w:val="20"/>
                <w:szCs w:val="20"/>
              </w:rPr>
              <w:t>≤</w:t>
            </w:r>
            <w:r w:rsidR="00711BA8">
              <w:rPr>
                <w:rFonts w:ascii="Calibri" w:hAnsi="Calibri" w:cs="Calibri"/>
                <w:sz w:val="20"/>
                <w:szCs w:val="20"/>
              </w:rPr>
              <w:t xml:space="preserve"> 0.05) </w:t>
            </w:r>
            <w:r w:rsidR="00711BA8" w:rsidRPr="00711BA8">
              <w:rPr>
                <w:rFonts w:ascii="Calibri" w:hAnsi="Calibri" w:cs="Calibri"/>
                <w:sz w:val="20"/>
                <w:szCs w:val="20"/>
              </w:rPr>
              <w:t>ANOVA</w:t>
            </w:r>
            <w:r w:rsidR="00711BA8">
              <w:rPr>
                <w:rFonts w:ascii="Calibri" w:hAnsi="Calibri" w:cs="Calibri"/>
                <w:sz w:val="20"/>
                <w:szCs w:val="20"/>
              </w:rPr>
              <w:t xml:space="preserve"> test results are denoted with a star and ANOVA test statistics are shown on the far right. All ANOVA tests included age, gender, ethnicity, and diagnosed health condition as well as family ID. </w:t>
            </w:r>
          </w:p>
        </w:tc>
      </w:tr>
    </w:tbl>
    <w:p w14:paraId="15E45508" w14:textId="77777777" w:rsidR="001F23D3" w:rsidRDefault="001F23D3">
      <w:pPr>
        <w:rPr>
          <w:rFonts w:ascii="Calibri" w:hAnsi="Calibri" w:cs="Calibri"/>
          <w:sz w:val="20"/>
          <w:szCs w:val="20"/>
        </w:rPr>
      </w:pPr>
    </w:p>
    <w:tbl>
      <w:tblPr>
        <w:tblStyle w:val="TableGrid"/>
        <w:tblW w:w="0" w:type="auto"/>
        <w:tblLook w:val="04A0" w:firstRow="1" w:lastRow="0" w:firstColumn="1" w:lastColumn="0" w:noHBand="0" w:noVBand="1"/>
      </w:tblPr>
      <w:tblGrid>
        <w:gridCol w:w="9016"/>
      </w:tblGrid>
      <w:tr w:rsidR="00851A32" w14:paraId="51B073C5" w14:textId="77777777" w:rsidTr="00851A32">
        <w:tc>
          <w:tcPr>
            <w:tcW w:w="9016" w:type="dxa"/>
            <w:tcBorders>
              <w:top w:val="nil"/>
              <w:left w:val="nil"/>
              <w:bottom w:val="nil"/>
              <w:right w:val="nil"/>
            </w:tcBorders>
          </w:tcPr>
          <w:p w14:paraId="7C238B13" w14:textId="5905A76A" w:rsidR="00851A32" w:rsidRDefault="005E1CD6">
            <w:pPr>
              <w:rPr>
                <w:rFonts w:ascii="Calibri" w:hAnsi="Calibri" w:cs="Calibri"/>
                <w:sz w:val="20"/>
                <w:szCs w:val="20"/>
              </w:rPr>
            </w:pPr>
            <w:r>
              <w:rPr>
                <w:rFonts w:ascii="Calibri" w:hAnsi="Calibri" w:cs="Calibri"/>
                <w:noProof/>
                <w:sz w:val="20"/>
                <w:szCs w:val="20"/>
              </w:rPr>
              <w:lastRenderedPageBreak/>
              <w:drawing>
                <wp:inline distT="0" distB="0" distL="0" distR="0" wp14:anchorId="48F47DD3" wp14:editId="304721AF">
                  <wp:extent cx="5497989" cy="5780015"/>
                  <wp:effectExtent l="0" t="0" r="1270" b="0"/>
                  <wp:docPr id="644050364" name="Picture 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50364" name="Picture 6" descr="A screenshot of a computer scree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0229" cy="5792883"/>
                          </a:xfrm>
                          <a:prstGeom prst="rect">
                            <a:avLst/>
                          </a:prstGeom>
                        </pic:spPr>
                      </pic:pic>
                    </a:graphicData>
                  </a:graphic>
                </wp:inline>
              </w:drawing>
            </w:r>
          </w:p>
          <w:p w14:paraId="300F2FFB" w14:textId="0184ED0B" w:rsidR="00851A32" w:rsidRPr="00C247A3" w:rsidRDefault="00851A32">
            <w:pPr>
              <w:rPr>
                <w:rFonts w:ascii="Calibri" w:hAnsi="Calibri" w:cs="Calibri"/>
                <w:sz w:val="20"/>
                <w:szCs w:val="20"/>
              </w:rPr>
            </w:pPr>
            <w:r w:rsidRPr="00851A32">
              <w:rPr>
                <w:rFonts w:ascii="Calibri" w:hAnsi="Calibri" w:cs="Calibri"/>
                <w:b/>
                <w:bCs/>
                <w:sz w:val="20"/>
                <w:szCs w:val="20"/>
              </w:rPr>
              <w:t>Figure S1</w:t>
            </w:r>
            <w:r w:rsidR="00F1144B">
              <w:rPr>
                <w:rFonts w:ascii="Calibri" w:hAnsi="Calibri" w:cs="Calibri"/>
                <w:b/>
                <w:bCs/>
                <w:sz w:val="20"/>
                <w:szCs w:val="20"/>
              </w:rPr>
              <w:t>6</w:t>
            </w:r>
            <w:r w:rsidRPr="00851A32">
              <w:rPr>
                <w:rFonts w:ascii="Calibri" w:hAnsi="Calibri" w:cs="Calibri"/>
                <w:b/>
                <w:bCs/>
                <w:sz w:val="20"/>
                <w:szCs w:val="20"/>
              </w:rPr>
              <w:t>.</w:t>
            </w:r>
            <w:r>
              <w:rPr>
                <w:rFonts w:ascii="Calibri" w:hAnsi="Calibri" w:cs="Calibri"/>
                <w:sz w:val="20"/>
                <w:szCs w:val="20"/>
              </w:rPr>
              <w:t xml:space="preserve"> </w:t>
            </w:r>
            <w:r w:rsidR="003F38A0">
              <w:rPr>
                <w:rFonts w:ascii="Calibri" w:hAnsi="Calibri" w:cs="Calibri"/>
                <w:b/>
                <w:bCs/>
                <w:sz w:val="20"/>
                <w:szCs w:val="20"/>
              </w:rPr>
              <w:t xml:space="preserve">Association between antibiotic use and the salivary microbiome in children and adolescents. </w:t>
            </w:r>
            <w:r w:rsidR="003F38A0">
              <w:rPr>
                <w:rFonts w:ascii="Calibri" w:hAnsi="Calibri" w:cs="Calibri"/>
                <w:sz w:val="20"/>
                <w:szCs w:val="20"/>
              </w:rPr>
              <w:t xml:space="preserve">(Top left) </w:t>
            </w:r>
            <w:r w:rsidR="003F38A0" w:rsidRPr="24D8EBE2">
              <w:rPr>
                <w:rFonts w:ascii="Calibri" w:hAnsi="Calibri" w:cs="Calibri"/>
                <w:sz w:val="20"/>
                <w:szCs w:val="20"/>
              </w:rPr>
              <w:t xml:space="preserve">Phylogenetic-Robust Principal Component Analysis (RPCA) representing beta diversity between all participants, with each participant coloured by </w:t>
            </w:r>
            <w:r w:rsidR="003F38A0">
              <w:rPr>
                <w:rFonts w:ascii="Calibri" w:hAnsi="Calibri" w:cs="Calibri"/>
                <w:sz w:val="20"/>
                <w:szCs w:val="20"/>
              </w:rPr>
              <w:t xml:space="preserve">whether they have taken antibiotics within the last month or not, with the plots on the bottom and right showing each of the Principal Components (PCs) with antibiotic use. (Top right) six different alpha diversity metrics (y-axis) plotted against antibiotic use (x-axis). Box plots represent the interquartile range (IQR) and the line represents the median while whiskers represent the 1.5 x the IQR added to the third quartile or subtracted from the first quartile. Shaded areas indicate violin plots and each point represents a participant. Statistics values shown on the top left and top right are for uni- and multivariate PERMANOVA and ANOVA tests, respectively. (Bottom left) Relative abundance (%), prevalence and differential abundance for genera that were either within the 20 most abundant genera overall (by mean abundance) or that were significantly differentially abundant with </w:t>
            </w:r>
            <w:r w:rsidR="00C247A3">
              <w:rPr>
                <w:rFonts w:ascii="Calibri" w:hAnsi="Calibri" w:cs="Calibri"/>
                <w:sz w:val="20"/>
                <w:szCs w:val="20"/>
              </w:rPr>
              <w:t>antibiotic use</w:t>
            </w:r>
            <w:r w:rsidR="003F38A0">
              <w:rPr>
                <w:rFonts w:ascii="Calibri" w:hAnsi="Calibri" w:cs="Calibri"/>
                <w:sz w:val="20"/>
                <w:szCs w:val="20"/>
              </w:rPr>
              <w:t xml:space="preserve"> (MaAsLin3 </w:t>
            </w:r>
            <w:r w:rsidR="003F38A0">
              <w:rPr>
                <w:rFonts w:ascii="Calibri" w:hAnsi="Calibri" w:cs="Calibri"/>
                <w:i/>
                <w:iCs/>
                <w:sz w:val="20"/>
                <w:szCs w:val="20"/>
              </w:rPr>
              <w:t>q</w:t>
            </w:r>
            <w:r w:rsidR="003F38A0">
              <w:rPr>
                <w:rFonts w:ascii="Calibri" w:hAnsi="Calibri" w:cs="Calibri"/>
                <w:sz w:val="20"/>
                <w:szCs w:val="20"/>
              </w:rPr>
              <w:t xml:space="preserve"> </w:t>
            </w:r>
            <w:r w:rsidR="003F38A0">
              <w:rPr>
                <w:rFonts w:ascii="Symbol" w:eastAsia="Symbol" w:hAnsi="Symbol" w:cs="Symbol"/>
                <w:sz w:val="20"/>
                <w:szCs w:val="20"/>
              </w:rPr>
              <w:t>£</w:t>
            </w:r>
            <w:r w:rsidR="003F38A0">
              <w:rPr>
                <w:rFonts w:ascii="Calibri" w:hAnsi="Calibri" w:cs="Calibri"/>
                <w:sz w:val="20"/>
                <w:szCs w:val="20"/>
              </w:rPr>
              <w:t xml:space="preserve"> 0.1). The left plot shows relative abundance with the cells being coloured by the proportion of the maximum abundance within each genus, with values being the mean within each </w:t>
            </w:r>
            <w:r w:rsidR="00C247A3">
              <w:rPr>
                <w:rFonts w:ascii="Calibri" w:hAnsi="Calibri" w:cs="Calibri"/>
                <w:sz w:val="20"/>
                <w:szCs w:val="20"/>
              </w:rPr>
              <w:t>antibiotic use</w:t>
            </w:r>
            <w:r w:rsidR="003F38A0">
              <w:rPr>
                <w:rFonts w:ascii="Calibri" w:hAnsi="Calibri" w:cs="Calibri"/>
                <w:sz w:val="20"/>
                <w:szCs w:val="20"/>
              </w:rPr>
              <w:t xml:space="preserve"> group (yellow being the most abundant and dark blue being the least abundant). The middle plot shows prevalence within each </w:t>
            </w:r>
            <w:r w:rsidR="00C247A3">
              <w:rPr>
                <w:rFonts w:ascii="Calibri" w:hAnsi="Calibri" w:cs="Calibri"/>
                <w:sz w:val="20"/>
                <w:szCs w:val="20"/>
              </w:rPr>
              <w:t>antibiotic use</w:t>
            </w:r>
            <w:r w:rsidR="003F38A0">
              <w:rPr>
                <w:rFonts w:ascii="Calibri" w:hAnsi="Calibri" w:cs="Calibri"/>
                <w:sz w:val="20"/>
                <w:szCs w:val="20"/>
              </w:rPr>
              <w:t xml:space="preserve"> group, with dark blue indicating high prevalence and white indicating low prevalence. The right plot shows whether each genus was significant associated with abundance or prevalence. Cells are coloured and have a star for genera that were significantly differentially abundant (</w:t>
            </w:r>
            <w:r w:rsidR="003F38A0">
              <w:rPr>
                <w:rFonts w:ascii="Calibri" w:hAnsi="Calibri" w:cs="Calibri"/>
                <w:i/>
                <w:iCs/>
                <w:sz w:val="20"/>
                <w:szCs w:val="20"/>
              </w:rPr>
              <w:t>q</w:t>
            </w:r>
            <w:r w:rsidR="003F38A0">
              <w:rPr>
                <w:rFonts w:ascii="Calibri" w:hAnsi="Calibri" w:cs="Calibri"/>
                <w:sz w:val="20"/>
                <w:szCs w:val="20"/>
              </w:rPr>
              <w:t xml:space="preserve"> </w:t>
            </w:r>
            <w:r w:rsidR="003F38A0">
              <w:rPr>
                <w:rFonts w:ascii="Symbol" w:eastAsia="Symbol" w:hAnsi="Symbol" w:cs="Symbol"/>
                <w:sz w:val="20"/>
                <w:szCs w:val="20"/>
              </w:rPr>
              <w:t>£</w:t>
            </w:r>
            <w:r w:rsidR="003F38A0">
              <w:rPr>
                <w:rFonts w:ascii="Calibri" w:hAnsi="Calibri" w:cs="Calibri"/>
                <w:sz w:val="20"/>
                <w:szCs w:val="20"/>
              </w:rPr>
              <w:t xml:space="preserve"> 0.1).</w:t>
            </w:r>
            <w:r w:rsidR="00C247A3">
              <w:rPr>
                <w:rFonts w:ascii="Calibri" w:hAnsi="Calibri" w:cs="Calibri"/>
                <w:sz w:val="20"/>
                <w:szCs w:val="20"/>
              </w:rPr>
              <w:t xml:space="preserve"> (Bottom right) Sensitivity analysis showing PERMANOVA R</w:t>
            </w:r>
            <w:r w:rsidR="00C247A3" w:rsidRPr="00C247A3">
              <w:rPr>
                <w:rFonts w:ascii="Calibri" w:hAnsi="Calibri" w:cs="Calibri"/>
                <w:sz w:val="20"/>
                <w:szCs w:val="20"/>
                <w:vertAlign w:val="superscript"/>
              </w:rPr>
              <w:t>2</w:t>
            </w:r>
            <w:r w:rsidR="00C247A3">
              <w:rPr>
                <w:rFonts w:ascii="Calibri" w:hAnsi="Calibri" w:cs="Calibri"/>
                <w:sz w:val="20"/>
                <w:szCs w:val="20"/>
              </w:rPr>
              <w:t xml:space="preserve"> values and significance for all participants that have information for all metadata variables with (</w:t>
            </w:r>
            <w:r w:rsidR="00C247A3">
              <w:rPr>
                <w:rFonts w:ascii="Calibri" w:hAnsi="Calibri" w:cs="Calibri"/>
                <w:i/>
                <w:iCs/>
                <w:sz w:val="20"/>
                <w:szCs w:val="20"/>
              </w:rPr>
              <w:t>n</w:t>
            </w:r>
            <w:r w:rsidR="00C247A3">
              <w:rPr>
                <w:rFonts w:ascii="Calibri" w:hAnsi="Calibri" w:cs="Calibri"/>
                <w:sz w:val="20"/>
                <w:szCs w:val="20"/>
              </w:rPr>
              <w:t>=2598) or without (</w:t>
            </w:r>
            <w:r w:rsidR="00C247A3">
              <w:rPr>
                <w:rFonts w:ascii="Calibri" w:hAnsi="Calibri" w:cs="Calibri"/>
                <w:i/>
                <w:iCs/>
                <w:sz w:val="20"/>
                <w:szCs w:val="20"/>
              </w:rPr>
              <w:t>n</w:t>
            </w:r>
            <w:r w:rsidR="00C247A3" w:rsidRPr="00C247A3">
              <w:rPr>
                <w:rFonts w:ascii="Calibri" w:hAnsi="Calibri" w:cs="Calibri"/>
                <w:sz w:val="20"/>
                <w:szCs w:val="20"/>
              </w:rPr>
              <w:t>=2429)</w:t>
            </w:r>
            <w:r w:rsidR="00C247A3">
              <w:rPr>
                <w:rFonts w:ascii="Calibri" w:hAnsi="Calibri" w:cs="Calibri"/>
                <w:sz w:val="20"/>
                <w:szCs w:val="20"/>
              </w:rPr>
              <w:t xml:space="preserve"> those that have taken antibiotics within the </w:t>
            </w:r>
            <w:r w:rsidR="00C247A3">
              <w:rPr>
                <w:rFonts w:ascii="Calibri" w:hAnsi="Calibri" w:cs="Calibri"/>
                <w:sz w:val="20"/>
                <w:szCs w:val="20"/>
              </w:rPr>
              <w:lastRenderedPageBreak/>
              <w:t xml:space="preserve">last month. Filled bars indicate significant </w:t>
            </w:r>
            <w:r w:rsidR="00C247A3">
              <w:rPr>
                <w:rFonts w:ascii="Calibri" w:hAnsi="Calibri" w:cs="Calibri"/>
                <w:i/>
                <w:iCs/>
                <w:sz w:val="20"/>
                <w:szCs w:val="20"/>
              </w:rPr>
              <w:t>p</w:t>
            </w:r>
            <w:r w:rsidR="00C247A3">
              <w:rPr>
                <w:rFonts w:ascii="Calibri" w:hAnsi="Calibri" w:cs="Calibri"/>
                <w:sz w:val="20"/>
                <w:szCs w:val="20"/>
              </w:rPr>
              <w:t>-values (</w:t>
            </w:r>
            <w:r w:rsidR="00C247A3">
              <w:rPr>
                <w:rFonts w:ascii="Calibri" w:hAnsi="Calibri" w:cs="Calibri"/>
                <w:i/>
                <w:iCs/>
                <w:sz w:val="20"/>
                <w:szCs w:val="20"/>
              </w:rPr>
              <w:t>p</w:t>
            </w:r>
            <w:r w:rsidR="00C247A3">
              <w:rPr>
                <w:rFonts w:ascii="Calibri" w:hAnsi="Calibri" w:cs="Calibri"/>
                <w:sz w:val="20"/>
                <w:szCs w:val="20"/>
              </w:rPr>
              <w:t xml:space="preserve"> </w:t>
            </w:r>
            <w:r w:rsidR="00C247A3">
              <w:rPr>
                <w:rFonts w:ascii="Symbol" w:eastAsia="Symbol" w:hAnsi="Symbol" w:cs="Symbol"/>
                <w:sz w:val="20"/>
                <w:szCs w:val="20"/>
              </w:rPr>
              <w:t>£</w:t>
            </w:r>
            <w:r w:rsidR="00C247A3">
              <w:rPr>
                <w:rFonts w:ascii="Calibri" w:hAnsi="Calibri" w:cs="Calibri"/>
                <w:sz w:val="20"/>
                <w:szCs w:val="20"/>
              </w:rPr>
              <w:t xml:space="preserve"> 0.05) and all R</w:t>
            </w:r>
            <w:r w:rsidR="00C247A3" w:rsidRPr="00C247A3">
              <w:rPr>
                <w:rFonts w:ascii="Calibri" w:hAnsi="Calibri" w:cs="Calibri"/>
                <w:sz w:val="20"/>
                <w:szCs w:val="20"/>
                <w:vertAlign w:val="superscript"/>
              </w:rPr>
              <w:t>2</w:t>
            </w:r>
            <w:r w:rsidR="00C247A3">
              <w:rPr>
                <w:rFonts w:ascii="Calibri" w:hAnsi="Calibri" w:cs="Calibri"/>
                <w:sz w:val="20"/>
                <w:szCs w:val="20"/>
              </w:rPr>
              <w:t xml:space="preserve"> values shown are for multivariate analyses including all variables. Note that the x-axis here is on a log scale. </w:t>
            </w:r>
          </w:p>
        </w:tc>
      </w:tr>
    </w:tbl>
    <w:p w14:paraId="3A99842D" w14:textId="77777777" w:rsidR="00851A32" w:rsidRPr="0022140A" w:rsidRDefault="00851A32">
      <w:pPr>
        <w:rPr>
          <w:rFonts w:ascii="Calibri" w:hAnsi="Calibri" w:cs="Calibri"/>
          <w:sz w:val="20"/>
          <w:szCs w:val="20"/>
        </w:rPr>
      </w:pPr>
    </w:p>
    <w:sectPr w:rsidR="00851A32" w:rsidRPr="002214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D90"/>
    <w:rsid w:val="00002FEB"/>
    <w:rsid w:val="0001132E"/>
    <w:rsid w:val="00014F05"/>
    <w:rsid w:val="00021B3A"/>
    <w:rsid w:val="00026B26"/>
    <w:rsid w:val="00052040"/>
    <w:rsid w:val="00067FE9"/>
    <w:rsid w:val="000823DC"/>
    <w:rsid w:val="000853EF"/>
    <w:rsid w:val="0008715E"/>
    <w:rsid w:val="0009618A"/>
    <w:rsid w:val="000A7E82"/>
    <w:rsid w:val="000B5FDD"/>
    <w:rsid w:val="000D740D"/>
    <w:rsid w:val="00103B80"/>
    <w:rsid w:val="00115E42"/>
    <w:rsid w:val="0015285D"/>
    <w:rsid w:val="001759E1"/>
    <w:rsid w:val="0017693F"/>
    <w:rsid w:val="00185A6E"/>
    <w:rsid w:val="001B3064"/>
    <w:rsid w:val="001B3135"/>
    <w:rsid w:val="001B4356"/>
    <w:rsid w:val="001B4441"/>
    <w:rsid w:val="001C4EBE"/>
    <w:rsid w:val="001D610A"/>
    <w:rsid w:val="001E1263"/>
    <w:rsid w:val="001F22A4"/>
    <w:rsid w:val="001F23D3"/>
    <w:rsid w:val="001F346C"/>
    <w:rsid w:val="00212AB8"/>
    <w:rsid w:val="0021542F"/>
    <w:rsid w:val="0022140A"/>
    <w:rsid w:val="00246C62"/>
    <w:rsid w:val="002520B0"/>
    <w:rsid w:val="00253AF3"/>
    <w:rsid w:val="00257B5B"/>
    <w:rsid w:val="00274ED7"/>
    <w:rsid w:val="002A2413"/>
    <w:rsid w:val="002B1BCA"/>
    <w:rsid w:val="002D5D44"/>
    <w:rsid w:val="002F1F39"/>
    <w:rsid w:val="00311817"/>
    <w:rsid w:val="00323303"/>
    <w:rsid w:val="003259B3"/>
    <w:rsid w:val="003279E0"/>
    <w:rsid w:val="00337E10"/>
    <w:rsid w:val="003603D3"/>
    <w:rsid w:val="00375E0A"/>
    <w:rsid w:val="00376100"/>
    <w:rsid w:val="0039251E"/>
    <w:rsid w:val="00395847"/>
    <w:rsid w:val="003966FF"/>
    <w:rsid w:val="003A5978"/>
    <w:rsid w:val="003A5CD1"/>
    <w:rsid w:val="003C46D8"/>
    <w:rsid w:val="003E272A"/>
    <w:rsid w:val="003F0077"/>
    <w:rsid w:val="003F38A0"/>
    <w:rsid w:val="00447990"/>
    <w:rsid w:val="004E018A"/>
    <w:rsid w:val="00515046"/>
    <w:rsid w:val="005252B1"/>
    <w:rsid w:val="00532242"/>
    <w:rsid w:val="005413F6"/>
    <w:rsid w:val="00546BBE"/>
    <w:rsid w:val="005519E5"/>
    <w:rsid w:val="00555BB9"/>
    <w:rsid w:val="005877D7"/>
    <w:rsid w:val="005A288D"/>
    <w:rsid w:val="005B1213"/>
    <w:rsid w:val="005D360C"/>
    <w:rsid w:val="005E1CD6"/>
    <w:rsid w:val="005F30F7"/>
    <w:rsid w:val="006064D8"/>
    <w:rsid w:val="006363A1"/>
    <w:rsid w:val="00641574"/>
    <w:rsid w:val="00641884"/>
    <w:rsid w:val="00651D90"/>
    <w:rsid w:val="00661C3E"/>
    <w:rsid w:val="0066529F"/>
    <w:rsid w:val="006932D6"/>
    <w:rsid w:val="00694007"/>
    <w:rsid w:val="006B37BE"/>
    <w:rsid w:val="006B4BB4"/>
    <w:rsid w:val="006E3839"/>
    <w:rsid w:val="006E3FC1"/>
    <w:rsid w:val="00711162"/>
    <w:rsid w:val="00711BA8"/>
    <w:rsid w:val="00722782"/>
    <w:rsid w:val="00732FEA"/>
    <w:rsid w:val="00751350"/>
    <w:rsid w:val="00783168"/>
    <w:rsid w:val="007A5313"/>
    <w:rsid w:val="007B0CF3"/>
    <w:rsid w:val="007B390B"/>
    <w:rsid w:val="007B4AB6"/>
    <w:rsid w:val="007D0485"/>
    <w:rsid w:val="00823BFC"/>
    <w:rsid w:val="00826193"/>
    <w:rsid w:val="00837718"/>
    <w:rsid w:val="00851A32"/>
    <w:rsid w:val="008900E4"/>
    <w:rsid w:val="008A0DEE"/>
    <w:rsid w:val="008A6177"/>
    <w:rsid w:val="008B093E"/>
    <w:rsid w:val="008E7E14"/>
    <w:rsid w:val="008F713F"/>
    <w:rsid w:val="00904A5C"/>
    <w:rsid w:val="009057D9"/>
    <w:rsid w:val="00963FD0"/>
    <w:rsid w:val="00966625"/>
    <w:rsid w:val="00967F4D"/>
    <w:rsid w:val="009960EC"/>
    <w:rsid w:val="009B6FEF"/>
    <w:rsid w:val="009B77A7"/>
    <w:rsid w:val="009C6CF7"/>
    <w:rsid w:val="009D2FB3"/>
    <w:rsid w:val="009F04A6"/>
    <w:rsid w:val="009F3575"/>
    <w:rsid w:val="00A04286"/>
    <w:rsid w:val="00A14160"/>
    <w:rsid w:val="00A22FD0"/>
    <w:rsid w:val="00AA770B"/>
    <w:rsid w:val="00AC4693"/>
    <w:rsid w:val="00AD442A"/>
    <w:rsid w:val="00AF4715"/>
    <w:rsid w:val="00B0782A"/>
    <w:rsid w:val="00B37AFF"/>
    <w:rsid w:val="00B52B87"/>
    <w:rsid w:val="00BB3E3D"/>
    <w:rsid w:val="00BD0C4E"/>
    <w:rsid w:val="00BD49A5"/>
    <w:rsid w:val="00BF6FFB"/>
    <w:rsid w:val="00C22752"/>
    <w:rsid w:val="00C247A3"/>
    <w:rsid w:val="00C81CE6"/>
    <w:rsid w:val="00C85165"/>
    <w:rsid w:val="00C9198F"/>
    <w:rsid w:val="00CA075E"/>
    <w:rsid w:val="00CA49DC"/>
    <w:rsid w:val="00CC1CEC"/>
    <w:rsid w:val="00CC62F7"/>
    <w:rsid w:val="00CD03A2"/>
    <w:rsid w:val="00CF385D"/>
    <w:rsid w:val="00CF4999"/>
    <w:rsid w:val="00D13BD1"/>
    <w:rsid w:val="00D13E29"/>
    <w:rsid w:val="00D2494A"/>
    <w:rsid w:val="00D34F34"/>
    <w:rsid w:val="00D37CEB"/>
    <w:rsid w:val="00D552F8"/>
    <w:rsid w:val="00D85674"/>
    <w:rsid w:val="00D8576F"/>
    <w:rsid w:val="00D85D54"/>
    <w:rsid w:val="00D91A53"/>
    <w:rsid w:val="00DA401E"/>
    <w:rsid w:val="00DA435B"/>
    <w:rsid w:val="00DA7CA6"/>
    <w:rsid w:val="00DB0225"/>
    <w:rsid w:val="00DF1203"/>
    <w:rsid w:val="00DF6EC7"/>
    <w:rsid w:val="00E1703E"/>
    <w:rsid w:val="00E26128"/>
    <w:rsid w:val="00E448BE"/>
    <w:rsid w:val="00E55D79"/>
    <w:rsid w:val="00E651D8"/>
    <w:rsid w:val="00E67BAA"/>
    <w:rsid w:val="00E75625"/>
    <w:rsid w:val="00E91510"/>
    <w:rsid w:val="00EA1A7E"/>
    <w:rsid w:val="00EA52A4"/>
    <w:rsid w:val="00EB1CAC"/>
    <w:rsid w:val="00EC6CC1"/>
    <w:rsid w:val="00EE4F7D"/>
    <w:rsid w:val="00EF4735"/>
    <w:rsid w:val="00F03B0F"/>
    <w:rsid w:val="00F1144B"/>
    <w:rsid w:val="00F11B49"/>
    <w:rsid w:val="00F2358A"/>
    <w:rsid w:val="00F60898"/>
    <w:rsid w:val="00F96A82"/>
    <w:rsid w:val="00FA4892"/>
    <w:rsid w:val="00FA4F52"/>
    <w:rsid w:val="00FB4610"/>
    <w:rsid w:val="00FB5CDF"/>
    <w:rsid w:val="00FC4E02"/>
    <w:rsid w:val="00FD7FF9"/>
    <w:rsid w:val="00FE1186"/>
    <w:rsid w:val="29FE668D"/>
    <w:rsid w:val="33140B6E"/>
    <w:rsid w:val="55481D03"/>
    <w:rsid w:val="60682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6A6B6E"/>
  <w15:chartTrackingRefBased/>
  <w15:docId w15:val="{3D3B29ED-8471-C44E-85EC-9A589C66D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1D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1D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1D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1D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1D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1D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1D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1D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1D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D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1D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1D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1D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1D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1D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1D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1D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1D90"/>
    <w:rPr>
      <w:rFonts w:eastAsiaTheme="majorEastAsia" w:cstheme="majorBidi"/>
      <w:color w:val="272727" w:themeColor="text1" w:themeTint="D8"/>
    </w:rPr>
  </w:style>
  <w:style w:type="paragraph" w:styleId="Title">
    <w:name w:val="Title"/>
    <w:basedOn w:val="Normal"/>
    <w:next w:val="Normal"/>
    <w:link w:val="TitleChar"/>
    <w:uiPriority w:val="10"/>
    <w:qFormat/>
    <w:rsid w:val="00651D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D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1D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1D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1D90"/>
    <w:pPr>
      <w:spacing w:before="160"/>
      <w:jc w:val="center"/>
    </w:pPr>
    <w:rPr>
      <w:i/>
      <w:iCs/>
      <w:color w:val="404040" w:themeColor="text1" w:themeTint="BF"/>
    </w:rPr>
  </w:style>
  <w:style w:type="character" w:customStyle="1" w:styleId="QuoteChar">
    <w:name w:val="Quote Char"/>
    <w:basedOn w:val="DefaultParagraphFont"/>
    <w:link w:val="Quote"/>
    <w:uiPriority w:val="29"/>
    <w:rsid w:val="00651D90"/>
    <w:rPr>
      <w:i/>
      <w:iCs/>
      <w:color w:val="404040" w:themeColor="text1" w:themeTint="BF"/>
    </w:rPr>
  </w:style>
  <w:style w:type="paragraph" w:styleId="ListParagraph">
    <w:name w:val="List Paragraph"/>
    <w:basedOn w:val="Normal"/>
    <w:uiPriority w:val="34"/>
    <w:qFormat/>
    <w:rsid w:val="00651D90"/>
    <w:pPr>
      <w:ind w:left="720"/>
      <w:contextualSpacing/>
    </w:pPr>
  </w:style>
  <w:style w:type="character" w:styleId="IntenseEmphasis">
    <w:name w:val="Intense Emphasis"/>
    <w:basedOn w:val="DefaultParagraphFont"/>
    <w:uiPriority w:val="21"/>
    <w:qFormat/>
    <w:rsid w:val="00651D90"/>
    <w:rPr>
      <w:i/>
      <w:iCs/>
      <w:color w:val="0F4761" w:themeColor="accent1" w:themeShade="BF"/>
    </w:rPr>
  </w:style>
  <w:style w:type="paragraph" w:styleId="IntenseQuote">
    <w:name w:val="Intense Quote"/>
    <w:basedOn w:val="Normal"/>
    <w:next w:val="Normal"/>
    <w:link w:val="IntenseQuoteChar"/>
    <w:uiPriority w:val="30"/>
    <w:qFormat/>
    <w:rsid w:val="00651D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1D90"/>
    <w:rPr>
      <w:i/>
      <w:iCs/>
      <w:color w:val="0F4761" w:themeColor="accent1" w:themeShade="BF"/>
    </w:rPr>
  </w:style>
  <w:style w:type="character" w:styleId="IntenseReference">
    <w:name w:val="Intense Reference"/>
    <w:basedOn w:val="DefaultParagraphFont"/>
    <w:uiPriority w:val="32"/>
    <w:qFormat/>
    <w:rsid w:val="00651D90"/>
    <w:rPr>
      <w:b/>
      <w:bCs/>
      <w:smallCaps/>
      <w:color w:val="0F4761" w:themeColor="accent1" w:themeShade="BF"/>
      <w:spacing w:val="5"/>
    </w:rPr>
  </w:style>
  <w:style w:type="table" w:styleId="TableGrid">
    <w:name w:val="Table Grid"/>
    <w:basedOn w:val="TableNormal"/>
    <w:uiPriority w:val="39"/>
    <w:rsid w:val="00651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3839"/>
    <w:rPr>
      <w:sz w:val="16"/>
      <w:szCs w:val="16"/>
    </w:rPr>
  </w:style>
  <w:style w:type="paragraph" w:styleId="CommentText">
    <w:name w:val="annotation text"/>
    <w:basedOn w:val="Normal"/>
    <w:link w:val="CommentTextChar"/>
    <w:uiPriority w:val="99"/>
    <w:semiHidden/>
    <w:unhideWhenUsed/>
    <w:rsid w:val="006E3839"/>
    <w:pPr>
      <w:spacing w:line="240" w:lineRule="auto"/>
    </w:pPr>
    <w:rPr>
      <w:sz w:val="20"/>
      <w:szCs w:val="20"/>
    </w:rPr>
  </w:style>
  <w:style w:type="character" w:customStyle="1" w:styleId="CommentTextChar">
    <w:name w:val="Comment Text Char"/>
    <w:basedOn w:val="DefaultParagraphFont"/>
    <w:link w:val="CommentText"/>
    <w:uiPriority w:val="99"/>
    <w:semiHidden/>
    <w:rsid w:val="006E3839"/>
    <w:rPr>
      <w:sz w:val="20"/>
      <w:szCs w:val="20"/>
    </w:rPr>
  </w:style>
  <w:style w:type="paragraph" w:styleId="CommentSubject">
    <w:name w:val="annotation subject"/>
    <w:basedOn w:val="CommentText"/>
    <w:next w:val="CommentText"/>
    <w:link w:val="CommentSubjectChar"/>
    <w:uiPriority w:val="99"/>
    <w:semiHidden/>
    <w:unhideWhenUsed/>
    <w:rsid w:val="006E3839"/>
    <w:rPr>
      <w:b/>
      <w:bCs/>
    </w:rPr>
  </w:style>
  <w:style w:type="character" w:customStyle="1" w:styleId="CommentSubjectChar">
    <w:name w:val="Comment Subject Char"/>
    <w:basedOn w:val="CommentTextChar"/>
    <w:link w:val="CommentSubject"/>
    <w:uiPriority w:val="99"/>
    <w:semiHidden/>
    <w:rsid w:val="006E3839"/>
    <w:rPr>
      <w:b/>
      <w:bCs/>
      <w:sz w:val="20"/>
      <w:szCs w:val="20"/>
    </w:rPr>
  </w:style>
  <w:style w:type="paragraph" w:styleId="Revision">
    <w:name w:val="Revision"/>
    <w:hidden/>
    <w:uiPriority w:val="99"/>
    <w:semiHidden/>
    <w:rsid w:val="00CD03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2974</Words>
  <Characters>16956</Characters>
  <Application>Microsoft Office Word</Application>
  <DocSecurity>0</DocSecurity>
  <Lines>141</Lines>
  <Paragraphs>39</Paragraphs>
  <ScaleCrop>false</ScaleCrop>
  <Company/>
  <LinksUpToDate>false</LinksUpToDate>
  <CharactersWithSpaces>19891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Wright</dc:creator>
  <cp:keywords/>
  <dc:description/>
  <cp:lastModifiedBy>Robyn Wright</cp:lastModifiedBy>
  <cp:revision>173</cp:revision>
  <cp:lastPrinted>2025-11-07T13:02:00Z</cp:lastPrinted>
  <dcterms:created xsi:type="dcterms:W3CDTF">2025-04-23T13:42:00Z</dcterms:created>
  <dcterms:modified xsi:type="dcterms:W3CDTF">2025-12-16T16:58:00Z</dcterms:modified>
</cp:coreProperties>
</file>