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4C38D0" w14:textId="77777777" w:rsidR="00C25CE9" w:rsidRDefault="00C25CE9" w:rsidP="00C25CE9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5B0487">
        <w:rPr>
          <w:rFonts w:ascii="Times New Roman" w:hAnsi="Times New Roman" w:cs="Times New Roman"/>
          <w:b/>
          <w:bCs/>
        </w:rPr>
        <w:t>Table 3</w:t>
      </w:r>
      <w:r>
        <w:rPr>
          <w:rFonts w:ascii="Times New Roman" w:hAnsi="Times New Roman" w:cs="Times New Roman"/>
          <w:b/>
          <w:bCs/>
        </w:rPr>
        <w:t>.</w:t>
      </w:r>
      <w:r w:rsidRPr="005B0487">
        <w:rPr>
          <w:rFonts w:ascii="Times New Roman" w:hAnsi="Times New Roman" w:cs="Times New Roman"/>
          <w:b/>
          <w:bCs/>
        </w:rPr>
        <w:t xml:space="preserve"> Data analytical framework</w:t>
      </w:r>
    </w:p>
    <w:tbl>
      <w:tblPr>
        <w:tblStyle w:val="TableGrid"/>
        <w:tblW w:w="94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1984"/>
        <w:gridCol w:w="2126"/>
        <w:gridCol w:w="3261"/>
      </w:tblGrid>
      <w:tr w:rsidR="00C25CE9" w:rsidRPr="00CC7832" w14:paraId="02EC1AB0" w14:textId="77777777" w:rsidTr="00265887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702C8184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217247814"/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Theme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76718BD4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Categories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7D0E2CFD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Sub-categories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23E0D22F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 xml:space="preserve">Codes </w:t>
            </w:r>
          </w:p>
        </w:tc>
      </w:tr>
      <w:tr w:rsidR="00C25CE9" w:rsidRPr="00CC7832" w14:paraId="3419A755" w14:textId="77777777" w:rsidTr="00265887">
        <w:tc>
          <w:tcPr>
            <w:tcW w:w="2127" w:type="dxa"/>
            <w:tcBorders>
              <w:top w:val="single" w:sz="4" w:space="0" w:color="auto"/>
            </w:tcBorders>
          </w:tcPr>
          <w:p w14:paraId="36C87B99" w14:textId="77777777" w:rsidR="00C25CE9" w:rsidRPr="00CC7832" w:rsidRDefault="00C25CE9" w:rsidP="0026588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Differen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</w:t>
            </w:r>
            <w:r w:rsidRPr="00CC78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perceptions of program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effectiveness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443A7620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Perceived necessity of the program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11D2766E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Bridging academic readiness gaps</w:t>
            </w:r>
          </w:p>
        </w:tc>
        <w:tc>
          <w:tcPr>
            <w:tcW w:w="3261" w:type="dxa"/>
            <w:tcBorders>
              <w:top w:val="single" w:sz="4" w:space="0" w:color="auto"/>
            </w:tcBorders>
          </w:tcPr>
          <w:p w14:paraId="52161467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Program prepares students with weak foundations</w:t>
            </w:r>
          </w:p>
        </w:tc>
      </w:tr>
      <w:tr w:rsidR="00C25CE9" w:rsidRPr="00CC7832" w14:paraId="0C9F268D" w14:textId="77777777" w:rsidTr="00265887">
        <w:tc>
          <w:tcPr>
            <w:tcW w:w="2127" w:type="dxa"/>
          </w:tcPr>
          <w:p w14:paraId="573541A4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312421A5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522B9473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14:paraId="6CEAF3FD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Program supports transition into medical school</w:t>
            </w:r>
          </w:p>
        </w:tc>
      </w:tr>
      <w:tr w:rsidR="00C25CE9" w:rsidRPr="00CC7832" w14:paraId="60728DC8" w14:textId="77777777" w:rsidTr="00265887">
        <w:tc>
          <w:tcPr>
            <w:tcW w:w="2127" w:type="dxa"/>
          </w:tcPr>
          <w:p w14:paraId="5096A997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3EF4F2CD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5613805B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Perceived protective function</w:t>
            </w:r>
          </w:p>
        </w:tc>
        <w:tc>
          <w:tcPr>
            <w:tcW w:w="3261" w:type="dxa"/>
          </w:tcPr>
          <w:p w14:paraId="453013C0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Program prevents academic shock in early semesters</w:t>
            </w:r>
          </w:p>
        </w:tc>
      </w:tr>
      <w:tr w:rsidR="00C25CE9" w:rsidRPr="00CC7832" w14:paraId="3A3489E4" w14:textId="77777777" w:rsidTr="00265887">
        <w:tc>
          <w:tcPr>
            <w:tcW w:w="2127" w:type="dxa"/>
          </w:tcPr>
          <w:p w14:paraId="25B6141D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52E69EF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Perceived limited impact</w:t>
            </w:r>
          </w:p>
        </w:tc>
        <w:tc>
          <w:tcPr>
            <w:tcW w:w="2126" w:type="dxa"/>
          </w:tcPr>
          <w:p w14:paraId="70A2E803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Minimal observable learning gains</w:t>
            </w:r>
          </w:p>
        </w:tc>
        <w:tc>
          <w:tcPr>
            <w:tcW w:w="3261" w:type="dxa"/>
          </w:tcPr>
          <w:p w14:paraId="34ABB466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No clear improvement in students’ competencies</w:t>
            </w:r>
          </w:p>
        </w:tc>
      </w:tr>
      <w:tr w:rsidR="00C25CE9" w:rsidRPr="00CC7832" w14:paraId="77AD7757" w14:textId="77777777" w:rsidTr="00265887">
        <w:tc>
          <w:tcPr>
            <w:tcW w:w="2127" w:type="dxa"/>
          </w:tcPr>
          <w:p w14:paraId="0C9ACBB2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2985134E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71424E2E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14:paraId="17BE396B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Students’ abilities remain unchanged</w:t>
            </w:r>
          </w:p>
        </w:tc>
      </w:tr>
      <w:tr w:rsidR="00C25CE9" w:rsidRPr="00CC7832" w14:paraId="5236C952" w14:textId="77777777" w:rsidTr="00265887">
        <w:tc>
          <w:tcPr>
            <w:tcW w:w="2127" w:type="dxa"/>
          </w:tcPr>
          <w:p w14:paraId="54C82AA8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1E195828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4D57CA4D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High effort–low return</w:t>
            </w:r>
          </w:p>
        </w:tc>
        <w:tc>
          <w:tcPr>
            <w:tcW w:w="3261" w:type="dxa"/>
          </w:tcPr>
          <w:p w14:paraId="3BF8C8A9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Considerable teaching input with limited outcomes</w:t>
            </w:r>
          </w:p>
        </w:tc>
      </w:tr>
      <w:tr w:rsidR="00C25CE9" w:rsidRPr="00CC7832" w14:paraId="71FBDF6D" w14:textId="77777777" w:rsidTr="00265887">
        <w:tc>
          <w:tcPr>
            <w:tcW w:w="2127" w:type="dxa"/>
          </w:tcPr>
          <w:p w14:paraId="1AD62509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2457805F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4BE47588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14:paraId="167DC504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Disproportion between facilitator effort and student progress</w:t>
            </w:r>
          </w:p>
        </w:tc>
      </w:tr>
      <w:tr w:rsidR="00C25CE9" w:rsidRPr="00CC7832" w14:paraId="4EDD0CE0" w14:textId="77777777" w:rsidTr="00265887">
        <w:tc>
          <w:tcPr>
            <w:tcW w:w="2127" w:type="dxa"/>
          </w:tcPr>
          <w:p w14:paraId="66B7428B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1F80C8B5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Ambivalence toward effectiveness</w:t>
            </w:r>
          </w:p>
        </w:tc>
        <w:tc>
          <w:tcPr>
            <w:tcW w:w="2126" w:type="dxa"/>
          </w:tcPr>
          <w:p w14:paraId="2AA0850C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Coexistence of value and doubt</w:t>
            </w:r>
          </w:p>
        </w:tc>
        <w:tc>
          <w:tcPr>
            <w:tcW w:w="3261" w:type="dxa"/>
          </w:tcPr>
          <w:p w14:paraId="6B1CE729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Program seen as necessary but ineffective</w:t>
            </w:r>
          </w:p>
        </w:tc>
      </w:tr>
      <w:tr w:rsidR="00C25CE9" w:rsidRPr="00CC7832" w14:paraId="58A9DB1E" w14:textId="77777777" w:rsidTr="00265887">
        <w:tc>
          <w:tcPr>
            <w:tcW w:w="2127" w:type="dxa"/>
          </w:tcPr>
          <w:p w14:paraId="1143C651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701BDC34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77DB9B5E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14:paraId="3EE45551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Recognition of importance despite shortcomings</w:t>
            </w:r>
          </w:p>
        </w:tc>
      </w:tr>
      <w:tr w:rsidR="00C25CE9" w:rsidRPr="00CC7832" w14:paraId="274F6FA1" w14:textId="77777777" w:rsidTr="00265887">
        <w:tc>
          <w:tcPr>
            <w:tcW w:w="2127" w:type="dxa"/>
            <w:hideMark/>
          </w:tcPr>
          <w:p w14:paraId="0747EDCF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D"/>
                <w14:ligatures w14:val="none"/>
              </w:rPr>
              <w:t>Weakly mastered biomedical content</w:t>
            </w:r>
          </w:p>
        </w:tc>
        <w:tc>
          <w:tcPr>
            <w:tcW w:w="1984" w:type="dxa"/>
            <w:hideMark/>
          </w:tcPr>
          <w:p w14:paraId="6D7AE4DB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Inadequate foundational knowledge</w:t>
            </w:r>
          </w:p>
        </w:tc>
        <w:tc>
          <w:tcPr>
            <w:tcW w:w="2126" w:type="dxa"/>
            <w:hideMark/>
          </w:tcPr>
          <w:p w14:paraId="1EAA8A6A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Poor baseline understanding</w:t>
            </w:r>
          </w:p>
        </w:tc>
        <w:tc>
          <w:tcPr>
            <w:tcW w:w="3261" w:type="dxa"/>
            <w:hideMark/>
          </w:tcPr>
          <w:p w14:paraId="0F8CCADE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Students lack basic biomedical concepts</w:t>
            </w:r>
          </w:p>
        </w:tc>
      </w:tr>
      <w:tr w:rsidR="00C25CE9" w:rsidRPr="00CC7832" w14:paraId="1466E6C8" w14:textId="77777777" w:rsidTr="00265887">
        <w:tc>
          <w:tcPr>
            <w:tcW w:w="2127" w:type="dxa"/>
            <w:hideMark/>
          </w:tcPr>
          <w:p w14:paraId="2D7A4A2F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477CA69E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1410E86C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261" w:type="dxa"/>
            <w:hideMark/>
          </w:tcPr>
          <w:p w14:paraId="67B135B9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Knowledge gaps from pre-university education</w:t>
            </w:r>
          </w:p>
        </w:tc>
      </w:tr>
      <w:tr w:rsidR="00C25CE9" w:rsidRPr="00CC7832" w14:paraId="244C6ABA" w14:textId="77777777" w:rsidTr="00265887">
        <w:tc>
          <w:tcPr>
            <w:tcW w:w="2127" w:type="dxa"/>
            <w:hideMark/>
          </w:tcPr>
          <w:p w14:paraId="4AB041B3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66D54EF6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Fragmented understanding</w:t>
            </w:r>
          </w:p>
        </w:tc>
        <w:tc>
          <w:tcPr>
            <w:tcW w:w="2126" w:type="dxa"/>
            <w:hideMark/>
          </w:tcPr>
          <w:p w14:paraId="20431287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Isolated learning of disciplines</w:t>
            </w:r>
          </w:p>
        </w:tc>
        <w:tc>
          <w:tcPr>
            <w:tcW w:w="3261" w:type="dxa"/>
            <w:hideMark/>
          </w:tcPr>
          <w:p w14:paraId="482A92BE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Difficulty integrating anatomy, physiology, and biochemistry</w:t>
            </w:r>
          </w:p>
        </w:tc>
      </w:tr>
      <w:tr w:rsidR="00C25CE9" w:rsidRPr="00CC7832" w14:paraId="195C9ED6" w14:textId="77777777" w:rsidTr="00265887">
        <w:tc>
          <w:tcPr>
            <w:tcW w:w="2127" w:type="dxa"/>
            <w:hideMark/>
          </w:tcPr>
          <w:p w14:paraId="22A72409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011E252C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7C84A96D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261" w:type="dxa"/>
            <w:hideMark/>
          </w:tcPr>
          <w:p w14:paraId="0864AD65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Learning topics as disconnected units</w:t>
            </w:r>
          </w:p>
        </w:tc>
      </w:tr>
      <w:tr w:rsidR="00C25CE9" w:rsidRPr="00CC7832" w14:paraId="3BF2BA36" w14:textId="77777777" w:rsidTr="00265887">
        <w:tc>
          <w:tcPr>
            <w:tcW w:w="2127" w:type="dxa"/>
            <w:hideMark/>
          </w:tcPr>
          <w:p w14:paraId="1146327D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4D0BA878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Epistemological limitations</w:t>
            </w:r>
          </w:p>
        </w:tc>
        <w:tc>
          <w:tcPr>
            <w:tcW w:w="2126" w:type="dxa"/>
            <w:hideMark/>
          </w:tcPr>
          <w:p w14:paraId="534AF33C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Knowledge as memorization</w:t>
            </w:r>
          </w:p>
        </w:tc>
        <w:tc>
          <w:tcPr>
            <w:tcW w:w="3261" w:type="dxa"/>
            <w:hideMark/>
          </w:tcPr>
          <w:p w14:paraId="7D62375C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Viewing biomedical knowledge as facts to memorize</w:t>
            </w:r>
          </w:p>
        </w:tc>
      </w:tr>
      <w:tr w:rsidR="00C25CE9" w:rsidRPr="00CC7832" w14:paraId="1ABB2923" w14:textId="77777777" w:rsidTr="00265887">
        <w:tc>
          <w:tcPr>
            <w:tcW w:w="2127" w:type="dxa"/>
            <w:hideMark/>
          </w:tcPr>
          <w:p w14:paraId="69DE71C5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15BF8FB3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70F8868A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261" w:type="dxa"/>
            <w:hideMark/>
          </w:tcPr>
          <w:p w14:paraId="094E4509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Difficulty engaging in conceptual reasoning</w:t>
            </w:r>
          </w:p>
        </w:tc>
      </w:tr>
      <w:tr w:rsidR="00C25CE9" w:rsidRPr="00CC7832" w14:paraId="39F87CAF" w14:textId="77777777" w:rsidTr="00265887">
        <w:tc>
          <w:tcPr>
            <w:tcW w:w="2127" w:type="dxa"/>
            <w:hideMark/>
          </w:tcPr>
          <w:p w14:paraId="1925E667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5E04CA38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Limited perceived relevance</w:t>
            </w:r>
          </w:p>
        </w:tc>
        <w:tc>
          <w:tcPr>
            <w:tcW w:w="2126" w:type="dxa"/>
            <w:hideMark/>
          </w:tcPr>
          <w:p w14:paraId="78CEA726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Abstractness of biomedical sciences</w:t>
            </w:r>
          </w:p>
        </w:tc>
        <w:tc>
          <w:tcPr>
            <w:tcW w:w="3261" w:type="dxa"/>
            <w:hideMark/>
          </w:tcPr>
          <w:p w14:paraId="2AEF50B8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Questioning usefulness of biomedical content</w:t>
            </w:r>
          </w:p>
        </w:tc>
      </w:tr>
      <w:tr w:rsidR="00C25CE9" w:rsidRPr="00CC7832" w14:paraId="31E9E704" w14:textId="77777777" w:rsidTr="00265887">
        <w:tc>
          <w:tcPr>
            <w:tcW w:w="2127" w:type="dxa"/>
            <w:hideMark/>
          </w:tcPr>
          <w:p w14:paraId="0CD41740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3F8CA547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11AD6305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261" w:type="dxa"/>
            <w:hideMark/>
          </w:tcPr>
          <w:p w14:paraId="43BC8292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Inability to see clinical value of basic sciences</w:t>
            </w:r>
          </w:p>
        </w:tc>
      </w:tr>
      <w:tr w:rsidR="00C25CE9" w:rsidRPr="00CC7832" w14:paraId="22D08B9E" w14:textId="77777777" w:rsidTr="00265887">
        <w:tc>
          <w:tcPr>
            <w:tcW w:w="2127" w:type="dxa"/>
            <w:hideMark/>
          </w:tcPr>
          <w:p w14:paraId="75506555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D"/>
                <w14:ligatures w14:val="none"/>
              </w:rPr>
              <w:t>Multilevel challenges affecting program effectiveness</w:t>
            </w:r>
          </w:p>
        </w:tc>
        <w:tc>
          <w:tcPr>
            <w:tcW w:w="1984" w:type="dxa"/>
            <w:hideMark/>
          </w:tcPr>
          <w:p w14:paraId="284C68C3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Student motivation and engagement</w:t>
            </w:r>
          </w:p>
        </w:tc>
        <w:tc>
          <w:tcPr>
            <w:tcW w:w="2126" w:type="dxa"/>
            <w:hideMark/>
          </w:tcPr>
          <w:p w14:paraId="165BD67C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Low intrinsic motivation</w:t>
            </w:r>
          </w:p>
        </w:tc>
        <w:tc>
          <w:tcPr>
            <w:tcW w:w="3261" w:type="dxa"/>
            <w:hideMark/>
          </w:tcPr>
          <w:p w14:paraId="5C401E20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Participation driven by family influence rather than personal interest</w:t>
            </w:r>
          </w:p>
        </w:tc>
      </w:tr>
      <w:tr w:rsidR="00C25CE9" w:rsidRPr="00CC7832" w14:paraId="5186FC0F" w14:textId="77777777" w:rsidTr="00265887">
        <w:tc>
          <w:tcPr>
            <w:tcW w:w="2127" w:type="dxa"/>
            <w:hideMark/>
          </w:tcPr>
          <w:p w14:paraId="3588E5A5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5FDEBC16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7EE28D54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261" w:type="dxa"/>
            <w:hideMark/>
          </w:tcPr>
          <w:p w14:paraId="5454BA96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Attendance motivated by compliance rather than learning</w:t>
            </w:r>
          </w:p>
        </w:tc>
      </w:tr>
      <w:tr w:rsidR="00C25CE9" w:rsidRPr="00CC7832" w14:paraId="0F036891" w14:textId="77777777" w:rsidTr="00265887">
        <w:tc>
          <w:tcPr>
            <w:tcW w:w="2127" w:type="dxa"/>
            <w:hideMark/>
          </w:tcPr>
          <w:p w14:paraId="4280B70C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5EFB1AE7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6243FE10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Lack of accountability</w:t>
            </w:r>
          </w:p>
        </w:tc>
        <w:tc>
          <w:tcPr>
            <w:tcW w:w="3261" w:type="dxa"/>
            <w:hideMark/>
          </w:tcPr>
          <w:p w14:paraId="65768619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Arriving late or skipping sessions</w:t>
            </w:r>
          </w:p>
        </w:tc>
      </w:tr>
      <w:tr w:rsidR="00C25CE9" w:rsidRPr="00CC7832" w14:paraId="4740266D" w14:textId="77777777" w:rsidTr="00265887">
        <w:tc>
          <w:tcPr>
            <w:tcW w:w="2127" w:type="dxa"/>
            <w:hideMark/>
          </w:tcPr>
          <w:p w14:paraId="10CF4358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7A573113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7E02A940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261" w:type="dxa"/>
            <w:hideMark/>
          </w:tcPr>
          <w:p w14:paraId="4723E620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Absence of consequences for absenteeism</w:t>
            </w:r>
          </w:p>
        </w:tc>
      </w:tr>
      <w:tr w:rsidR="00C25CE9" w:rsidRPr="00CC7832" w14:paraId="796CDC9E" w14:textId="77777777" w:rsidTr="00265887">
        <w:tc>
          <w:tcPr>
            <w:tcW w:w="2127" w:type="dxa"/>
            <w:hideMark/>
          </w:tcPr>
          <w:p w14:paraId="030F0469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7228D754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Literacy and learning culture</w:t>
            </w:r>
          </w:p>
        </w:tc>
        <w:tc>
          <w:tcPr>
            <w:tcW w:w="2126" w:type="dxa"/>
            <w:hideMark/>
          </w:tcPr>
          <w:p w14:paraId="23D9B1A6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Weak academic literacy</w:t>
            </w:r>
          </w:p>
        </w:tc>
        <w:tc>
          <w:tcPr>
            <w:tcW w:w="3261" w:type="dxa"/>
            <w:hideMark/>
          </w:tcPr>
          <w:p w14:paraId="7180E8B8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Never finishing a full textbook</w:t>
            </w:r>
          </w:p>
        </w:tc>
      </w:tr>
      <w:tr w:rsidR="00C25CE9" w:rsidRPr="00CC7832" w14:paraId="19D75C5B" w14:textId="77777777" w:rsidTr="00265887">
        <w:tc>
          <w:tcPr>
            <w:tcW w:w="2127" w:type="dxa"/>
            <w:hideMark/>
          </w:tcPr>
          <w:p w14:paraId="60588A50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3FBF1513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209856F7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261" w:type="dxa"/>
            <w:hideMark/>
          </w:tcPr>
          <w:p w14:paraId="0F4D0C23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Low reading stamina</w:t>
            </w:r>
          </w:p>
        </w:tc>
      </w:tr>
      <w:tr w:rsidR="00C25CE9" w:rsidRPr="00CC7832" w14:paraId="4D758D77" w14:textId="77777777" w:rsidTr="00265887">
        <w:tc>
          <w:tcPr>
            <w:tcW w:w="2127" w:type="dxa"/>
            <w:hideMark/>
          </w:tcPr>
          <w:p w14:paraId="75FEC707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4A264BAE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3A324108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Shortcut-based learning</w:t>
            </w:r>
          </w:p>
        </w:tc>
        <w:tc>
          <w:tcPr>
            <w:tcW w:w="3261" w:type="dxa"/>
            <w:hideMark/>
          </w:tcPr>
          <w:p w14:paraId="34F59C2F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Reliance on slides, seniors’ notes, summaries</w:t>
            </w:r>
          </w:p>
        </w:tc>
      </w:tr>
      <w:tr w:rsidR="00C25CE9" w:rsidRPr="00CC7832" w14:paraId="504AEFF1" w14:textId="77777777" w:rsidTr="00265887">
        <w:tc>
          <w:tcPr>
            <w:tcW w:w="2127" w:type="dxa"/>
            <w:hideMark/>
          </w:tcPr>
          <w:p w14:paraId="31C0F8A1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530F0FA1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03D776D9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261" w:type="dxa"/>
            <w:hideMark/>
          </w:tcPr>
          <w:p w14:paraId="7BF710C2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Preference for condensed learning materials</w:t>
            </w:r>
          </w:p>
        </w:tc>
      </w:tr>
      <w:tr w:rsidR="00C25CE9" w:rsidRPr="00CC7832" w14:paraId="0022BA68" w14:textId="77777777" w:rsidTr="00265887">
        <w:tc>
          <w:tcPr>
            <w:tcW w:w="2127" w:type="dxa"/>
            <w:hideMark/>
          </w:tcPr>
          <w:p w14:paraId="65E3C7FD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6E7C3423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2DE90CE4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Uncritical use of AI tools</w:t>
            </w:r>
          </w:p>
        </w:tc>
        <w:tc>
          <w:tcPr>
            <w:tcW w:w="3261" w:type="dxa"/>
            <w:hideMark/>
          </w:tcPr>
          <w:p w14:paraId="60A04923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Dependence on AI-generated answers</w:t>
            </w:r>
          </w:p>
        </w:tc>
      </w:tr>
      <w:tr w:rsidR="00C25CE9" w:rsidRPr="00CC7832" w14:paraId="243A2374" w14:textId="77777777" w:rsidTr="00265887">
        <w:tc>
          <w:tcPr>
            <w:tcW w:w="2127" w:type="dxa"/>
            <w:hideMark/>
          </w:tcPr>
          <w:p w14:paraId="4F55D077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2A2B5746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5BBFEBD3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261" w:type="dxa"/>
            <w:hideMark/>
          </w:tcPr>
          <w:p w14:paraId="6CC6DDDC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Inability to validate correctness of information</w:t>
            </w:r>
          </w:p>
        </w:tc>
      </w:tr>
      <w:tr w:rsidR="00C25CE9" w:rsidRPr="00CC7832" w14:paraId="1B51F7EC" w14:textId="77777777" w:rsidTr="00265887">
        <w:tc>
          <w:tcPr>
            <w:tcW w:w="2127" w:type="dxa"/>
            <w:hideMark/>
          </w:tcPr>
          <w:p w14:paraId="656EED95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6B9D622A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Conceptual understanding and clinical linkage</w:t>
            </w:r>
          </w:p>
        </w:tc>
        <w:tc>
          <w:tcPr>
            <w:tcW w:w="2126" w:type="dxa"/>
            <w:hideMark/>
          </w:tcPr>
          <w:p w14:paraId="0FCBDAD3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Surface learning approaches</w:t>
            </w:r>
          </w:p>
        </w:tc>
        <w:tc>
          <w:tcPr>
            <w:tcW w:w="3261" w:type="dxa"/>
            <w:hideMark/>
          </w:tcPr>
          <w:p w14:paraId="1A9683FB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Memorization without conceptual understanding</w:t>
            </w:r>
          </w:p>
        </w:tc>
      </w:tr>
      <w:tr w:rsidR="00C25CE9" w:rsidRPr="00CC7832" w14:paraId="0ADC3F2A" w14:textId="77777777" w:rsidTr="00265887">
        <w:tc>
          <w:tcPr>
            <w:tcW w:w="2127" w:type="dxa"/>
            <w:hideMark/>
          </w:tcPr>
          <w:p w14:paraId="32A0D401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5EF1F7D6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03BDC5E8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261" w:type="dxa"/>
            <w:hideMark/>
          </w:tcPr>
          <w:p w14:paraId="225DFDBF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Learning facts without understanding relationships</w:t>
            </w:r>
          </w:p>
        </w:tc>
      </w:tr>
      <w:tr w:rsidR="00C25CE9" w:rsidRPr="00CC7832" w14:paraId="65FF2C7C" w14:textId="77777777" w:rsidTr="00265887">
        <w:tc>
          <w:tcPr>
            <w:tcW w:w="2127" w:type="dxa"/>
            <w:hideMark/>
          </w:tcPr>
          <w:p w14:paraId="3E6FD944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63EEE995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5F83D7D6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Poor clinical contextualization</w:t>
            </w:r>
          </w:p>
        </w:tc>
        <w:tc>
          <w:tcPr>
            <w:tcW w:w="3261" w:type="dxa"/>
            <w:hideMark/>
          </w:tcPr>
          <w:p w14:paraId="5FFC1D5C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Difficulty linking biomedical concepts to clinical relevance</w:t>
            </w:r>
          </w:p>
        </w:tc>
      </w:tr>
      <w:tr w:rsidR="00C25CE9" w:rsidRPr="00CC7832" w14:paraId="20D8CBA0" w14:textId="77777777" w:rsidTr="00265887">
        <w:tc>
          <w:tcPr>
            <w:tcW w:w="2127" w:type="dxa"/>
            <w:hideMark/>
          </w:tcPr>
          <w:p w14:paraId="095A77A1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6EAC0226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57DB6184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261" w:type="dxa"/>
            <w:hideMark/>
          </w:tcPr>
          <w:p w14:paraId="1638EC95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Questioning the usefulness of abstract biomedical content</w:t>
            </w:r>
          </w:p>
        </w:tc>
      </w:tr>
      <w:tr w:rsidR="00C25CE9" w:rsidRPr="00CC7832" w14:paraId="06C6D67E" w14:textId="77777777" w:rsidTr="00265887">
        <w:tc>
          <w:tcPr>
            <w:tcW w:w="2127" w:type="dxa"/>
            <w:hideMark/>
          </w:tcPr>
          <w:p w14:paraId="38087525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3782D2E0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Generational and cultural gaps</w:t>
            </w:r>
          </w:p>
        </w:tc>
        <w:tc>
          <w:tcPr>
            <w:tcW w:w="2126" w:type="dxa"/>
            <w:hideMark/>
          </w:tcPr>
          <w:p w14:paraId="30E0AB53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Attention and learning style mismatch</w:t>
            </w:r>
          </w:p>
        </w:tc>
        <w:tc>
          <w:tcPr>
            <w:tcW w:w="3261" w:type="dxa"/>
            <w:hideMark/>
          </w:tcPr>
          <w:p w14:paraId="361961B9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Short attention span during lectures</w:t>
            </w:r>
          </w:p>
        </w:tc>
      </w:tr>
      <w:tr w:rsidR="00C25CE9" w:rsidRPr="00CC7832" w14:paraId="6ABB99E2" w14:textId="77777777" w:rsidTr="00265887">
        <w:tc>
          <w:tcPr>
            <w:tcW w:w="2127" w:type="dxa"/>
            <w:hideMark/>
          </w:tcPr>
          <w:p w14:paraId="151F62EA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702254E4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701F9D45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261" w:type="dxa"/>
            <w:hideMark/>
          </w:tcPr>
          <w:p w14:paraId="07E15662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Expectation of fast, visually engaging content</w:t>
            </w:r>
          </w:p>
        </w:tc>
      </w:tr>
      <w:tr w:rsidR="00C25CE9" w:rsidRPr="00CC7832" w14:paraId="6099AD93" w14:textId="77777777" w:rsidTr="00265887">
        <w:tc>
          <w:tcPr>
            <w:tcW w:w="2127" w:type="dxa"/>
            <w:hideMark/>
          </w:tcPr>
          <w:p w14:paraId="3A0B5A5A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60961412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788CED86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Academic culture gap</w:t>
            </w:r>
          </w:p>
        </w:tc>
        <w:tc>
          <w:tcPr>
            <w:tcW w:w="3261" w:type="dxa"/>
            <w:hideMark/>
          </w:tcPr>
          <w:p w14:paraId="5181189A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Low curiosity and critical thinking</w:t>
            </w:r>
          </w:p>
        </w:tc>
      </w:tr>
      <w:tr w:rsidR="00C25CE9" w:rsidRPr="00CC7832" w14:paraId="45F556AE" w14:textId="77777777" w:rsidTr="00265887">
        <w:tc>
          <w:tcPr>
            <w:tcW w:w="2127" w:type="dxa"/>
            <w:hideMark/>
          </w:tcPr>
          <w:p w14:paraId="02A4D43F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086F2153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2A5E159E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261" w:type="dxa"/>
            <w:hideMark/>
          </w:tcPr>
          <w:p w14:paraId="76701C29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Reluctance toward self-directed learning</w:t>
            </w:r>
          </w:p>
        </w:tc>
      </w:tr>
      <w:tr w:rsidR="00C25CE9" w:rsidRPr="00CC7832" w14:paraId="32A6FD04" w14:textId="77777777" w:rsidTr="00265887">
        <w:tc>
          <w:tcPr>
            <w:tcW w:w="2127" w:type="dxa"/>
            <w:hideMark/>
          </w:tcPr>
          <w:p w14:paraId="700B2427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7676EF4A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Pedagogical and curricular challenges</w:t>
            </w:r>
          </w:p>
        </w:tc>
        <w:tc>
          <w:tcPr>
            <w:tcW w:w="2126" w:type="dxa"/>
            <w:hideMark/>
          </w:tcPr>
          <w:p w14:paraId="4BC6E54A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Content overload</w:t>
            </w:r>
          </w:p>
        </w:tc>
        <w:tc>
          <w:tcPr>
            <w:tcW w:w="3261" w:type="dxa"/>
            <w:hideMark/>
          </w:tcPr>
          <w:p w14:paraId="28572805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Excessive biomedical content in limited time</w:t>
            </w:r>
          </w:p>
        </w:tc>
      </w:tr>
      <w:tr w:rsidR="00C25CE9" w:rsidRPr="00CC7832" w14:paraId="3BA7B049" w14:textId="77777777" w:rsidTr="00265887">
        <w:tc>
          <w:tcPr>
            <w:tcW w:w="2127" w:type="dxa"/>
            <w:hideMark/>
          </w:tcPr>
          <w:p w14:paraId="4B455AF1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3EBEBD3F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366EF0BB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261" w:type="dxa"/>
            <w:hideMark/>
          </w:tcPr>
          <w:p w14:paraId="5915FD6A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Student overwhelm and disengagement</w:t>
            </w:r>
          </w:p>
        </w:tc>
      </w:tr>
      <w:tr w:rsidR="00C25CE9" w:rsidRPr="00CC7832" w14:paraId="7AD34C7A" w14:textId="77777777" w:rsidTr="00265887">
        <w:tc>
          <w:tcPr>
            <w:tcW w:w="2127" w:type="dxa"/>
            <w:hideMark/>
          </w:tcPr>
          <w:p w14:paraId="2B22C620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701778C9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4F81BBF1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Limited pedagogical fit</w:t>
            </w:r>
          </w:p>
        </w:tc>
        <w:tc>
          <w:tcPr>
            <w:tcW w:w="3261" w:type="dxa"/>
            <w:hideMark/>
          </w:tcPr>
          <w:p w14:paraId="3F13EF62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Traditional lectures ineffective</w:t>
            </w:r>
          </w:p>
        </w:tc>
      </w:tr>
      <w:tr w:rsidR="00C25CE9" w:rsidRPr="00CC7832" w14:paraId="16F02AC0" w14:textId="77777777" w:rsidTr="00265887">
        <w:tc>
          <w:tcPr>
            <w:tcW w:w="2127" w:type="dxa"/>
            <w:hideMark/>
          </w:tcPr>
          <w:p w14:paraId="1729E846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3DC073F6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1B2D767E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261" w:type="dxa"/>
            <w:hideMark/>
          </w:tcPr>
          <w:p w14:paraId="3A27763F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Need for active and interactive learning methods</w:t>
            </w:r>
          </w:p>
        </w:tc>
      </w:tr>
      <w:tr w:rsidR="00C25CE9" w:rsidRPr="00CC7832" w14:paraId="02CF4FAE" w14:textId="77777777" w:rsidTr="00265887">
        <w:tc>
          <w:tcPr>
            <w:tcW w:w="2127" w:type="dxa"/>
            <w:hideMark/>
          </w:tcPr>
          <w:p w14:paraId="16A4D5C1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4CA903F6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0B09CCB6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Institutional constraints</w:t>
            </w:r>
          </w:p>
        </w:tc>
        <w:tc>
          <w:tcPr>
            <w:tcW w:w="3261" w:type="dxa"/>
            <w:hideMark/>
          </w:tcPr>
          <w:p w14:paraId="11FF1B84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Limited facilitator training in pedagogy</w:t>
            </w:r>
          </w:p>
        </w:tc>
      </w:tr>
      <w:tr w:rsidR="00C25CE9" w:rsidRPr="00CC7832" w14:paraId="4117ECBA" w14:textId="77777777" w:rsidTr="00265887">
        <w:tc>
          <w:tcPr>
            <w:tcW w:w="2127" w:type="dxa"/>
            <w:hideMark/>
          </w:tcPr>
          <w:p w14:paraId="66306694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69DC2796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3DE7A4F2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3261" w:type="dxa"/>
            <w:hideMark/>
          </w:tcPr>
          <w:p w14:paraId="7AAFB0A0" w14:textId="77777777" w:rsidR="00C25CE9" w:rsidRPr="00217AF1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217AF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  <w:t>Rigid curricular structure</w:t>
            </w:r>
          </w:p>
        </w:tc>
      </w:tr>
      <w:tr w:rsidR="00C25CE9" w:rsidRPr="00CC7832" w14:paraId="5D16C925" w14:textId="77777777" w:rsidTr="00265887">
        <w:tc>
          <w:tcPr>
            <w:tcW w:w="2127" w:type="dxa"/>
          </w:tcPr>
          <w:p w14:paraId="4DE16620" w14:textId="77777777" w:rsidR="00C25CE9" w:rsidRPr="00CC7832" w:rsidRDefault="00C25CE9" w:rsidP="00265887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D"/>
                <w14:ligatures w14:val="none"/>
              </w:rPr>
            </w:pPr>
            <w:r w:rsidRPr="00CC78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Facilitator-driven recommendations </w:t>
            </w:r>
            <w:bookmarkStart w:id="1" w:name="_Hlk217282363"/>
            <w:r w:rsidRPr="00CC78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for program refinement and sustainability</w:t>
            </w:r>
            <w:bookmarkEnd w:id="1"/>
          </w:p>
        </w:tc>
        <w:tc>
          <w:tcPr>
            <w:tcW w:w="1984" w:type="dxa"/>
          </w:tcPr>
          <w:p w14:paraId="5B17A933" w14:textId="77777777" w:rsidR="00C25CE9" w:rsidRPr="00CC7832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Strengthening student motivation</w:t>
            </w:r>
          </w:p>
        </w:tc>
        <w:tc>
          <w:tcPr>
            <w:tcW w:w="2126" w:type="dxa"/>
          </w:tcPr>
          <w:p w14:paraId="35C2DF9F" w14:textId="77777777" w:rsidR="00C25CE9" w:rsidRPr="00CC7832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Building intrinsic motivation</w:t>
            </w:r>
          </w:p>
        </w:tc>
        <w:tc>
          <w:tcPr>
            <w:tcW w:w="3261" w:type="dxa"/>
          </w:tcPr>
          <w:p w14:paraId="1009A54A" w14:textId="77777777" w:rsidR="00C25CE9" w:rsidRPr="00CC7832" w:rsidRDefault="00C25CE9" w:rsidP="0026588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Linking content to future clinical roles</w:t>
            </w:r>
          </w:p>
        </w:tc>
      </w:tr>
      <w:tr w:rsidR="00C25CE9" w:rsidRPr="00CC7832" w14:paraId="7B070FF5" w14:textId="77777777" w:rsidTr="00265887">
        <w:tc>
          <w:tcPr>
            <w:tcW w:w="2127" w:type="dxa"/>
          </w:tcPr>
          <w:p w14:paraId="4E2F724C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0D40AFFE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05AC69B6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14:paraId="426014B4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Enhancing relevance of biomedical sciences</w:t>
            </w:r>
          </w:p>
        </w:tc>
      </w:tr>
      <w:tr w:rsidR="00C25CE9" w:rsidRPr="00CC7832" w14:paraId="51A2C0FA" w14:textId="77777777" w:rsidTr="00265887">
        <w:tc>
          <w:tcPr>
            <w:tcW w:w="2127" w:type="dxa"/>
          </w:tcPr>
          <w:p w14:paraId="58FC30A6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DE339E1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713043F4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Accountability mechanisms</w:t>
            </w:r>
          </w:p>
        </w:tc>
        <w:tc>
          <w:tcPr>
            <w:tcW w:w="3261" w:type="dxa"/>
          </w:tcPr>
          <w:p w14:paraId="63ABD1F6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Clear attendance policies</w:t>
            </w:r>
          </w:p>
        </w:tc>
      </w:tr>
      <w:tr w:rsidR="00C25CE9" w:rsidRPr="00CC7832" w14:paraId="7A388BE7" w14:textId="77777777" w:rsidTr="00265887">
        <w:tc>
          <w:tcPr>
            <w:tcW w:w="2127" w:type="dxa"/>
          </w:tcPr>
          <w:p w14:paraId="6BD22543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77EC7180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44CB2693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14:paraId="40939E9C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Incorporating assessment or incentives</w:t>
            </w:r>
          </w:p>
        </w:tc>
      </w:tr>
      <w:tr w:rsidR="00C25CE9" w:rsidRPr="00CC7832" w14:paraId="332AF2F5" w14:textId="77777777" w:rsidTr="00265887">
        <w:tc>
          <w:tcPr>
            <w:tcW w:w="2127" w:type="dxa"/>
          </w:tcPr>
          <w:p w14:paraId="665C16D3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75E48ADE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Enhancing literacy and learning skills</w:t>
            </w:r>
          </w:p>
        </w:tc>
        <w:tc>
          <w:tcPr>
            <w:tcW w:w="2126" w:type="dxa"/>
          </w:tcPr>
          <w:p w14:paraId="5BB06E44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Structured academic literacy support</w:t>
            </w:r>
          </w:p>
        </w:tc>
        <w:tc>
          <w:tcPr>
            <w:tcW w:w="3261" w:type="dxa"/>
          </w:tcPr>
          <w:p w14:paraId="1A831E37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Guided reading tasks</w:t>
            </w:r>
          </w:p>
        </w:tc>
      </w:tr>
      <w:tr w:rsidR="00C25CE9" w:rsidRPr="00CC7832" w14:paraId="235F42FD" w14:textId="77777777" w:rsidTr="00265887">
        <w:tc>
          <w:tcPr>
            <w:tcW w:w="2127" w:type="dxa"/>
          </w:tcPr>
          <w:p w14:paraId="11B765B7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43C5E69C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1A2CD34E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14:paraId="44B308A4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Explicit training in study skills</w:t>
            </w:r>
          </w:p>
        </w:tc>
      </w:tr>
      <w:tr w:rsidR="00C25CE9" w:rsidRPr="00CC7832" w14:paraId="46CE5214" w14:textId="77777777" w:rsidTr="00265887">
        <w:tc>
          <w:tcPr>
            <w:tcW w:w="2127" w:type="dxa"/>
          </w:tcPr>
          <w:p w14:paraId="18999B5C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7E9DBC8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41A16CCF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Cultivating deep learning habits</w:t>
            </w:r>
          </w:p>
        </w:tc>
        <w:tc>
          <w:tcPr>
            <w:tcW w:w="3261" w:type="dxa"/>
          </w:tcPr>
          <w:p w14:paraId="68D82347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Encouraging critical reading</w:t>
            </w:r>
          </w:p>
        </w:tc>
      </w:tr>
      <w:tr w:rsidR="00C25CE9" w:rsidRPr="00CC7832" w14:paraId="428F30FE" w14:textId="77777777" w:rsidTr="00265887">
        <w:tc>
          <w:tcPr>
            <w:tcW w:w="2127" w:type="dxa"/>
          </w:tcPr>
          <w:p w14:paraId="742FA9B2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638E0919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5AFFF29A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14:paraId="280AD4B7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Reducing reliance on shortcut-based learning</w:t>
            </w:r>
          </w:p>
        </w:tc>
      </w:tr>
      <w:tr w:rsidR="00C25CE9" w:rsidRPr="00CC7832" w14:paraId="754FA48A" w14:textId="77777777" w:rsidTr="00265887">
        <w:tc>
          <w:tcPr>
            <w:tcW w:w="2127" w:type="dxa"/>
          </w:tcPr>
          <w:p w14:paraId="0A57692D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66AA236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Improving conceptual and clinical integration</w:t>
            </w:r>
          </w:p>
        </w:tc>
        <w:tc>
          <w:tcPr>
            <w:tcW w:w="2126" w:type="dxa"/>
          </w:tcPr>
          <w:p w14:paraId="53DDDAAA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Clinical contextualization of content</w:t>
            </w:r>
          </w:p>
        </w:tc>
        <w:tc>
          <w:tcPr>
            <w:tcW w:w="3261" w:type="dxa"/>
          </w:tcPr>
          <w:p w14:paraId="011A9EED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Case-based or problem-based learning</w:t>
            </w:r>
          </w:p>
        </w:tc>
      </w:tr>
      <w:tr w:rsidR="00C25CE9" w:rsidRPr="00CC7832" w14:paraId="290DA7D3" w14:textId="77777777" w:rsidTr="00265887">
        <w:tc>
          <w:tcPr>
            <w:tcW w:w="2127" w:type="dxa"/>
          </w:tcPr>
          <w:p w14:paraId="0B68360D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37EE4FBD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4C75D648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14:paraId="5FAA7314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Explicit linkage between basic sciences and clinical reasoning</w:t>
            </w:r>
          </w:p>
        </w:tc>
      </w:tr>
      <w:tr w:rsidR="00C25CE9" w:rsidRPr="00CC7832" w14:paraId="2F0ECD3C" w14:textId="77777777" w:rsidTr="00265887">
        <w:tc>
          <w:tcPr>
            <w:tcW w:w="2127" w:type="dxa"/>
          </w:tcPr>
          <w:p w14:paraId="0BEC102A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7A34CBCF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Pedagogical innovation</w:t>
            </w:r>
          </w:p>
        </w:tc>
        <w:tc>
          <w:tcPr>
            <w:tcW w:w="2126" w:type="dxa"/>
          </w:tcPr>
          <w:p w14:paraId="567BB903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Active learning strategies</w:t>
            </w:r>
          </w:p>
        </w:tc>
        <w:tc>
          <w:tcPr>
            <w:tcW w:w="3261" w:type="dxa"/>
          </w:tcPr>
          <w:p w14:paraId="637588D2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Small-group discussions</w:t>
            </w:r>
          </w:p>
        </w:tc>
      </w:tr>
      <w:tr w:rsidR="00C25CE9" w:rsidRPr="00CC7832" w14:paraId="3FF926B3" w14:textId="77777777" w:rsidTr="00265887">
        <w:tc>
          <w:tcPr>
            <w:tcW w:w="2127" w:type="dxa"/>
          </w:tcPr>
          <w:p w14:paraId="65E454AE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039187E8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011789F4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14:paraId="7F1411BB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Interactive and technology-enhanced learning</w:t>
            </w:r>
          </w:p>
        </w:tc>
      </w:tr>
      <w:tr w:rsidR="00C25CE9" w:rsidRPr="00CC7832" w14:paraId="4E7B0422" w14:textId="77777777" w:rsidTr="00265887">
        <w:tc>
          <w:tcPr>
            <w:tcW w:w="2127" w:type="dxa"/>
          </w:tcPr>
          <w:p w14:paraId="544E7878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61706C75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Faculty development and institutional support</w:t>
            </w:r>
          </w:p>
        </w:tc>
        <w:tc>
          <w:tcPr>
            <w:tcW w:w="2126" w:type="dxa"/>
          </w:tcPr>
          <w:p w14:paraId="30FDAEAE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Capacity building for facilitators</w:t>
            </w:r>
          </w:p>
        </w:tc>
        <w:tc>
          <w:tcPr>
            <w:tcW w:w="3261" w:type="dxa"/>
          </w:tcPr>
          <w:p w14:paraId="0F230B73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Training in pedagogy and curriculum design</w:t>
            </w:r>
          </w:p>
        </w:tc>
      </w:tr>
      <w:tr w:rsidR="00C25CE9" w:rsidRPr="00CC7832" w14:paraId="51F493DC" w14:textId="77777777" w:rsidTr="00265887">
        <w:tc>
          <w:tcPr>
            <w:tcW w:w="2127" w:type="dxa"/>
          </w:tcPr>
          <w:p w14:paraId="605A5F85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060F62FD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17552615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14:paraId="38A2A083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Support for adapting teaching to generational characteristics</w:t>
            </w:r>
          </w:p>
        </w:tc>
      </w:tr>
      <w:tr w:rsidR="00C25CE9" w:rsidRPr="00CC7832" w14:paraId="61603C70" w14:textId="77777777" w:rsidTr="00265887">
        <w:tc>
          <w:tcPr>
            <w:tcW w:w="2127" w:type="dxa"/>
          </w:tcPr>
          <w:p w14:paraId="2ED949B2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60ED0548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7FF09044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Curricular and structural support</w:t>
            </w:r>
          </w:p>
        </w:tc>
        <w:tc>
          <w:tcPr>
            <w:tcW w:w="3261" w:type="dxa"/>
          </w:tcPr>
          <w:p w14:paraId="4ADB7D3C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Streamlining content load</w:t>
            </w:r>
          </w:p>
        </w:tc>
      </w:tr>
      <w:tr w:rsidR="00C25CE9" w:rsidRPr="00CC7832" w14:paraId="2E5ADD26" w14:textId="77777777" w:rsidTr="00265887">
        <w:tc>
          <w:tcPr>
            <w:tcW w:w="2127" w:type="dxa"/>
          </w:tcPr>
          <w:p w14:paraId="43FB8621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235579FB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21354B6E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14:paraId="149B8C1C" w14:textId="77777777" w:rsidR="00C25CE9" w:rsidRPr="00CC7832" w:rsidRDefault="00C25CE9" w:rsidP="002658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832">
              <w:rPr>
                <w:rFonts w:ascii="Times New Roman" w:hAnsi="Times New Roman" w:cs="Times New Roman"/>
                <w:sz w:val="20"/>
                <w:szCs w:val="20"/>
              </w:rPr>
              <w:t>Aligning program objectives with institutional commitment</w:t>
            </w:r>
          </w:p>
        </w:tc>
      </w:tr>
      <w:bookmarkEnd w:id="0"/>
    </w:tbl>
    <w:p w14:paraId="6EE2BF83" w14:textId="77777777" w:rsidR="00C25CE9" w:rsidRPr="00962200" w:rsidRDefault="00C25CE9" w:rsidP="00C25CE9">
      <w:pPr>
        <w:spacing w:line="480" w:lineRule="auto"/>
        <w:jc w:val="both"/>
        <w:rPr>
          <w:rFonts w:ascii="Times New Roman" w:hAnsi="Times New Roman" w:cs="Times New Roman"/>
        </w:rPr>
      </w:pPr>
    </w:p>
    <w:p w14:paraId="232AA091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CE9"/>
    <w:rsid w:val="00492FA3"/>
    <w:rsid w:val="005C0D39"/>
    <w:rsid w:val="0070406C"/>
    <w:rsid w:val="00724754"/>
    <w:rsid w:val="00C25CE9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79C76"/>
  <w15:chartTrackingRefBased/>
  <w15:docId w15:val="{FA644933-976F-4CA1-A895-B4C0868D5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5CE9"/>
    <w:rPr>
      <w:lang w:val="en-ID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5C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5C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5C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5C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5C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5C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5C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5C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5C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5C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5C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5C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5C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5C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5C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5C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5C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5C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5C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C25C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5C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C25C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5CE9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C25C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5CE9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C25C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5C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5C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5CE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25CE9"/>
    <w:pPr>
      <w:spacing w:after="0" w:line="240" w:lineRule="auto"/>
    </w:pPr>
    <w:rPr>
      <w:lang w:val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579</Words>
  <Characters>3782</Characters>
  <Application>Microsoft Office Word</Application>
  <DocSecurity>0</DocSecurity>
  <Lines>118</Lines>
  <Paragraphs>47</Paragraphs>
  <ScaleCrop>false</ScaleCrop>
  <Company/>
  <LinksUpToDate>false</LinksUpToDate>
  <CharactersWithSpaces>4314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2026-01-14T09:06:00Z</dcterms:created>
  <dcterms:modified xsi:type="dcterms:W3CDTF">2026-01-14T09:06:00Z</dcterms:modified>
</cp:coreProperties>
</file>