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1481" w14:textId="309AA1D0" w:rsidR="00C67B00" w:rsidRPr="00CD6C3D" w:rsidRDefault="00435617" w:rsidP="00172F4C">
      <w:pPr>
        <w:rPr>
          <w:rFonts w:ascii="Times New Roman" w:hAnsi="Times New Roman" w:cs="Times New Roman"/>
          <w:b/>
          <w:bCs/>
        </w:rPr>
      </w:pPr>
      <w:r w:rsidRPr="00171756">
        <w:rPr>
          <w:rFonts w:ascii="Times New Roman" w:hAnsi="Times New Roman" w:cs="Times New Roman"/>
          <w:b/>
          <w:bCs/>
        </w:rPr>
        <w:t>A</w:t>
      </w:r>
      <w:r w:rsidR="00597054">
        <w:rPr>
          <w:rFonts w:ascii="Times New Roman" w:hAnsi="Times New Roman" w:cs="Times New Roman"/>
          <w:b/>
          <w:bCs/>
        </w:rPr>
        <w:t>dditional File 1</w:t>
      </w:r>
      <w:r w:rsidR="00171756" w:rsidRPr="00171756">
        <w:rPr>
          <w:rFonts w:ascii="Times New Roman" w:hAnsi="Times New Roman" w:cs="Times New Roman"/>
          <w:b/>
          <w:bCs/>
        </w:rPr>
        <w:t>:</w:t>
      </w:r>
      <w:r w:rsidRPr="00171756">
        <w:rPr>
          <w:rFonts w:ascii="Times New Roman" w:hAnsi="Times New Roman" w:cs="Times New Roman"/>
          <w:b/>
          <w:bCs/>
        </w:rPr>
        <w:t xml:space="preserve"> </w:t>
      </w:r>
      <w:r w:rsidR="00BD104D" w:rsidRPr="00171756">
        <w:rPr>
          <w:rFonts w:ascii="Times New Roman" w:hAnsi="Times New Roman" w:cs="Times New Roman"/>
          <w:b/>
          <w:bCs/>
        </w:rPr>
        <w:t>C</w:t>
      </w:r>
      <w:r w:rsidR="00171756">
        <w:rPr>
          <w:rFonts w:ascii="Times New Roman" w:hAnsi="Times New Roman" w:cs="Times New Roman"/>
          <w:b/>
          <w:bCs/>
        </w:rPr>
        <w:t>o</w:t>
      </w:r>
      <w:r w:rsidR="00BD104D" w:rsidRPr="00171756">
        <w:rPr>
          <w:rFonts w:ascii="Times New Roman" w:hAnsi="Times New Roman" w:cs="Times New Roman"/>
          <w:b/>
          <w:bCs/>
        </w:rPr>
        <w:t xml:space="preserve">nsolidated criteria for </w:t>
      </w:r>
      <w:r w:rsidR="00171756">
        <w:rPr>
          <w:rFonts w:ascii="Times New Roman" w:hAnsi="Times New Roman" w:cs="Times New Roman"/>
          <w:b/>
          <w:bCs/>
        </w:rPr>
        <w:t>Re</w:t>
      </w:r>
      <w:r w:rsidR="00BD104D" w:rsidRPr="00171756">
        <w:rPr>
          <w:rFonts w:ascii="Times New Roman" w:hAnsi="Times New Roman" w:cs="Times New Roman"/>
          <w:b/>
          <w:bCs/>
        </w:rPr>
        <w:t xml:space="preserve">porting </w:t>
      </w:r>
      <w:r w:rsidR="00171756">
        <w:rPr>
          <w:rFonts w:ascii="Times New Roman" w:hAnsi="Times New Roman" w:cs="Times New Roman"/>
          <w:b/>
          <w:bCs/>
        </w:rPr>
        <w:t>Q</w:t>
      </w:r>
      <w:r w:rsidR="00BD104D" w:rsidRPr="00171756">
        <w:rPr>
          <w:rFonts w:ascii="Times New Roman" w:hAnsi="Times New Roman" w:cs="Times New Roman"/>
          <w:b/>
          <w:bCs/>
        </w:rPr>
        <w:t>ualitative studies (</w:t>
      </w:r>
      <w:proofErr w:type="spellStart"/>
      <w:r w:rsidR="00BD104D" w:rsidRPr="00171756">
        <w:rPr>
          <w:rFonts w:ascii="Times New Roman" w:hAnsi="Times New Roman" w:cs="Times New Roman"/>
          <w:b/>
          <w:bCs/>
        </w:rPr>
        <w:t>C</w:t>
      </w:r>
      <w:r w:rsidR="00171756">
        <w:rPr>
          <w:rFonts w:ascii="Times New Roman" w:hAnsi="Times New Roman" w:cs="Times New Roman"/>
          <w:b/>
          <w:bCs/>
        </w:rPr>
        <w:t>o</w:t>
      </w:r>
      <w:r w:rsidR="00BD104D" w:rsidRPr="00171756">
        <w:rPr>
          <w:rFonts w:ascii="Times New Roman" w:hAnsi="Times New Roman" w:cs="Times New Roman"/>
          <w:b/>
          <w:bCs/>
        </w:rPr>
        <w:t>R</w:t>
      </w:r>
      <w:r w:rsidR="00171756">
        <w:rPr>
          <w:rFonts w:ascii="Times New Roman" w:hAnsi="Times New Roman" w:cs="Times New Roman"/>
          <w:b/>
          <w:bCs/>
        </w:rPr>
        <w:t>e</w:t>
      </w:r>
      <w:r w:rsidR="00BD104D" w:rsidRPr="00171756">
        <w:rPr>
          <w:rFonts w:ascii="Times New Roman" w:hAnsi="Times New Roman" w:cs="Times New Roman"/>
          <w:b/>
          <w:bCs/>
        </w:rPr>
        <w:t>Q</w:t>
      </w:r>
      <w:proofErr w:type="spellEnd"/>
      <w:r w:rsidR="00BD104D" w:rsidRPr="00171756">
        <w:rPr>
          <w:rFonts w:ascii="Times New Roman" w:hAnsi="Times New Roman" w:cs="Times New Roman"/>
          <w:b/>
          <w:bCs/>
        </w:rPr>
        <w:t>) 32-item checklist</w:t>
      </w:r>
      <w:r w:rsidR="00CD6C3D">
        <w:rPr>
          <w:rFonts w:ascii="Times New Roman" w:hAnsi="Times New Roman" w:cs="Times New Roman"/>
          <w:b/>
          <w:bCs/>
          <w:vertAlign w:val="superscript"/>
        </w:rPr>
        <w:t>1</w:t>
      </w:r>
    </w:p>
    <w:p w14:paraId="6595D5A0" w14:textId="77777777" w:rsidR="00171756" w:rsidRPr="00BD104D" w:rsidRDefault="00171756" w:rsidP="00172F4C">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505"/>
        <w:gridCol w:w="7285"/>
      </w:tblGrid>
      <w:tr w:rsidR="00BD104D" w:rsidRPr="00172F4C" w14:paraId="0471A6B8" w14:textId="77777777" w:rsidTr="00F459AC">
        <w:tc>
          <w:tcPr>
            <w:tcW w:w="3505" w:type="dxa"/>
          </w:tcPr>
          <w:p w14:paraId="3B3EB6CC" w14:textId="6EB090D0"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Item</w:t>
            </w:r>
          </w:p>
        </w:tc>
        <w:tc>
          <w:tcPr>
            <w:tcW w:w="7285" w:type="dxa"/>
          </w:tcPr>
          <w:p w14:paraId="037A4339" w14:textId="404B51F1"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Description</w:t>
            </w:r>
          </w:p>
        </w:tc>
      </w:tr>
      <w:tr w:rsidR="00BD104D" w:rsidRPr="00172F4C" w14:paraId="2879DF6A" w14:textId="77777777" w:rsidTr="00172F4C">
        <w:tc>
          <w:tcPr>
            <w:tcW w:w="10790" w:type="dxa"/>
            <w:gridSpan w:val="2"/>
          </w:tcPr>
          <w:p w14:paraId="56702CF7" w14:textId="78DEB9D3" w:rsidR="00BD104D" w:rsidRPr="00172F4C" w:rsidRDefault="00BD104D" w:rsidP="00172F4C">
            <w:pPr>
              <w:rPr>
                <w:rFonts w:ascii="Times New Roman" w:hAnsi="Times New Roman" w:cs="Times New Roman"/>
                <w:b/>
                <w:bCs/>
                <w:sz w:val="22"/>
                <w:szCs w:val="22"/>
              </w:rPr>
            </w:pPr>
            <w:r w:rsidRPr="00172F4C">
              <w:rPr>
                <w:rFonts w:ascii="Times New Roman" w:hAnsi="Times New Roman" w:cs="Times New Roman"/>
                <w:b/>
                <w:bCs/>
                <w:sz w:val="22"/>
                <w:szCs w:val="22"/>
              </w:rPr>
              <w:t xml:space="preserve">Domain 1: Research </w:t>
            </w:r>
            <w:r w:rsidR="00883985" w:rsidRPr="00172F4C">
              <w:rPr>
                <w:rFonts w:ascii="Times New Roman" w:hAnsi="Times New Roman" w:cs="Times New Roman"/>
                <w:b/>
                <w:bCs/>
                <w:sz w:val="22"/>
                <w:szCs w:val="22"/>
              </w:rPr>
              <w:t>T</w:t>
            </w:r>
            <w:r w:rsidRPr="00172F4C">
              <w:rPr>
                <w:rFonts w:ascii="Times New Roman" w:hAnsi="Times New Roman" w:cs="Times New Roman"/>
                <w:b/>
                <w:bCs/>
                <w:sz w:val="22"/>
                <w:szCs w:val="22"/>
              </w:rPr>
              <w:t xml:space="preserve">eam and </w:t>
            </w:r>
            <w:r w:rsidR="00883985" w:rsidRPr="00172F4C">
              <w:rPr>
                <w:rFonts w:ascii="Times New Roman" w:hAnsi="Times New Roman" w:cs="Times New Roman"/>
                <w:b/>
                <w:bCs/>
                <w:sz w:val="22"/>
                <w:szCs w:val="22"/>
              </w:rPr>
              <w:t>R</w:t>
            </w:r>
            <w:r w:rsidRPr="00172F4C">
              <w:rPr>
                <w:rFonts w:ascii="Times New Roman" w:hAnsi="Times New Roman" w:cs="Times New Roman"/>
                <w:b/>
                <w:bCs/>
                <w:sz w:val="22"/>
                <w:szCs w:val="22"/>
              </w:rPr>
              <w:t>eflexivity</w:t>
            </w:r>
          </w:p>
        </w:tc>
      </w:tr>
      <w:tr w:rsidR="00C068A3" w:rsidRPr="00172F4C" w14:paraId="266CAE8E" w14:textId="77777777" w:rsidTr="00F459AC">
        <w:tc>
          <w:tcPr>
            <w:tcW w:w="3505" w:type="dxa"/>
          </w:tcPr>
          <w:p w14:paraId="6B3E65E6" w14:textId="7A75F347" w:rsidR="00C068A3" w:rsidRPr="00172F4C" w:rsidRDefault="00C068A3" w:rsidP="00172F4C">
            <w:pPr>
              <w:rPr>
                <w:rFonts w:ascii="Times New Roman" w:hAnsi="Times New Roman" w:cs="Times New Roman"/>
                <w:sz w:val="22"/>
                <w:szCs w:val="22"/>
              </w:rPr>
            </w:pPr>
            <w:r w:rsidRPr="00172F4C">
              <w:rPr>
                <w:rFonts w:ascii="Times New Roman" w:hAnsi="Times New Roman" w:cs="Times New Roman"/>
                <w:sz w:val="22"/>
                <w:szCs w:val="22"/>
              </w:rPr>
              <w:t>Personal Characteristics</w:t>
            </w:r>
          </w:p>
        </w:tc>
        <w:tc>
          <w:tcPr>
            <w:tcW w:w="7285" w:type="dxa"/>
          </w:tcPr>
          <w:p w14:paraId="53D82768" w14:textId="77777777" w:rsidR="00C068A3" w:rsidRPr="00172F4C" w:rsidRDefault="00C068A3" w:rsidP="00172F4C">
            <w:pPr>
              <w:rPr>
                <w:rFonts w:ascii="Times New Roman" w:hAnsi="Times New Roman" w:cs="Times New Roman"/>
                <w:sz w:val="22"/>
                <w:szCs w:val="22"/>
              </w:rPr>
            </w:pPr>
          </w:p>
        </w:tc>
      </w:tr>
      <w:tr w:rsidR="00BD104D" w:rsidRPr="00172F4C" w14:paraId="629A4BAC" w14:textId="77777777" w:rsidTr="00F459AC">
        <w:tc>
          <w:tcPr>
            <w:tcW w:w="3505" w:type="dxa"/>
          </w:tcPr>
          <w:p w14:paraId="667CBD9F" w14:textId="5FC2C541" w:rsidR="00BD104D" w:rsidRPr="00172F4C" w:rsidRDefault="00BD104D"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Interviewer/facilitator</w:t>
            </w:r>
          </w:p>
        </w:tc>
        <w:tc>
          <w:tcPr>
            <w:tcW w:w="7285" w:type="dxa"/>
          </w:tcPr>
          <w:p w14:paraId="7F1EFB44" w14:textId="42B1AEB7"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Authors JJC and EAK conducted the interviews. </w:t>
            </w:r>
          </w:p>
        </w:tc>
      </w:tr>
      <w:tr w:rsidR="00BD104D" w:rsidRPr="00172F4C" w14:paraId="739C1DAD" w14:textId="77777777" w:rsidTr="00F459AC">
        <w:tc>
          <w:tcPr>
            <w:tcW w:w="3505" w:type="dxa"/>
          </w:tcPr>
          <w:p w14:paraId="5455FBF2" w14:textId="5D9C59B9" w:rsidR="00BD104D" w:rsidRPr="00172F4C" w:rsidRDefault="00BD104D"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Credentials</w:t>
            </w:r>
          </w:p>
        </w:tc>
        <w:tc>
          <w:tcPr>
            <w:tcW w:w="7285" w:type="dxa"/>
          </w:tcPr>
          <w:p w14:paraId="3E202E47" w14:textId="32EEBB81"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JJC: MD. EAK: MPH. AS: MS. JBB: PhD, MPE. CAG: MD, PhD.</w:t>
            </w:r>
          </w:p>
        </w:tc>
      </w:tr>
      <w:tr w:rsidR="00BD104D" w:rsidRPr="00172F4C" w14:paraId="2F4E5317" w14:textId="77777777" w:rsidTr="00F459AC">
        <w:tc>
          <w:tcPr>
            <w:tcW w:w="3505" w:type="dxa"/>
          </w:tcPr>
          <w:p w14:paraId="472B7C6B" w14:textId="5DF7C205" w:rsidR="00BD104D" w:rsidRPr="00172F4C" w:rsidRDefault="00BD104D"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Occupation</w:t>
            </w:r>
          </w:p>
        </w:tc>
        <w:tc>
          <w:tcPr>
            <w:tcW w:w="7285" w:type="dxa"/>
          </w:tcPr>
          <w:p w14:paraId="22DC3BB4" w14:textId="5AB876E0" w:rsidR="00ED0025"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JJC: </w:t>
            </w:r>
            <w:r w:rsidR="00ED0025" w:rsidRPr="00172F4C">
              <w:rPr>
                <w:rFonts w:ascii="Times New Roman" w:hAnsi="Times New Roman" w:cs="Times New Roman"/>
                <w:sz w:val="22"/>
                <w:szCs w:val="22"/>
              </w:rPr>
              <w:t>Study start</w:t>
            </w:r>
            <w:r w:rsidR="00F02224" w:rsidRPr="00172F4C">
              <w:rPr>
                <w:rFonts w:ascii="Times New Roman" w:hAnsi="Times New Roman" w:cs="Times New Roman"/>
                <w:sz w:val="22"/>
                <w:szCs w:val="22"/>
              </w:rPr>
              <w:t xml:space="preserve"> – J</w:t>
            </w:r>
            <w:r w:rsidR="00ED0025" w:rsidRPr="00172F4C">
              <w:rPr>
                <w:rFonts w:ascii="Times New Roman" w:hAnsi="Times New Roman" w:cs="Times New Roman"/>
                <w:sz w:val="22"/>
                <w:szCs w:val="22"/>
              </w:rPr>
              <w:t>une 2023 = C</w:t>
            </w:r>
            <w:r w:rsidRPr="00172F4C">
              <w:rPr>
                <w:rFonts w:ascii="Times New Roman" w:hAnsi="Times New Roman" w:cs="Times New Roman"/>
                <w:sz w:val="22"/>
                <w:szCs w:val="22"/>
              </w:rPr>
              <w:t>linical fellow in pediatric neurology/neurogenetics.</w:t>
            </w:r>
            <w:r w:rsidR="00ED0025" w:rsidRPr="00172F4C">
              <w:rPr>
                <w:rFonts w:ascii="Times New Roman" w:hAnsi="Times New Roman" w:cs="Times New Roman"/>
                <w:sz w:val="22"/>
                <w:szCs w:val="22"/>
              </w:rPr>
              <w:t xml:space="preserve"> July 2023</w:t>
            </w:r>
            <w:r w:rsidR="00F02224" w:rsidRPr="00172F4C">
              <w:rPr>
                <w:rFonts w:ascii="Times New Roman" w:hAnsi="Times New Roman" w:cs="Times New Roman"/>
                <w:sz w:val="22"/>
                <w:szCs w:val="22"/>
              </w:rPr>
              <w:t xml:space="preserve"> – c</w:t>
            </w:r>
            <w:r w:rsidR="00ED0025" w:rsidRPr="00172F4C">
              <w:rPr>
                <w:rFonts w:ascii="Times New Roman" w:hAnsi="Times New Roman" w:cs="Times New Roman"/>
                <w:sz w:val="22"/>
                <w:szCs w:val="22"/>
              </w:rPr>
              <w:t>urrent = Assistant professor of pediatrics in the section of neurology</w:t>
            </w:r>
          </w:p>
          <w:p w14:paraId="52751B78" w14:textId="545BE26B" w:rsidR="00ED0025"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EAK: </w:t>
            </w:r>
            <w:r w:rsidR="00ED0025" w:rsidRPr="00172F4C">
              <w:rPr>
                <w:rFonts w:ascii="Times New Roman" w:hAnsi="Times New Roman" w:cs="Times New Roman"/>
                <w:sz w:val="22"/>
                <w:szCs w:val="22"/>
              </w:rPr>
              <w:t xml:space="preserve">Study start – June 2023 = </w:t>
            </w:r>
            <w:r w:rsidR="00F02224" w:rsidRPr="00172F4C">
              <w:rPr>
                <w:rFonts w:ascii="Times New Roman" w:hAnsi="Times New Roman" w:cs="Times New Roman"/>
                <w:sz w:val="22"/>
                <w:szCs w:val="22"/>
              </w:rPr>
              <w:t>C</w:t>
            </w:r>
            <w:r w:rsidR="00F73536" w:rsidRPr="00172F4C">
              <w:rPr>
                <w:rFonts w:ascii="Times New Roman" w:hAnsi="Times New Roman" w:cs="Times New Roman"/>
                <w:sz w:val="22"/>
                <w:szCs w:val="22"/>
              </w:rPr>
              <w:t xml:space="preserve">linical research assistant, </w:t>
            </w:r>
            <w:r w:rsidRPr="00172F4C">
              <w:rPr>
                <w:rFonts w:ascii="Times New Roman" w:hAnsi="Times New Roman" w:cs="Times New Roman"/>
                <w:sz w:val="22"/>
                <w:szCs w:val="22"/>
              </w:rPr>
              <w:t xml:space="preserve">MPH student. </w:t>
            </w:r>
            <w:r w:rsidR="00ED0025" w:rsidRPr="00172F4C">
              <w:rPr>
                <w:rFonts w:ascii="Times New Roman" w:hAnsi="Times New Roman" w:cs="Times New Roman"/>
                <w:sz w:val="22"/>
                <w:szCs w:val="22"/>
              </w:rPr>
              <w:t xml:space="preserve">July 2023 – current: PhD student in public health. </w:t>
            </w:r>
          </w:p>
          <w:p w14:paraId="0C886620" w14:textId="77777777" w:rsidR="00ED0025"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AS: </w:t>
            </w:r>
            <w:r w:rsidR="00ED0025" w:rsidRPr="00172F4C">
              <w:rPr>
                <w:rFonts w:ascii="Times New Roman" w:hAnsi="Times New Roman" w:cs="Times New Roman"/>
                <w:sz w:val="22"/>
                <w:szCs w:val="22"/>
              </w:rPr>
              <w:t>Study start – current = C</w:t>
            </w:r>
            <w:r w:rsidRPr="00172F4C">
              <w:rPr>
                <w:rFonts w:ascii="Times New Roman" w:hAnsi="Times New Roman" w:cs="Times New Roman"/>
                <w:sz w:val="22"/>
                <w:szCs w:val="22"/>
              </w:rPr>
              <w:t xml:space="preserve">linical research coordinator. </w:t>
            </w:r>
          </w:p>
          <w:p w14:paraId="1C32B0C0" w14:textId="77777777" w:rsidR="00ED0025"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JBB: </w:t>
            </w:r>
            <w:r w:rsidR="00ED0025" w:rsidRPr="00172F4C">
              <w:rPr>
                <w:rFonts w:ascii="Times New Roman" w:hAnsi="Times New Roman" w:cs="Times New Roman"/>
                <w:sz w:val="22"/>
                <w:szCs w:val="22"/>
              </w:rPr>
              <w:t>Study start – current = F</w:t>
            </w:r>
            <w:r w:rsidRPr="00172F4C">
              <w:rPr>
                <w:rFonts w:ascii="Times New Roman" w:hAnsi="Times New Roman" w:cs="Times New Roman"/>
                <w:sz w:val="22"/>
                <w:szCs w:val="22"/>
              </w:rPr>
              <w:t xml:space="preserve">aculty researcher in health disparities and community engagement. </w:t>
            </w:r>
          </w:p>
          <w:p w14:paraId="3F2FFECA" w14:textId="3363C461"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CAG: </w:t>
            </w:r>
            <w:r w:rsidR="00ED0025" w:rsidRPr="00172F4C">
              <w:rPr>
                <w:rFonts w:ascii="Times New Roman" w:hAnsi="Times New Roman" w:cs="Times New Roman"/>
                <w:sz w:val="22"/>
                <w:szCs w:val="22"/>
              </w:rPr>
              <w:t>Study start – current = F</w:t>
            </w:r>
            <w:r w:rsidRPr="00172F4C">
              <w:rPr>
                <w:rFonts w:ascii="Times New Roman" w:hAnsi="Times New Roman" w:cs="Times New Roman"/>
                <w:sz w:val="22"/>
                <w:szCs w:val="22"/>
              </w:rPr>
              <w:t xml:space="preserve">aculty clinician scientist in neurogenetics. </w:t>
            </w:r>
          </w:p>
        </w:tc>
      </w:tr>
      <w:tr w:rsidR="00BD104D" w:rsidRPr="00172F4C" w14:paraId="5CA570FD" w14:textId="77777777" w:rsidTr="00F459AC">
        <w:tc>
          <w:tcPr>
            <w:tcW w:w="3505" w:type="dxa"/>
          </w:tcPr>
          <w:p w14:paraId="6C13B0EC" w14:textId="3948A05E" w:rsidR="00BD104D" w:rsidRPr="00172F4C" w:rsidRDefault="00BD104D"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Gender</w:t>
            </w:r>
          </w:p>
        </w:tc>
        <w:tc>
          <w:tcPr>
            <w:tcW w:w="7285" w:type="dxa"/>
          </w:tcPr>
          <w:p w14:paraId="4A77452B" w14:textId="16F4FC9E"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All of the researchers identified as female. </w:t>
            </w:r>
          </w:p>
        </w:tc>
      </w:tr>
      <w:tr w:rsidR="00BD104D" w:rsidRPr="00172F4C" w14:paraId="3199A573" w14:textId="77777777" w:rsidTr="00F459AC">
        <w:tc>
          <w:tcPr>
            <w:tcW w:w="3505" w:type="dxa"/>
          </w:tcPr>
          <w:p w14:paraId="17DB4CCA" w14:textId="3822CEFA" w:rsidR="00BD104D" w:rsidRPr="00172F4C" w:rsidRDefault="00BD104D"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Experience and training</w:t>
            </w:r>
          </w:p>
        </w:tc>
        <w:tc>
          <w:tcPr>
            <w:tcW w:w="7285" w:type="dxa"/>
          </w:tcPr>
          <w:p w14:paraId="62F2B083" w14:textId="7BF8EBF6" w:rsidR="00BD104D" w:rsidRPr="00172F4C" w:rsidRDefault="00BD104D" w:rsidP="00172F4C">
            <w:pPr>
              <w:rPr>
                <w:rFonts w:ascii="Times New Roman" w:hAnsi="Times New Roman" w:cs="Times New Roman"/>
                <w:sz w:val="22"/>
                <w:szCs w:val="22"/>
              </w:rPr>
            </w:pPr>
            <w:r w:rsidRPr="00172F4C">
              <w:rPr>
                <w:rFonts w:ascii="Times New Roman" w:hAnsi="Times New Roman" w:cs="Times New Roman"/>
                <w:sz w:val="22"/>
                <w:szCs w:val="22"/>
              </w:rPr>
              <w:t xml:space="preserve">JJC: </w:t>
            </w:r>
            <w:r w:rsidR="00F459AC" w:rsidRPr="00172F4C">
              <w:rPr>
                <w:rFonts w:ascii="Times New Roman" w:hAnsi="Times New Roman" w:cs="Times New Roman"/>
                <w:sz w:val="22"/>
                <w:szCs w:val="22"/>
              </w:rPr>
              <w:t xml:space="preserve">Six years of training and </w:t>
            </w:r>
            <w:r w:rsidRPr="00172F4C">
              <w:rPr>
                <w:rFonts w:ascii="Times New Roman" w:hAnsi="Times New Roman" w:cs="Times New Roman"/>
                <w:sz w:val="22"/>
                <w:szCs w:val="22"/>
              </w:rPr>
              <w:t>clinical experience in pediatric neurology</w:t>
            </w:r>
            <w:r w:rsidR="00F459AC" w:rsidRPr="00172F4C">
              <w:rPr>
                <w:rFonts w:ascii="Times New Roman" w:hAnsi="Times New Roman" w:cs="Times New Roman"/>
                <w:sz w:val="22"/>
                <w:szCs w:val="22"/>
              </w:rPr>
              <w:t>/neurogenetics</w:t>
            </w:r>
            <w:r w:rsidRPr="00172F4C">
              <w:rPr>
                <w:rFonts w:ascii="Times New Roman" w:hAnsi="Times New Roman" w:cs="Times New Roman"/>
                <w:sz w:val="22"/>
                <w:szCs w:val="22"/>
              </w:rPr>
              <w:t xml:space="preserve">. </w:t>
            </w:r>
            <w:r w:rsidR="00D62513" w:rsidRPr="00172F4C">
              <w:rPr>
                <w:rFonts w:ascii="Times New Roman" w:hAnsi="Times New Roman" w:cs="Times New Roman"/>
                <w:sz w:val="22"/>
                <w:szCs w:val="22"/>
              </w:rPr>
              <w:t>T</w:t>
            </w:r>
            <w:r w:rsidRPr="00172F4C">
              <w:rPr>
                <w:rFonts w:ascii="Times New Roman" w:hAnsi="Times New Roman" w:cs="Times New Roman"/>
                <w:sz w:val="22"/>
                <w:szCs w:val="22"/>
              </w:rPr>
              <w:t xml:space="preserve">raining in qualitative research through mentorship by JBB, partnership with EAK, </w:t>
            </w:r>
            <w:r w:rsidR="00D62513" w:rsidRPr="00172F4C">
              <w:rPr>
                <w:rFonts w:ascii="Times New Roman" w:hAnsi="Times New Roman" w:cs="Times New Roman"/>
                <w:sz w:val="22"/>
                <w:szCs w:val="22"/>
              </w:rPr>
              <w:t xml:space="preserve">participation in the University of Colorado Anschutz Medical Campus Adult &amp; Child Center for Outcomes Research &amp; Delivery Science (ACCORDS)  Qualitative Research Workshop and Surgical/subspecialty Clinical Outcomes Research (SCORE) fellowship program. </w:t>
            </w:r>
          </w:p>
          <w:p w14:paraId="07AE4F57" w14:textId="7B564756" w:rsidR="00F459AC" w:rsidRPr="00172F4C" w:rsidRDefault="00F459AC" w:rsidP="00172F4C">
            <w:pPr>
              <w:rPr>
                <w:rFonts w:ascii="Times New Roman" w:hAnsi="Times New Roman" w:cs="Times New Roman"/>
                <w:sz w:val="22"/>
                <w:szCs w:val="22"/>
              </w:rPr>
            </w:pPr>
            <w:r w:rsidRPr="00172F4C">
              <w:rPr>
                <w:rFonts w:ascii="Times New Roman" w:hAnsi="Times New Roman" w:cs="Times New Roman"/>
                <w:sz w:val="22"/>
                <w:szCs w:val="22"/>
              </w:rPr>
              <w:t xml:space="preserve">EAK: </w:t>
            </w:r>
            <w:r w:rsidR="00ED0025" w:rsidRPr="00172F4C">
              <w:rPr>
                <w:rStyle w:val="apple-converted-space"/>
                <w:rFonts w:ascii="Aptos" w:hAnsi="Aptos"/>
                <w:color w:val="242424"/>
                <w:sz w:val="22"/>
                <w:szCs w:val="22"/>
                <w:shd w:val="clear" w:color="auto" w:fill="FFFFFF"/>
              </w:rPr>
              <w:t> </w:t>
            </w:r>
            <w:r w:rsidR="00ED0025" w:rsidRPr="00172F4C">
              <w:rPr>
                <w:rFonts w:ascii="Times New Roman" w:hAnsi="Times New Roman" w:cs="Times New Roman"/>
                <w:color w:val="242424"/>
                <w:sz w:val="22"/>
                <w:szCs w:val="22"/>
                <w:shd w:val="clear" w:color="auto" w:fill="FFFFFF"/>
              </w:rPr>
              <w:t>Three years of training and experience in community and behavioral health public health research. Clinical research experience in pediatric neurology through the Pediatric Student Research Program at Washington University in St. Louis School of Medicine. Training in qualitative research through Master of Public Health education at Saint Louis University and doctoral program coursework, research, and publications at the University of Iowa. Additional qualitative research training was completed through the Institute for Clinical and Translational Science at the University of Iowa.</w:t>
            </w:r>
          </w:p>
          <w:p w14:paraId="6A16B7B7" w14:textId="403234A7" w:rsidR="00F459AC" w:rsidRPr="00172F4C" w:rsidRDefault="00F459AC" w:rsidP="00172F4C">
            <w:pPr>
              <w:rPr>
                <w:rFonts w:ascii="Times New Roman" w:hAnsi="Times New Roman" w:cs="Times New Roman"/>
                <w:sz w:val="22"/>
                <w:szCs w:val="22"/>
              </w:rPr>
            </w:pPr>
            <w:r w:rsidRPr="00172F4C">
              <w:rPr>
                <w:rFonts w:ascii="Times New Roman" w:hAnsi="Times New Roman" w:cs="Times New Roman"/>
                <w:sz w:val="22"/>
                <w:szCs w:val="22"/>
              </w:rPr>
              <w:t xml:space="preserve">AS: </w:t>
            </w:r>
            <w:r w:rsidR="00D62513" w:rsidRPr="00172F4C">
              <w:rPr>
                <w:rFonts w:ascii="Times New Roman" w:hAnsi="Times New Roman" w:cs="Times New Roman"/>
                <w:sz w:val="22"/>
                <w:szCs w:val="22"/>
              </w:rPr>
              <w:t xml:space="preserve">Five years of experience as a clinical research coordinator at the authors’ academic Intellectual and Developmental Disabilities Research Center. </w:t>
            </w:r>
          </w:p>
          <w:p w14:paraId="48144DB7" w14:textId="592FDA34" w:rsidR="00F459AC" w:rsidRPr="00172F4C" w:rsidRDefault="00F459AC" w:rsidP="00172F4C">
            <w:pPr>
              <w:rPr>
                <w:rFonts w:ascii="Times New Roman" w:hAnsi="Times New Roman" w:cs="Times New Roman"/>
                <w:sz w:val="22"/>
                <w:szCs w:val="22"/>
              </w:rPr>
            </w:pPr>
            <w:r w:rsidRPr="00172F4C">
              <w:rPr>
                <w:rFonts w:ascii="Times New Roman" w:hAnsi="Times New Roman" w:cs="Times New Roman"/>
                <w:sz w:val="22"/>
                <w:szCs w:val="22"/>
              </w:rPr>
              <w:t>JBB:</w:t>
            </w:r>
            <w:r w:rsidR="00C068A3" w:rsidRPr="00172F4C">
              <w:rPr>
                <w:rFonts w:ascii="Times New Roman" w:hAnsi="Times New Roman" w:cs="Times New Roman"/>
                <w:sz w:val="22"/>
                <w:szCs w:val="22"/>
              </w:rPr>
              <w:t xml:space="preserve"> Over twenty years of experience as a health disparities scientist with expertise in community-engaged research. Extensive experience with qualitative and mixed methods. </w:t>
            </w:r>
          </w:p>
          <w:p w14:paraId="531D9994" w14:textId="652CF432" w:rsidR="00F459AC" w:rsidRPr="00172F4C" w:rsidRDefault="00F459AC" w:rsidP="00172F4C">
            <w:pPr>
              <w:rPr>
                <w:rFonts w:ascii="Times New Roman" w:hAnsi="Times New Roman" w:cs="Times New Roman"/>
                <w:sz w:val="22"/>
                <w:szCs w:val="22"/>
              </w:rPr>
            </w:pPr>
            <w:r w:rsidRPr="00172F4C">
              <w:rPr>
                <w:rFonts w:ascii="Times New Roman" w:hAnsi="Times New Roman" w:cs="Times New Roman"/>
                <w:sz w:val="22"/>
                <w:szCs w:val="22"/>
              </w:rPr>
              <w:t xml:space="preserve">CAG: </w:t>
            </w:r>
            <w:r w:rsidR="00C068A3" w:rsidRPr="00172F4C">
              <w:rPr>
                <w:rFonts w:ascii="Times New Roman" w:hAnsi="Times New Roman" w:cs="Times New Roman"/>
                <w:sz w:val="22"/>
                <w:szCs w:val="22"/>
              </w:rPr>
              <w:t>Twenty</w:t>
            </w:r>
            <w:r w:rsidRPr="00172F4C">
              <w:rPr>
                <w:rFonts w:ascii="Times New Roman" w:hAnsi="Times New Roman" w:cs="Times New Roman"/>
                <w:sz w:val="22"/>
                <w:szCs w:val="22"/>
              </w:rPr>
              <w:t xml:space="preserve"> years of clinical experience in pediatric neurology/neurogenetics. Extensive experience in research as primary investigator of studies </w:t>
            </w:r>
            <w:r w:rsidR="00C068A3" w:rsidRPr="00172F4C">
              <w:rPr>
                <w:rFonts w:ascii="Times New Roman" w:hAnsi="Times New Roman" w:cs="Times New Roman"/>
                <w:sz w:val="22"/>
                <w:szCs w:val="22"/>
              </w:rPr>
              <w:t xml:space="preserve">ranging from basic science to clinical gene discovery to community-based projects. </w:t>
            </w:r>
            <w:r w:rsidRPr="00172F4C">
              <w:rPr>
                <w:rFonts w:ascii="Times New Roman" w:hAnsi="Times New Roman" w:cs="Times New Roman"/>
                <w:sz w:val="22"/>
                <w:szCs w:val="22"/>
              </w:rPr>
              <w:t xml:space="preserve">   </w:t>
            </w:r>
          </w:p>
        </w:tc>
      </w:tr>
      <w:tr w:rsidR="00C068A3" w:rsidRPr="00172F4C" w14:paraId="0CD0AA02" w14:textId="77777777" w:rsidTr="00F459AC">
        <w:tc>
          <w:tcPr>
            <w:tcW w:w="3505" w:type="dxa"/>
          </w:tcPr>
          <w:p w14:paraId="237A658C" w14:textId="77C99907" w:rsidR="00C068A3" w:rsidRPr="00172F4C" w:rsidRDefault="00C068A3" w:rsidP="00172F4C">
            <w:pPr>
              <w:rPr>
                <w:rFonts w:ascii="Times New Roman" w:hAnsi="Times New Roman" w:cs="Times New Roman"/>
                <w:sz w:val="22"/>
                <w:szCs w:val="22"/>
              </w:rPr>
            </w:pPr>
            <w:r w:rsidRPr="00172F4C">
              <w:rPr>
                <w:rFonts w:ascii="Times New Roman" w:hAnsi="Times New Roman" w:cs="Times New Roman"/>
                <w:sz w:val="22"/>
                <w:szCs w:val="22"/>
              </w:rPr>
              <w:t xml:space="preserve">Relationship with </w:t>
            </w:r>
            <w:r w:rsidR="00883985" w:rsidRPr="00172F4C">
              <w:rPr>
                <w:rFonts w:ascii="Times New Roman" w:hAnsi="Times New Roman" w:cs="Times New Roman"/>
                <w:sz w:val="22"/>
                <w:szCs w:val="22"/>
              </w:rPr>
              <w:t>P</w:t>
            </w:r>
            <w:r w:rsidRPr="00172F4C">
              <w:rPr>
                <w:rFonts w:ascii="Times New Roman" w:hAnsi="Times New Roman" w:cs="Times New Roman"/>
                <w:sz w:val="22"/>
                <w:szCs w:val="22"/>
              </w:rPr>
              <w:t>articipants</w:t>
            </w:r>
          </w:p>
        </w:tc>
        <w:tc>
          <w:tcPr>
            <w:tcW w:w="7285" w:type="dxa"/>
          </w:tcPr>
          <w:p w14:paraId="299679F0" w14:textId="77777777" w:rsidR="00C068A3" w:rsidRPr="00172F4C" w:rsidRDefault="00C068A3" w:rsidP="00172F4C">
            <w:pPr>
              <w:rPr>
                <w:rFonts w:ascii="Times New Roman" w:hAnsi="Times New Roman" w:cs="Times New Roman"/>
                <w:sz w:val="22"/>
                <w:szCs w:val="22"/>
              </w:rPr>
            </w:pPr>
          </w:p>
        </w:tc>
      </w:tr>
      <w:tr w:rsidR="00C068A3" w:rsidRPr="00172F4C" w14:paraId="2A6C1A35" w14:textId="77777777" w:rsidTr="00F459AC">
        <w:tc>
          <w:tcPr>
            <w:tcW w:w="3505" w:type="dxa"/>
          </w:tcPr>
          <w:p w14:paraId="668EF678" w14:textId="191E1041" w:rsidR="00C068A3" w:rsidRPr="00172F4C" w:rsidRDefault="00C068A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Relationship established</w:t>
            </w:r>
          </w:p>
        </w:tc>
        <w:tc>
          <w:tcPr>
            <w:tcW w:w="7285" w:type="dxa"/>
          </w:tcPr>
          <w:p w14:paraId="159258FA" w14:textId="421A664A" w:rsidR="00C068A3" w:rsidRPr="00172F4C" w:rsidRDefault="00C068A3" w:rsidP="00172F4C">
            <w:pPr>
              <w:rPr>
                <w:rFonts w:ascii="Times New Roman" w:hAnsi="Times New Roman" w:cs="Times New Roman"/>
                <w:sz w:val="22"/>
                <w:szCs w:val="22"/>
              </w:rPr>
            </w:pPr>
            <w:r w:rsidRPr="00172F4C">
              <w:rPr>
                <w:rFonts w:ascii="Times New Roman" w:hAnsi="Times New Roman" w:cs="Times New Roman"/>
                <w:sz w:val="22"/>
                <w:szCs w:val="22"/>
              </w:rPr>
              <w:t xml:space="preserve">The researchers did not have a personal relationship with the participants prior to study commencement. Though JJC and CAG were physicians in the pediatric neurology clinic from which participants were recruited, neither was the primary neurologist for any of the participants. </w:t>
            </w:r>
          </w:p>
        </w:tc>
      </w:tr>
      <w:tr w:rsidR="00C068A3" w:rsidRPr="00172F4C" w14:paraId="12468451" w14:textId="77777777" w:rsidTr="00F459AC">
        <w:tc>
          <w:tcPr>
            <w:tcW w:w="3505" w:type="dxa"/>
          </w:tcPr>
          <w:p w14:paraId="75A0247B" w14:textId="4D747AFE" w:rsidR="00C068A3" w:rsidRPr="00172F4C" w:rsidRDefault="00C068A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Participant knowledge of the interviewer</w:t>
            </w:r>
          </w:p>
        </w:tc>
        <w:tc>
          <w:tcPr>
            <w:tcW w:w="7285" w:type="dxa"/>
          </w:tcPr>
          <w:p w14:paraId="1BA489C8" w14:textId="52C938EF" w:rsidR="00C068A3" w:rsidRPr="00172F4C" w:rsidRDefault="00F73536" w:rsidP="00172F4C">
            <w:pPr>
              <w:rPr>
                <w:rFonts w:ascii="Times New Roman" w:hAnsi="Times New Roman" w:cs="Times New Roman"/>
                <w:sz w:val="22"/>
                <w:szCs w:val="22"/>
              </w:rPr>
            </w:pPr>
            <w:r w:rsidRPr="00172F4C">
              <w:rPr>
                <w:rFonts w:ascii="Times New Roman" w:hAnsi="Times New Roman" w:cs="Times New Roman"/>
                <w:sz w:val="22"/>
                <w:szCs w:val="22"/>
              </w:rPr>
              <w:t xml:space="preserve">Participants were told that the interviewer’s goals were to understand more about lived experiences and perspectives of parents of children with neurodevelopmental disorders. Participants were told that their interview responses would have no impact on their child’s clinical care. </w:t>
            </w:r>
          </w:p>
        </w:tc>
      </w:tr>
      <w:tr w:rsidR="00F73536" w:rsidRPr="00172F4C" w14:paraId="4A67A81B" w14:textId="77777777" w:rsidTr="00883985">
        <w:tc>
          <w:tcPr>
            <w:tcW w:w="3505" w:type="dxa"/>
            <w:tcBorders>
              <w:bottom w:val="single" w:sz="4" w:space="0" w:color="auto"/>
            </w:tcBorders>
          </w:tcPr>
          <w:p w14:paraId="341FDC3D" w14:textId="6FBE89F8" w:rsidR="00F73536" w:rsidRPr="00172F4C" w:rsidRDefault="00F73536"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Interviewer characteristics</w:t>
            </w:r>
          </w:p>
        </w:tc>
        <w:tc>
          <w:tcPr>
            <w:tcW w:w="7285" w:type="dxa"/>
            <w:tcBorders>
              <w:bottom w:val="single" w:sz="4" w:space="0" w:color="auto"/>
            </w:tcBorders>
          </w:tcPr>
          <w:p w14:paraId="4550DE29" w14:textId="1F3A3C95" w:rsidR="00F73536" w:rsidRPr="00172F4C" w:rsidRDefault="00F73536" w:rsidP="00172F4C">
            <w:pPr>
              <w:rPr>
                <w:rFonts w:ascii="Times New Roman" w:hAnsi="Times New Roman" w:cs="Times New Roman"/>
                <w:sz w:val="22"/>
                <w:szCs w:val="22"/>
              </w:rPr>
            </w:pPr>
            <w:r w:rsidRPr="00172F4C">
              <w:rPr>
                <w:rFonts w:ascii="Times New Roman" w:hAnsi="Times New Roman" w:cs="Times New Roman"/>
                <w:sz w:val="22"/>
                <w:szCs w:val="22"/>
              </w:rPr>
              <w:t xml:space="preserve">Assumptions: The researchers assumed that individuals from historically marginalized backgrounds would express more barriers to genetic testing. Personal interests: The researchers were motivated by a desire to improve health equity. </w:t>
            </w:r>
          </w:p>
        </w:tc>
      </w:tr>
      <w:tr w:rsidR="00883985" w:rsidRPr="00172F4C" w14:paraId="5F613525" w14:textId="77777777" w:rsidTr="00172F4C">
        <w:tc>
          <w:tcPr>
            <w:tcW w:w="10790" w:type="dxa"/>
            <w:gridSpan w:val="2"/>
          </w:tcPr>
          <w:p w14:paraId="4EC10ECA" w14:textId="0725BD3E" w:rsidR="00883985" w:rsidRPr="00172F4C" w:rsidRDefault="00883985" w:rsidP="00172F4C">
            <w:pPr>
              <w:rPr>
                <w:rFonts w:ascii="Times New Roman" w:hAnsi="Times New Roman" w:cs="Times New Roman"/>
                <w:b/>
                <w:bCs/>
                <w:sz w:val="22"/>
                <w:szCs w:val="22"/>
              </w:rPr>
            </w:pPr>
            <w:r w:rsidRPr="00172F4C">
              <w:rPr>
                <w:rFonts w:ascii="Times New Roman" w:hAnsi="Times New Roman" w:cs="Times New Roman"/>
                <w:b/>
                <w:bCs/>
                <w:sz w:val="22"/>
                <w:szCs w:val="22"/>
              </w:rPr>
              <w:t>Domain 2: Study Design</w:t>
            </w:r>
          </w:p>
        </w:tc>
      </w:tr>
      <w:tr w:rsidR="00883985" w:rsidRPr="00172F4C" w14:paraId="372B7D2D" w14:textId="77777777" w:rsidTr="00F459AC">
        <w:tc>
          <w:tcPr>
            <w:tcW w:w="3505" w:type="dxa"/>
          </w:tcPr>
          <w:p w14:paraId="3A294591" w14:textId="573ACAF1" w:rsidR="00883985" w:rsidRPr="00172F4C" w:rsidRDefault="00883985" w:rsidP="00172F4C">
            <w:pPr>
              <w:rPr>
                <w:rFonts w:ascii="Times New Roman" w:hAnsi="Times New Roman" w:cs="Times New Roman"/>
                <w:sz w:val="22"/>
                <w:szCs w:val="22"/>
              </w:rPr>
            </w:pPr>
            <w:r w:rsidRPr="00172F4C">
              <w:rPr>
                <w:rFonts w:ascii="Times New Roman" w:hAnsi="Times New Roman" w:cs="Times New Roman"/>
                <w:sz w:val="22"/>
                <w:szCs w:val="22"/>
              </w:rPr>
              <w:t>Theoretical Framework</w:t>
            </w:r>
          </w:p>
        </w:tc>
        <w:tc>
          <w:tcPr>
            <w:tcW w:w="7285" w:type="dxa"/>
          </w:tcPr>
          <w:p w14:paraId="5C5EAD4E" w14:textId="77777777" w:rsidR="00883985" w:rsidRPr="00172F4C" w:rsidRDefault="00883985" w:rsidP="00172F4C">
            <w:pPr>
              <w:rPr>
                <w:rFonts w:ascii="Times New Roman" w:hAnsi="Times New Roman" w:cs="Times New Roman"/>
                <w:sz w:val="22"/>
                <w:szCs w:val="22"/>
              </w:rPr>
            </w:pPr>
          </w:p>
        </w:tc>
      </w:tr>
      <w:tr w:rsidR="00883985" w:rsidRPr="00172F4C" w14:paraId="6F21A182" w14:textId="77777777" w:rsidTr="00F459AC">
        <w:tc>
          <w:tcPr>
            <w:tcW w:w="3505" w:type="dxa"/>
          </w:tcPr>
          <w:p w14:paraId="563C9C0B" w14:textId="3FFC08B0" w:rsidR="00883985" w:rsidRPr="00172F4C" w:rsidRDefault="00883985"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lastRenderedPageBreak/>
              <w:t>Methodological orientation and Theory</w:t>
            </w:r>
          </w:p>
        </w:tc>
        <w:tc>
          <w:tcPr>
            <w:tcW w:w="7285" w:type="dxa"/>
          </w:tcPr>
          <w:p w14:paraId="6E3B2C5B" w14:textId="1A9A42EE" w:rsidR="00883985" w:rsidRPr="00172F4C" w:rsidRDefault="00883985" w:rsidP="00172F4C">
            <w:pPr>
              <w:rPr>
                <w:rFonts w:ascii="Times New Roman" w:hAnsi="Times New Roman" w:cs="Times New Roman"/>
                <w:sz w:val="22"/>
                <w:szCs w:val="22"/>
              </w:rPr>
            </w:pPr>
            <w:r w:rsidRPr="00172F4C">
              <w:rPr>
                <w:rFonts w:ascii="Times New Roman" w:hAnsi="Times New Roman" w:cs="Times New Roman"/>
                <w:sz w:val="22"/>
                <w:szCs w:val="22"/>
              </w:rPr>
              <w:t xml:space="preserve">Content analysis was the methodological orientation used. </w:t>
            </w:r>
          </w:p>
        </w:tc>
      </w:tr>
      <w:tr w:rsidR="00883985" w:rsidRPr="00172F4C" w14:paraId="10ECF2C0" w14:textId="77777777" w:rsidTr="00F459AC">
        <w:tc>
          <w:tcPr>
            <w:tcW w:w="3505" w:type="dxa"/>
          </w:tcPr>
          <w:p w14:paraId="775E9D43" w14:textId="7E4B3A35" w:rsidR="00883985" w:rsidRPr="00172F4C" w:rsidRDefault="00883985" w:rsidP="00172F4C">
            <w:pPr>
              <w:rPr>
                <w:rFonts w:ascii="Times New Roman" w:hAnsi="Times New Roman" w:cs="Times New Roman"/>
                <w:sz w:val="22"/>
                <w:szCs w:val="22"/>
              </w:rPr>
            </w:pPr>
            <w:r w:rsidRPr="00172F4C">
              <w:rPr>
                <w:rFonts w:ascii="Times New Roman" w:hAnsi="Times New Roman" w:cs="Times New Roman"/>
                <w:sz w:val="22"/>
                <w:szCs w:val="22"/>
              </w:rPr>
              <w:t>Participant Selection</w:t>
            </w:r>
          </w:p>
        </w:tc>
        <w:tc>
          <w:tcPr>
            <w:tcW w:w="7285" w:type="dxa"/>
          </w:tcPr>
          <w:p w14:paraId="03C3FDD1" w14:textId="77777777" w:rsidR="00883985" w:rsidRPr="00172F4C" w:rsidRDefault="00883985" w:rsidP="00172F4C">
            <w:pPr>
              <w:rPr>
                <w:rFonts w:ascii="Times New Roman" w:hAnsi="Times New Roman" w:cs="Times New Roman"/>
                <w:sz w:val="22"/>
                <w:szCs w:val="22"/>
              </w:rPr>
            </w:pPr>
          </w:p>
        </w:tc>
      </w:tr>
      <w:tr w:rsidR="00883985" w:rsidRPr="00172F4C" w14:paraId="59433F72" w14:textId="77777777" w:rsidTr="00F459AC">
        <w:tc>
          <w:tcPr>
            <w:tcW w:w="3505" w:type="dxa"/>
          </w:tcPr>
          <w:p w14:paraId="7BD2D3BB" w14:textId="162E7554" w:rsidR="00883985" w:rsidRPr="00172F4C" w:rsidRDefault="00883985"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Sampling</w:t>
            </w:r>
          </w:p>
        </w:tc>
        <w:tc>
          <w:tcPr>
            <w:tcW w:w="7285" w:type="dxa"/>
          </w:tcPr>
          <w:p w14:paraId="1D743A81" w14:textId="78D7BB52" w:rsidR="005D01C8" w:rsidRPr="00172F4C" w:rsidRDefault="00883985" w:rsidP="00172F4C">
            <w:pPr>
              <w:rPr>
                <w:rFonts w:ascii="Times New Roman" w:hAnsi="Times New Roman" w:cs="Times New Roman"/>
                <w:sz w:val="22"/>
                <w:szCs w:val="22"/>
              </w:rPr>
            </w:pPr>
            <w:r w:rsidRPr="00172F4C">
              <w:rPr>
                <w:rFonts w:ascii="Times New Roman" w:hAnsi="Times New Roman" w:cs="Times New Roman"/>
                <w:sz w:val="22"/>
                <w:szCs w:val="22"/>
              </w:rPr>
              <w:t xml:space="preserve">Both convenience and </w:t>
            </w:r>
            <w:r w:rsidR="00D94812" w:rsidRPr="00172F4C">
              <w:rPr>
                <w:rFonts w:ascii="Times New Roman" w:hAnsi="Times New Roman" w:cs="Times New Roman"/>
                <w:sz w:val="22"/>
                <w:szCs w:val="22"/>
              </w:rPr>
              <w:t>purposeful</w:t>
            </w:r>
            <w:r w:rsidRPr="00172F4C">
              <w:rPr>
                <w:rFonts w:ascii="Times New Roman" w:hAnsi="Times New Roman" w:cs="Times New Roman"/>
                <w:sz w:val="22"/>
                <w:szCs w:val="22"/>
              </w:rPr>
              <w:t xml:space="preserve"> sampling were used. </w:t>
            </w:r>
          </w:p>
          <w:p w14:paraId="6E9E0F24" w14:textId="77777777" w:rsidR="005D01C8" w:rsidRPr="00172F4C" w:rsidRDefault="005D01C8" w:rsidP="00172F4C">
            <w:pPr>
              <w:rPr>
                <w:rFonts w:ascii="Times New Roman" w:hAnsi="Times New Roman" w:cs="Times New Roman"/>
                <w:sz w:val="22"/>
                <w:szCs w:val="22"/>
              </w:rPr>
            </w:pPr>
          </w:p>
          <w:p w14:paraId="01142BCF" w14:textId="77777777" w:rsidR="00883985" w:rsidRPr="00172F4C" w:rsidRDefault="00843891" w:rsidP="00172F4C">
            <w:pPr>
              <w:rPr>
                <w:rFonts w:ascii="Times New Roman" w:hAnsi="Times New Roman" w:cs="Times New Roman"/>
                <w:sz w:val="22"/>
                <w:szCs w:val="22"/>
              </w:rPr>
            </w:pPr>
            <w:r w:rsidRPr="00172F4C">
              <w:rPr>
                <w:rFonts w:ascii="Times New Roman" w:hAnsi="Times New Roman" w:cs="Times New Roman"/>
                <w:sz w:val="22"/>
                <w:szCs w:val="22"/>
                <w:u w:val="single"/>
              </w:rPr>
              <w:t>Detailed Eligibility Criteria</w:t>
            </w:r>
            <w:r w:rsidRPr="00172F4C">
              <w:rPr>
                <w:rFonts w:ascii="Times New Roman" w:hAnsi="Times New Roman" w:cs="Times New Roman"/>
                <w:sz w:val="22"/>
                <w:szCs w:val="22"/>
              </w:rPr>
              <w:t xml:space="preserve">: </w:t>
            </w:r>
            <w:r w:rsidR="004567D8" w:rsidRPr="00172F4C">
              <w:rPr>
                <w:rFonts w:ascii="Times New Roman" w:hAnsi="Times New Roman" w:cs="Times New Roman"/>
                <w:sz w:val="22"/>
                <w:szCs w:val="22"/>
              </w:rPr>
              <w:t>Global developmental delay/Intellectual disability (</w:t>
            </w:r>
            <w:r w:rsidR="005D01C8" w:rsidRPr="00172F4C">
              <w:rPr>
                <w:rFonts w:ascii="Times New Roman" w:hAnsi="Times New Roman" w:cs="Times New Roman"/>
                <w:sz w:val="22"/>
                <w:szCs w:val="22"/>
              </w:rPr>
              <w:t>GDD/ID</w:t>
            </w:r>
            <w:r w:rsidR="004567D8" w:rsidRPr="00172F4C">
              <w:rPr>
                <w:rFonts w:ascii="Times New Roman" w:hAnsi="Times New Roman" w:cs="Times New Roman"/>
                <w:sz w:val="22"/>
                <w:szCs w:val="22"/>
              </w:rPr>
              <w:t>)</w:t>
            </w:r>
            <w:r w:rsidR="005D01C8" w:rsidRPr="00172F4C">
              <w:rPr>
                <w:rFonts w:ascii="Times New Roman" w:hAnsi="Times New Roman" w:cs="Times New Roman"/>
                <w:sz w:val="22"/>
                <w:szCs w:val="22"/>
              </w:rPr>
              <w:t xml:space="preserve"> diagnoses were based on electronic health record (EHR) review and broadly defined as presence of ANY of the following: 1) Item on the patient’s problem list explicitly includes the term “global developmental delay” OR “intellectual disability”; 2) Neurology clinic note(s) explicitly include “global developmental delay”, “GDD”, “intellectual disability”, and/or “ID” within the history of present illness, past medical history, or assessment/plan sections; 3) Prior formal neuropsychological or developmental testing documented within the EHR demonstrates findings consistent with GDD/ID; 4) Detailed school history documented in clinic note(s) indicates level of academic/adaptive functioning consistent with ID; or 5) Detailed developmental history documented in clinic note(s) indicates level of developmental functioning consistent with GDD.  </w:t>
            </w:r>
          </w:p>
          <w:p w14:paraId="6211A065" w14:textId="4625F022" w:rsidR="00C73AA6" w:rsidRPr="00172F4C" w:rsidRDefault="00C73AA6" w:rsidP="00172F4C">
            <w:pPr>
              <w:rPr>
                <w:rFonts w:ascii="Times New Roman" w:hAnsi="Times New Roman" w:cs="Times New Roman"/>
                <w:sz w:val="22"/>
                <w:szCs w:val="22"/>
              </w:rPr>
            </w:pPr>
            <w:r w:rsidRPr="00172F4C">
              <w:rPr>
                <w:rFonts w:ascii="Times New Roman" w:hAnsi="Times New Roman" w:cs="Times New Roman"/>
                <w:sz w:val="22"/>
                <w:szCs w:val="22"/>
                <w:u w:val="single"/>
              </w:rPr>
              <w:t>Detailed Exclusion Criteria</w:t>
            </w:r>
            <w:r w:rsidRPr="00172F4C">
              <w:rPr>
                <w:rFonts w:ascii="Times New Roman" w:hAnsi="Times New Roman" w:cs="Times New Roman"/>
                <w:sz w:val="22"/>
                <w:szCs w:val="22"/>
              </w:rPr>
              <w:t xml:space="preserve">: 1) No EHR-based historical or current diagnosis of GDD or ID; 2) Child &gt;=18 years old at most recent neurology clinic visit; 3) Child in foster care; 4) Child not seen in pediatric neurology clinic within one year of recruitment date; 5) Clearly-documented acquired etiology of child’s GDD/ID; 6) Trisomy 21 diagnosed prenatally or immediately after birth; and 7) Non-English-speaking.  </w:t>
            </w:r>
          </w:p>
        </w:tc>
      </w:tr>
      <w:tr w:rsidR="00883985" w:rsidRPr="00172F4C" w14:paraId="0B037C65" w14:textId="77777777" w:rsidTr="00F459AC">
        <w:tc>
          <w:tcPr>
            <w:tcW w:w="3505" w:type="dxa"/>
          </w:tcPr>
          <w:p w14:paraId="14731466" w14:textId="7BA02DDD" w:rsidR="00883985" w:rsidRPr="00172F4C" w:rsidRDefault="00883985"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Method of approach</w:t>
            </w:r>
          </w:p>
        </w:tc>
        <w:tc>
          <w:tcPr>
            <w:tcW w:w="7285" w:type="dxa"/>
          </w:tcPr>
          <w:p w14:paraId="176F7B4D" w14:textId="5186644E" w:rsidR="00435617" w:rsidRPr="00172F4C" w:rsidRDefault="00435617" w:rsidP="00172F4C">
            <w:pPr>
              <w:rPr>
                <w:rFonts w:ascii="Times New Roman" w:hAnsi="Times New Roman" w:cs="Times New Roman"/>
                <w:sz w:val="22"/>
                <w:szCs w:val="22"/>
              </w:rPr>
            </w:pPr>
            <w:r w:rsidRPr="00172F4C">
              <w:rPr>
                <w:rFonts w:ascii="Times New Roman" w:hAnsi="Times New Roman" w:cs="Times New Roman"/>
                <w:sz w:val="22"/>
                <w:szCs w:val="22"/>
                <w:u w:val="single"/>
              </w:rPr>
              <w:t>Convenience sample</w:t>
            </w:r>
            <w:r w:rsidRPr="00172F4C">
              <w:rPr>
                <w:rFonts w:ascii="Times New Roman" w:hAnsi="Times New Roman" w:cs="Times New Roman"/>
                <w:sz w:val="22"/>
                <w:szCs w:val="22"/>
              </w:rPr>
              <w:t>: From January to May 2023, f</w:t>
            </w:r>
            <w:r w:rsidR="00883985" w:rsidRPr="00172F4C">
              <w:rPr>
                <w:rFonts w:ascii="Times New Roman" w:hAnsi="Times New Roman" w:cs="Times New Roman"/>
                <w:sz w:val="22"/>
                <w:szCs w:val="22"/>
              </w:rPr>
              <w:t xml:space="preserve">lyers were posted in the </w:t>
            </w:r>
            <w:r w:rsidRPr="00172F4C">
              <w:rPr>
                <w:rFonts w:ascii="Times New Roman" w:hAnsi="Times New Roman" w:cs="Times New Roman"/>
                <w:sz w:val="22"/>
                <w:szCs w:val="22"/>
              </w:rPr>
              <w:t xml:space="preserve">pediatric neurology </w:t>
            </w:r>
            <w:r w:rsidR="00883985" w:rsidRPr="00172F4C">
              <w:rPr>
                <w:rFonts w:ascii="Times New Roman" w:hAnsi="Times New Roman" w:cs="Times New Roman"/>
                <w:sz w:val="22"/>
                <w:szCs w:val="22"/>
              </w:rPr>
              <w:t>clinic waiting rooms</w:t>
            </w:r>
            <w:r w:rsidRPr="00172F4C">
              <w:rPr>
                <w:rFonts w:ascii="Times New Roman" w:hAnsi="Times New Roman" w:cs="Times New Roman"/>
                <w:sz w:val="22"/>
                <w:szCs w:val="22"/>
              </w:rPr>
              <w:t xml:space="preserve"> and examination rooms</w:t>
            </w:r>
            <w:r w:rsidR="00883985" w:rsidRPr="00172F4C">
              <w:rPr>
                <w:rFonts w:ascii="Times New Roman" w:hAnsi="Times New Roman" w:cs="Times New Roman"/>
                <w:sz w:val="22"/>
                <w:szCs w:val="22"/>
              </w:rPr>
              <w:t>. Instructions were also given to the check-in team at the pediatric neurology clinic front desk to hand out these flyers to each caregiver.</w:t>
            </w:r>
            <w:r w:rsidRPr="00172F4C">
              <w:rPr>
                <w:rFonts w:ascii="Times New Roman" w:hAnsi="Times New Roman" w:cs="Times New Roman"/>
                <w:sz w:val="22"/>
                <w:szCs w:val="22"/>
              </w:rPr>
              <w:t xml:space="preserve"> The flyers contained a QR code survey link for those interested to provide their contact information. A study team member (JJC) then screened the associated patient’s electronic health record (EHR) to determine eligibility and then contacted the caregiver by email and/or phone to provide more information and schedule an interview date.</w:t>
            </w:r>
          </w:p>
          <w:p w14:paraId="1DE23B23" w14:textId="58FBF991" w:rsidR="00435617" w:rsidRPr="00172F4C" w:rsidRDefault="00D94812" w:rsidP="00172F4C">
            <w:pPr>
              <w:rPr>
                <w:rFonts w:ascii="Times New Roman" w:hAnsi="Times New Roman" w:cs="Times New Roman"/>
                <w:sz w:val="22"/>
                <w:szCs w:val="22"/>
              </w:rPr>
            </w:pPr>
            <w:r w:rsidRPr="00172F4C">
              <w:rPr>
                <w:rFonts w:ascii="Times New Roman" w:hAnsi="Times New Roman" w:cs="Times New Roman"/>
                <w:sz w:val="22"/>
                <w:szCs w:val="22"/>
                <w:u w:val="single"/>
              </w:rPr>
              <w:t>Purposeful</w:t>
            </w:r>
            <w:r w:rsidR="00435617" w:rsidRPr="00172F4C">
              <w:rPr>
                <w:rFonts w:ascii="Times New Roman" w:hAnsi="Times New Roman" w:cs="Times New Roman"/>
                <w:sz w:val="22"/>
                <w:szCs w:val="22"/>
                <w:u w:val="single"/>
              </w:rPr>
              <w:t xml:space="preserve"> sample</w:t>
            </w:r>
            <w:r w:rsidR="00435617" w:rsidRPr="00172F4C">
              <w:rPr>
                <w:rFonts w:ascii="Times New Roman" w:hAnsi="Times New Roman" w:cs="Times New Roman"/>
                <w:sz w:val="22"/>
                <w:szCs w:val="22"/>
              </w:rPr>
              <w:t xml:space="preserve">: For patients who were seen in the pediatric neurology clinic between 1/15/23 to 3/15/23 who had not responded to the QR code survey link and who had race/ethnicity identified as Black/African American (including multiracial) in the EHR, EHR-based eligibility screening was completed by JJC. </w:t>
            </w:r>
            <w:r w:rsidR="006743BD" w:rsidRPr="00172F4C">
              <w:rPr>
                <w:rFonts w:ascii="Times New Roman" w:hAnsi="Times New Roman" w:cs="Times New Roman"/>
                <w:sz w:val="22"/>
                <w:szCs w:val="22"/>
              </w:rPr>
              <w:t xml:space="preserve">Those eligible were contacted by phone for recruitment. </w:t>
            </w:r>
          </w:p>
        </w:tc>
      </w:tr>
      <w:tr w:rsidR="00883985" w:rsidRPr="00172F4C" w14:paraId="5BC8684D" w14:textId="77777777" w:rsidTr="00F459AC">
        <w:tc>
          <w:tcPr>
            <w:tcW w:w="3505" w:type="dxa"/>
          </w:tcPr>
          <w:p w14:paraId="11C7520B" w14:textId="4AAF7DB5" w:rsidR="00883985" w:rsidRPr="00172F4C" w:rsidRDefault="00883985"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Sample size</w:t>
            </w:r>
          </w:p>
        </w:tc>
        <w:tc>
          <w:tcPr>
            <w:tcW w:w="7285" w:type="dxa"/>
          </w:tcPr>
          <w:p w14:paraId="4A6DE2E3" w14:textId="77777777" w:rsidR="00883985" w:rsidRPr="00172F4C" w:rsidRDefault="006743BD" w:rsidP="00172F4C">
            <w:pPr>
              <w:rPr>
                <w:rFonts w:ascii="Times New Roman" w:hAnsi="Times New Roman" w:cs="Times New Roman"/>
                <w:sz w:val="22"/>
                <w:szCs w:val="22"/>
              </w:rPr>
            </w:pPr>
            <w:r w:rsidRPr="00172F4C">
              <w:rPr>
                <w:rFonts w:ascii="Times New Roman" w:hAnsi="Times New Roman" w:cs="Times New Roman"/>
                <w:sz w:val="22"/>
                <w:szCs w:val="22"/>
              </w:rPr>
              <w:t xml:space="preserve">18 caregivers were interviewed for the study. </w:t>
            </w:r>
          </w:p>
          <w:p w14:paraId="1E087BF3" w14:textId="77777777" w:rsidR="00FF145A" w:rsidRPr="00172F4C" w:rsidRDefault="00FF145A" w:rsidP="00172F4C">
            <w:pPr>
              <w:rPr>
                <w:rFonts w:ascii="Times New Roman" w:hAnsi="Times New Roman" w:cs="Times New Roman"/>
                <w:sz w:val="22"/>
                <w:szCs w:val="22"/>
              </w:rPr>
            </w:pPr>
          </w:p>
          <w:p w14:paraId="26A324D3" w14:textId="4687E3D5" w:rsidR="00FF145A" w:rsidRPr="00172F4C" w:rsidRDefault="00FF145A" w:rsidP="00172F4C">
            <w:pPr>
              <w:rPr>
                <w:rFonts w:ascii="Times New Roman" w:hAnsi="Times New Roman" w:cs="Times New Roman"/>
                <w:sz w:val="22"/>
                <w:szCs w:val="22"/>
              </w:rPr>
            </w:pPr>
            <w:r w:rsidRPr="00172F4C">
              <w:rPr>
                <w:rFonts w:ascii="Times New Roman" w:hAnsi="Times New Roman" w:cs="Times New Roman"/>
                <w:sz w:val="22"/>
                <w:szCs w:val="22"/>
              </w:rPr>
              <w:t>Consent details: Informed consent forms were provided to participants by email, shared virtually over video platform, or read aloud by the interviewer, as preferred by the participant. Immediately prior to the start of the interview, the consent form was reviewed and verbal consent was obtained from each participant.</w:t>
            </w:r>
          </w:p>
        </w:tc>
      </w:tr>
      <w:tr w:rsidR="00883985" w:rsidRPr="00172F4C" w14:paraId="405AFD04" w14:textId="77777777" w:rsidTr="00F459AC">
        <w:tc>
          <w:tcPr>
            <w:tcW w:w="3505" w:type="dxa"/>
          </w:tcPr>
          <w:p w14:paraId="36DA857C" w14:textId="5F2F23BE" w:rsidR="00883985" w:rsidRPr="00172F4C" w:rsidRDefault="00883985"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Non-participation</w:t>
            </w:r>
          </w:p>
        </w:tc>
        <w:tc>
          <w:tcPr>
            <w:tcW w:w="7285" w:type="dxa"/>
          </w:tcPr>
          <w:p w14:paraId="783FBDA3" w14:textId="663C31F3" w:rsidR="00E70C88" w:rsidRPr="00172F4C" w:rsidRDefault="006743BD" w:rsidP="00172F4C">
            <w:pPr>
              <w:rPr>
                <w:rFonts w:ascii="Times New Roman" w:hAnsi="Times New Roman" w:cs="Times New Roman"/>
                <w:sz w:val="22"/>
                <w:szCs w:val="22"/>
              </w:rPr>
            </w:pPr>
            <w:r w:rsidRPr="00172F4C">
              <w:rPr>
                <w:rFonts w:ascii="Times New Roman" w:hAnsi="Times New Roman" w:cs="Times New Roman"/>
                <w:sz w:val="22"/>
                <w:szCs w:val="22"/>
              </w:rPr>
              <w:t xml:space="preserve">Numbers of individuals who were screened for eligibility based on the sampling methods outlined above are provided in detail in </w:t>
            </w:r>
            <w:r w:rsidRPr="00172F4C">
              <w:rPr>
                <w:rFonts w:ascii="Times New Roman" w:hAnsi="Times New Roman" w:cs="Times New Roman"/>
                <w:b/>
                <w:bCs/>
                <w:sz w:val="22"/>
                <w:szCs w:val="22"/>
              </w:rPr>
              <w:t>Figure 1</w:t>
            </w:r>
            <w:r w:rsidRPr="00172F4C">
              <w:rPr>
                <w:rFonts w:ascii="Times New Roman" w:hAnsi="Times New Roman" w:cs="Times New Roman"/>
                <w:sz w:val="22"/>
                <w:szCs w:val="22"/>
              </w:rPr>
              <w:t xml:space="preserve">. Reasons for ineligibility among those who were screened are also included, as are reasons for lack of participation among eligible individuals. For those who completed the QR code survey indicating interest in the study, they were considered “non-responders” when there was no response to two email messages and one voicemail left by phone. They were considered “unable to contact” if </w:t>
            </w:r>
            <w:r w:rsidR="00A22185" w:rsidRPr="00172F4C">
              <w:rPr>
                <w:rFonts w:ascii="Times New Roman" w:hAnsi="Times New Roman" w:cs="Times New Roman"/>
                <w:sz w:val="22"/>
                <w:szCs w:val="22"/>
              </w:rPr>
              <w:t xml:space="preserve">both </w:t>
            </w:r>
            <w:r w:rsidRPr="00172F4C">
              <w:rPr>
                <w:rFonts w:ascii="Times New Roman" w:hAnsi="Times New Roman" w:cs="Times New Roman"/>
                <w:sz w:val="22"/>
                <w:szCs w:val="22"/>
              </w:rPr>
              <w:t>the email/phone addresses provided did not accept messages</w:t>
            </w:r>
            <w:r w:rsidR="00A22185" w:rsidRPr="00172F4C">
              <w:rPr>
                <w:rFonts w:ascii="Times New Roman" w:hAnsi="Times New Roman" w:cs="Times New Roman"/>
                <w:sz w:val="22"/>
                <w:szCs w:val="22"/>
              </w:rPr>
              <w:t xml:space="preserve">. For the purposive sample, only one recruitment phone call was made per patient. If the caregiver did not answer, a voicemail was left briefly explaining the study and requesting a call back if interested. Those who did not answer the phone or respond to the voicemail were considered “non-responders”. Those whose phones were not in </w:t>
            </w:r>
            <w:r w:rsidR="00A22185" w:rsidRPr="00172F4C">
              <w:rPr>
                <w:rFonts w:ascii="Times New Roman" w:hAnsi="Times New Roman" w:cs="Times New Roman"/>
                <w:sz w:val="22"/>
                <w:szCs w:val="22"/>
              </w:rPr>
              <w:lastRenderedPageBreak/>
              <w:t xml:space="preserve">service or had full voicemail boxes were considered “unable to contact”. Those who scheduled interviews but did not show up and were unable to reschedule were considered “no-show”. Those who declined participation were considered “declined”. Reasons for declining were not provided.     </w:t>
            </w:r>
          </w:p>
        </w:tc>
      </w:tr>
      <w:tr w:rsidR="00A22185" w:rsidRPr="00172F4C" w14:paraId="32D367C5" w14:textId="77777777" w:rsidTr="00F459AC">
        <w:tc>
          <w:tcPr>
            <w:tcW w:w="3505" w:type="dxa"/>
          </w:tcPr>
          <w:p w14:paraId="10D86BE0" w14:textId="55AC0844" w:rsidR="00A22185" w:rsidRPr="00172F4C" w:rsidRDefault="00A22185" w:rsidP="00172F4C">
            <w:pPr>
              <w:rPr>
                <w:rFonts w:ascii="Times New Roman" w:hAnsi="Times New Roman" w:cs="Times New Roman"/>
                <w:sz w:val="22"/>
                <w:szCs w:val="22"/>
              </w:rPr>
            </w:pPr>
            <w:r w:rsidRPr="00172F4C">
              <w:rPr>
                <w:rFonts w:ascii="Times New Roman" w:hAnsi="Times New Roman" w:cs="Times New Roman"/>
                <w:sz w:val="22"/>
                <w:szCs w:val="22"/>
              </w:rPr>
              <w:lastRenderedPageBreak/>
              <w:t>Setting</w:t>
            </w:r>
          </w:p>
        </w:tc>
        <w:tc>
          <w:tcPr>
            <w:tcW w:w="7285" w:type="dxa"/>
          </w:tcPr>
          <w:p w14:paraId="59AF3D66" w14:textId="77777777" w:rsidR="00A22185" w:rsidRPr="00172F4C" w:rsidRDefault="00A22185" w:rsidP="00172F4C">
            <w:pPr>
              <w:rPr>
                <w:rFonts w:ascii="Times New Roman" w:hAnsi="Times New Roman" w:cs="Times New Roman"/>
                <w:sz w:val="22"/>
                <w:szCs w:val="22"/>
              </w:rPr>
            </w:pPr>
          </w:p>
        </w:tc>
      </w:tr>
      <w:tr w:rsidR="00A22185" w:rsidRPr="00172F4C" w14:paraId="46F9501F" w14:textId="77777777" w:rsidTr="00F459AC">
        <w:tc>
          <w:tcPr>
            <w:tcW w:w="3505" w:type="dxa"/>
          </w:tcPr>
          <w:p w14:paraId="2D6E67C5" w14:textId="4EACB294" w:rsidR="00A22185" w:rsidRPr="00172F4C" w:rsidRDefault="00A22185"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Setting of data collection</w:t>
            </w:r>
          </w:p>
        </w:tc>
        <w:tc>
          <w:tcPr>
            <w:tcW w:w="7285" w:type="dxa"/>
          </w:tcPr>
          <w:p w14:paraId="7F8FB400" w14:textId="15595CB1" w:rsidR="00A22185" w:rsidRPr="00172F4C" w:rsidRDefault="005D01C8" w:rsidP="00172F4C">
            <w:pPr>
              <w:rPr>
                <w:rFonts w:ascii="Times New Roman" w:hAnsi="Times New Roman" w:cs="Times New Roman"/>
                <w:sz w:val="22"/>
                <w:szCs w:val="22"/>
              </w:rPr>
            </w:pPr>
            <w:r w:rsidRPr="00172F4C">
              <w:rPr>
                <w:rFonts w:ascii="Times New Roman" w:hAnsi="Times New Roman" w:cs="Times New Roman"/>
                <w:sz w:val="22"/>
                <w:szCs w:val="22"/>
              </w:rPr>
              <w:t xml:space="preserve">The setting for this study was </w:t>
            </w:r>
            <w:r w:rsidR="00C42D5C" w:rsidRPr="00172F4C">
              <w:rPr>
                <w:rFonts w:ascii="Times New Roman" w:hAnsi="Times New Roman" w:cs="Times New Roman"/>
                <w:sz w:val="22"/>
                <w:szCs w:val="22"/>
              </w:rPr>
              <w:t xml:space="preserve">the catchment area of </w:t>
            </w:r>
            <w:r w:rsidRPr="00172F4C">
              <w:rPr>
                <w:rFonts w:ascii="Times New Roman" w:hAnsi="Times New Roman" w:cs="Times New Roman"/>
                <w:sz w:val="22"/>
                <w:szCs w:val="22"/>
              </w:rPr>
              <w:t xml:space="preserve">a tertiary care children’s hospital’s pediatric neurology clinic within a metropolitan county in a Midwestern state. </w:t>
            </w:r>
            <w:r w:rsidR="00C42D5C" w:rsidRPr="00172F4C">
              <w:rPr>
                <w:rFonts w:ascii="Times New Roman" w:hAnsi="Times New Roman" w:cs="Times New Roman"/>
                <w:sz w:val="22"/>
                <w:szCs w:val="22"/>
              </w:rPr>
              <w:t xml:space="preserve">The interviews took place by video or phone, with interviewers located in a private, quiet room at home or the workplace, and participants located at their location of choice.    </w:t>
            </w:r>
          </w:p>
        </w:tc>
      </w:tr>
      <w:tr w:rsidR="005D01C8" w:rsidRPr="00172F4C" w14:paraId="32D66021" w14:textId="77777777" w:rsidTr="00F459AC">
        <w:tc>
          <w:tcPr>
            <w:tcW w:w="3505" w:type="dxa"/>
          </w:tcPr>
          <w:p w14:paraId="1953838A" w14:textId="2CA6D89C" w:rsidR="005D01C8" w:rsidRPr="00172F4C" w:rsidRDefault="00C42D5C"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Presence of non-participants</w:t>
            </w:r>
          </w:p>
        </w:tc>
        <w:tc>
          <w:tcPr>
            <w:tcW w:w="7285" w:type="dxa"/>
          </w:tcPr>
          <w:p w14:paraId="33E9FE87" w14:textId="6DEF6E35" w:rsidR="005D01C8" w:rsidRPr="00172F4C" w:rsidRDefault="00C42D5C" w:rsidP="00172F4C">
            <w:pPr>
              <w:rPr>
                <w:rFonts w:ascii="Times New Roman" w:hAnsi="Times New Roman" w:cs="Times New Roman"/>
                <w:sz w:val="22"/>
                <w:szCs w:val="22"/>
              </w:rPr>
            </w:pPr>
            <w:r w:rsidRPr="00172F4C">
              <w:rPr>
                <w:rFonts w:ascii="Times New Roman" w:hAnsi="Times New Roman" w:cs="Times New Roman"/>
                <w:sz w:val="22"/>
                <w:szCs w:val="22"/>
              </w:rPr>
              <w:t xml:space="preserve">For the majority of the interviews, only the interviewer and the participant were present. On the interviewers’ end, there were never any non-participants present. On the participants’ end, there were instances of non-participants present. Of the non-participants who were identified during the interviews, they were all small children requiring the parent’s care. For the phone-based interviews, it is possible that additional non-participants were present who were not identified during the interviews. </w:t>
            </w:r>
          </w:p>
        </w:tc>
      </w:tr>
      <w:tr w:rsidR="00C42D5C" w:rsidRPr="00172F4C" w14:paraId="3DAA839B" w14:textId="77777777" w:rsidTr="00F459AC">
        <w:tc>
          <w:tcPr>
            <w:tcW w:w="3505" w:type="dxa"/>
          </w:tcPr>
          <w:p w14:paraId="0E4D175E" w14:textId="0CA2BA6A" w:rsidR="00C42D5C" w:rsidRPr="00172F4C" w:rsidRDefault="00C42D5C"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Description of sample</w:t>
            </w:r>
          </w:p>
        </w:tc>
        <w:tc>
          <w:tcPr>
            <w:tcW w:w="7285" w:type="dxa"/>
          </w:tcPr>
          <w:p w14:paraId="3E8634F5" w14:textId="718B799C" w:rsidR="00C42D5C" w:rsidRPr="00172F4C" w:rsidRDefault="004567D8" w:rsidP="00172F4C">
            <w:pPr>
              <w:rPr>
                <w:rFonts w:ascii="Times New Roman" w:hAnsi="Times New Roman" w:cs="Times New Roman"/>
                <w:sz w:val="22"/>
                <w:szCs w:val="22"/>
              </w:rPr>
            </w:pPr>
            <w:r w:rsidRPr="00172F4C">
              <w:rPr>
                <w:rFonts w:ascii="Times New Roman" w:hAnsi="Times New Roman" w:cs="Times New Roman"/>
                <w:sz w:val="22"/>
                <w:szCs w:val="22"/>
              </w:rPr>
              <w:t xml:space="preserve">The demographic characteristics of the interview participants and their children with GDD/ID are outlined in </w:t>
            </w:r>
            <w:r w:rsidRPr="00172F4C">
              <w:rPr>
                <w:rFonts w:ascii="Times New Roman" w:hAnsi="Times New Roman" w:cs="Times New Roman"/>
                <w:b/>
                <w:bCs/>
                <w:sz w:val="22"/>
                <w:szCs w:val="22"/>
              </w:rPr>
              <w:t>Table 1</w:t>
            </w:r>
            <w:r w:rsidRPr="00172F4C">
              <w:rPr>
                <w:rFonts w:ascii="Times New Roman" w:hAnsi="Times New Roman" w:cs="Times New Roman"/>
                <w:sz w:val="22"/>
                <w:szCs w:val="22"/>
              </w:rPr>
              <w:t xml:space="preserve"> and </w:t>
            </w:r>
            <w:r w:rsidRPr="00172F4C">
              <w:rPr>
                <w:rFonts w:ascii="Times New Roman" w:hAnsi="Times New Roman" w:cs="Times New Roman"/>
                <w:b/>
                <w:bCs/>
                <w:sz w:val="22"/>
                <w:szCs w:val="22"/>
              </w:rPr>
              <w:t>Table 2</w:t>
            </w:r>
            <w:r w:rsidRPr="00172F4C">
              <w:rPr>
                <w:rFonts w:ascii="Times New Roman" w:hAnsi="Times New Roman" w:cs="Times New Roman"/>
                <w:sz w:val="22"/>
                <w:szCs w:val="22"/>
              </w:rPr>
              <w:t xml:space="preserve">.  </w:t>
            </w:r>
          </w:p>
        </w:tc>
      </w:tr>
      <w:tr w:rsidR="004567D8" w:rsidRPr="00172F4C" w14:paraId="200B5C26" w14:textId="77777777" w:rsidTr="00F459AC">
        <w:tc>
          <w:tcPr>
            <w:tcW w:w="3505" w:type="dxa"/>
          </w:tcPr>
          <w:p w14:paraId="3FE0BA6D" w14:textId="20AE6A84" w:rsidR="004567D8" w:rsidRPr="00172F4C" w:rsidRDefault="004567D8" w:rsidP="00172F4C">
            <w:pPr>
              <w:rPr>
                <w:rFonts w:ascii="Times New Roman" w:hAnsi="Times New Roman" w:cs="Times New Roman"/>
                <w:sz w:val="22"/>
                <w:szCs w:val="22"/>
              </w:rPr>
            </w:pPr>
            <w:r w:rsidRPr="00172F4C">
              <w:rPr>
                <w:rFonts w:ascii="Times New Roman" w:hAnsi="Times New Roman" w:cs="Times New Roman"/>
                <w:sz w:val="22"/>
                <w:szCs w:val="22"/>
              </w:rPr>
              <w:t>Data Collection</w:t>
            </w:r>
          </w:p>
        </w:tc>
        <w:tc>
          <w:tcPr>
            <w:tcW w:w="7285" w:type="dxa"/>
          </w:tcPr>
          <w:p w14:paraId="2B5CBEAA" w14:textId="77777777" w:rsidR="004567D8" w:rsidRPr="00172F4C" w:rsidRDefault="004567D8" w:rsidP="00172F4C">
            <w:pPr>
              <w:rPr>
                <w:rFonts w:ascii="Times New Roman" w:hAnsi="Times New Roman" w:cs="Times New Roman"/>
                <w:sz w:val="22"/>
                <w:szCs w:val="22"/>
              </w:rPr>
            </w:pPr>
          </w:p>
        </w:tc>
      </w:tr>
      <w:tr w:rsidR="004567D8" w:rsidRPr="00172F4C" w14:paraId="21225B95" w14:textId="77777777" w:rsidTr="00F459AC">
        <w:tc>
          <w:tcPr>
            <w:tcW w:w="3505" w:type="dxa"/>
          </w:tcPr>
          <w:p w14:paraId="6954C1B2" w14:textId="364D7563" w:rsidR="004567D8" w:rsidRPr="00172F4C" w:rsidRDefault="004567D8"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Interview guide</w:t>
            </w:r>
          </w:p>
        </w:tc>
        <w:tc>
          <w:tcPr>
            <w:tcW w:w="7285" w:type="dxa"/>
          </w:tcPr>
          <w:p w14:paraId="7397C9B7" w14:textId="5BF0954F" w:rsidR="004567D8" w:rsidRPr="00172F4C" w:rsidRDefault="004567D8" w:rsidP="00172F4C">
            <w:pPr>
              <w:rPr>
                <w:rFonts w:ascii="Times New Roman" w:hAnsi="Times New Roman" w:cs="Times New Roman"/>
                <w:sz w:val="22"/>
                <w:szCs w:val="22"/>
              </w:rPr>
            </w:pPr>
            <w:r w:rsidRPr="00172F4C">
              <w:rPr>
                <w:rFonts w:ascii="Times New Roman" w:hAnsi="Times New Roman" w:cs="Times New Roman"/>
                <w:sz w:val="22"/>
                <w:szCs w:val="22"/>
              </w:rPr>
              <w:t xml:space="preserve">The interview guide is provided in </w:t>
            </w:r>
            <w:r w:rsidRPr="00172F4C">
              <w:rPr>
                <w:rFonts w:ascii="Times New Roman" w:hAnsi="Times New Roman" w:cs="Times New Roman"/>
                <w:b/>
                <w:bCs/>
                <w:sz w:val="22"/>
                <w:szCs w:val="22"/>
              </w:rPr>
              <w:t xml:space="preserve">Appendix </w:t>
            </w:r>
            <w:r w:rsidR="00E30D03" w:rsidRPr="00172F4C">
              <w:rPr>
                <w:rFonts w:ascii="Times New Roman" w:hAnsi="Times New Roman" w:cs="Times New Roman"/>
                <w:b/>
                <w:bCs/>
                <w:sz w:val="22"/>
                <w:szCs w:val="22"/>
              </w:rPr>
              <w:t>B</w:t>
            </w:r>
            <w:r w:rsidRPr="00172F4C">
              <w:rPr>
                <w:rFonts w:ascii="Times New Roman" w:hAnsi="Times New Roman" w:cs="Times New Roman"/>
                <w:sz w:val="22"/>
                <w:szCs w:val="22"/>
              </w:rPr>
              <w:t xml:space="preserve">. It was pilot tested in one caregiver of children with GDD/ID. The original version of this adapted interview guide was developed, piloted, and used in a prior study investigating </w:t>
            </w:r>
            <w:r w:rsidR="003365A1" w:rsidRPr="00172F4C">
              <w:rPr>
                <w:rFonts w:ascii="Times New Roman" w:hAnsi="Times New Roman" w:cs="Times New Roman"/>
                <w:sz w:val="22"/>
                <w:szCs w:val="22"/>
              </w:rPr>
              <w:t>the diagnostic odyssey among African American children with autism spectrum disorder. (</w:t>
            </w:r>
            <w:r w:rsidR="003365A1" w:rsidRPr="00172F4C">
              <w:rPr>
                <w:rFonts w:ascii="Times New Roman" w:hAnsi="Times New Roman" w:cs="Times New Roman"/>
                <w:color w:val="212121"/>
                <w:sz w:val="22"/>
                <w:szCs w:val="22"/>
                <w:shd w:val="clear" w:color="auto" w:fill="FFFFFF"/>
              </w:rPr>
              <w:t xml:space="preserve">Constantino JN, </w:t>
            </w:r>
            <w:proofErr w:type="spellStart"/>
            <w:r w:rsidR="003365A1" w:rsidRPr="00172F4C">
              <w:rPr>
                <w:rFonts w:ascii="Times New Roman" w:hAnsi="Times New Roman" w:cs="Times New Roman"/>
                <w:color w:val="212121"/>
                <w:sz w:val="22"/>
                <w:szCs w:val="22"/>
                <w:shd w:val="clear" w:color="auto" w:fill="FFFFFF"/>
              </w:rPr>
              <w:t>Abbacchi</w:t>
            </w:r>
            <w:proofErr w:type="spellEnd"/>
            <w:r w:rsidR="003365A1" w:rsidRPr="00172F4C">
              <w:rPr>
                <w:rFonts w:ascii="Times New Roman" w:hAnsi="Times New Roman" w:cs="Times New Roman"/>
                <w:color w:val="212121"/>
                <w:sz w:val="22"/>
                <w:szCs w:val="22"/>
                <w:shd w:val="clear" w:color="auto" w:fill="FFFFFF"/>
              </w:rPr>
              <w:t xml:space="preserve"> AM, Saulnier C, et al. Timing of the Diagnosis of Autism in African American Children.</w:t>
            </w:r>
            <w:r w:rsidR="003365A1" w:rsidRPr="00172F4C">
              <w:rPr>
                <w:rStyle w:val="apple-converted-space"/>
                <w:rFonts w:ascii="Times New Roman" w:hAnsi="Times New Roman" w:cs="Times New Roman"/>
                <w:color w:val="212121"/>
                <w:sz w:val="22"/>
                <w:szCs w:val="22"/>
                <w:shd w:val="clear" w:color="auto" w:fill="FFFFFF"/>
              </w:rPr>
              <w:t> </w:t>
            </w:r>
            <w:r w:rsidR="003365A1" w:rsidRPr="00172F4C">
              <w:rPr>
                <w:rFonts w:ascii="Times New Roman" w:hAnsi="Times New Roman" w:cs="Times New Roman"/>
                <w:i/>
                <w:iCs/>
                <w:color w:val="212121"/>
                <w:sz w:val="22"/>
                <w:szCs w:val="22"/>
              </w:rPr>
              <w:t>Pediatrics</w:t>
            </w:r>
            <w:r w:rsidR="003365A1" w:rsidRPr="00172F4C">
              <w:rPr>
                <w:rFonts w:ascii="Times New Roman" w:hAnsi="Times New Roman" w:cs="Times New Roman"/>
                <w:color w:val="212121"/>
                <w:sz w:val="22"/>
                <w:szCs w:val="22"/>
                <w:shd w:val="clear" w:color="auto" w:fill="FFFFFF"/>
              </w:rPr>
              <w:t>. 2020;146(3):e20193629. doi:10.1542/peds.2019-3629).</w:t>
            </w:r>
          </w:p>
        </w:tc>
      </w:tr>
      <w:tr w:rsidR="004567D8" w:rsidRPr="00172F4C" w14:paraId="5BF24531" w14:textId="77777777" w:rsidTr="00F459AC">
        <w:tc>
          <w:tcPr>
            <w:tcW w:w="3505" w:type="dxa"/>
          </w:tcPr>
          <w:p w14:paraId="7E5AC645" w14:textId="5FC3F1FB" w:rsidR="004567D8"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Repeat interviews</w:t>
            </w:r>
          </w:p>
        </w:tc>
        <w:tc>
          <w:tcPr>
            <w:tcW w:w="7285" w:type="dxa"/>
          </w:tcPr>
          <w:p w14:paraId="7B753EAC" w14:textId="0D4A49CF" w:rsidR="004567D8"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 xml:space="preserve">No repeat interviews were conducted as part of this study. </w:t>
            </w:r>
          </w:p>
        </w:tc>
      </w:tr>
      <w:tr w:rsidR="003365A1" w:rsidRPr="00172F4C" w14:paraId="73552405" w14:textId="77777777" w:rsidTr="00F459AC">
        <w:tc>
          <w:tcPr>
            <w:tcW w:w="3505" w:type="dxa"/>
          </w:tcPr>
          <w:p w14:paraId="0CDD9217" w14:textId="3E5B4442"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Audio/visual recording</w:t>
            </w:r>
          </w:p>
        </w:tc>
        <w:tc>
          <w:tcPr>
            <w:tcW w:w="7285" w:type="dxa"/>
          </w:tcPr>
          <w:p w14:paraId="2B3A36CD" w14:textId="1F3A828D"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 xml:space="preserve">The interviews were audio/video recorded to allow for data transcription. </w:t>
            </w:r>
          </w:p>
        </w:tc>
      </w:tr>
      <w:tr w:rsidR="003365A1" w:rsidRPr="00172F4C" w14:paraId="3D542FEF" w14:textId="77777777" w:rsidTr="00F459AC">
        <w:tc>
          <w:tcPr>
            <w:tcW w:w="3505" w:type="dxa"/>
          </w:tcPr>
          <w:p w14:paraId="4F80BBAE" w14:textId="434EBCD4"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Field notes</w:t>
            </w:r>
          </w:p>
        </w:tc>
        <w:tc>
          <w:tcPr>
            <w:tcW w:w="7285" w:type="dxa"/>
          </w:tcPr>
          <w:p w14:paraId="18ACEEDC" w14:textId="412A62DA"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Field notes were made after each interview</w:t>
            </w:r>
            <w:r w:rsidR="00465987" w:rsidRPr="00172F4C">
              <w:rPr>
                <w:rFonts w:ascii="Times New Roman" w:hAnsi="Times New Roman" w:cs="Times New Roman"/>
                <w:sz w:val="22"/>
                <w:szCs w:val="22"/>
              </w:rPr>
              <w:t xml:space="preserve"> as needed</w:t>
            </w:r>
            <w:r w:rsidRPr="00172F4C">
              <w:rPr>
                <w:rFonts w:ascii="Times New Roman" w:hAnsi="Times New Roman" w:cs="Times New Roman"/>
                <w:sz w:val="22"/>
                <w:szCs w:val="22"/>
              </w:rPr>
              <w:t xml:space="preserve">. </w:t>
            </w:r>
          </w:p>
        </w:tc>
      </w:tr>
      <w:tr w:rsidR="003365A1" w:rsidRPr="00172F4C" w14:paraId="44D193B8" w14:textId="77777777" w:rsidTr="00F459AC">
        <w:tc>
          <w:tcPr>
            <w:tcW w:w="3505" w:type="dxa"/>
          </w:tcPr>
          <w:p w14:paraId="161E02AF" w14:textId="23208BC3"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Duration</w:t>
            </w:r>
          </w:p>
        </w:tc>
        <w:tc>
          <w:tcPr>
            <w:tcW w:w="7285" w:type="dxa"/>
          </w:tcPr>
          <w:p w14:paraId="1859B716" w14:textId="786D1399"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 xml:space="preserve">The interviews lasted </w:t>
            </w:r>
            <w:r w:rsidR="00FD021D" w:rsidRPr="00172F4C">
              <w:rPr>
                <w:rFonts w:ascii="Times New Roman" w:hAnsi="Times New Roman" w:cs="Times New Roman"/>
                <w:sz w:val="22"/>
                <w:szCs w:val="22"/>
              </w:rPr>
              <w:t xml:space="preserve">approximately 45-60 minutes each. </w:t>
            </w:r>
            <w:r w:rsidRPr="00172F4C">
              <w:rPr>
                <w:rFonts w:ascii="Times New Roman" w:hAnsi="Times New Roman" w:cs="Times New Roman"/>
                <w:sz w:val="22"/>
                <w:szCs w:val="22"/>
              </w:rPr>
              <w:t xml:space="preserve">  </w:t>
            </w:r>
          </w:p>
        </w:tc>
      </w:tr>
      <w:tr w:rsidR="003365A1" w:rsidRPr="00172F4C" w14:paraId="692EE9AB" w14:textId="77777777" w:rsidTr="00F459AC">
        <w:tc>
          <w:tcPr>
            <w:tcW w:w="3505" w:type="dxa"/>
          </w:tcPr>
          <w:p w14:paraId="236C31C1" w14:textId="5114F017"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Data saturation</w:t>
            </w:r>
          </w:p>
        </w:tc>
        <w:tc>
          <w:tcPr>
            <w:tcW w:w="7285" w:type="dxa"/>
          </w:tcPr>
          <w:p w14:paraId="08BD81F3" w14:textId="0983C5A8"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 xml:space="preserve">The interviewers discussed periodically whether they felt that data saturation had been reached. They agreed when data saturation had been reached. </w:t>
            </w:r>
          </w:p>
        </w:tc>
      </w:tr>
      <w:tr w:rsidR="003365A1" w:rsidRPr="00172F4C" w14:paraId="2484137B" w14:textId="77777777" w:rsidTr="003365A1">
        <w:tc>
          <w:tcPr>
            <w:tcW w:w="3505" w:type="dxa"/>
            <w:tcBorders>
              <w:bottom w:val="single" w:sz="4" w:space="0" w:color="auto"/>
            </w:tcBorders>
          </w:tcPr>
          <w:p w14:paraId="4812B2B7" w14:textId="786A2908"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Transcripts returned</w:t>
            </w:r>
          </w:p>
        </w:tc>
        <w:tc>
          <w:tcPr>
            <w:tcW w:w="7285" w:type="dxa"/>
            <w:tcBorders>
              <w:bottom w:val="single" w:sz="4" w:space="0" w:color="auto"/>
            </w:tcBorders>
          </w:tcPr>
          <w:p w14:paraId="105EEBAD" w14:textId="26869241"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 xml:space="preserve">Transcripts were not returned to participants for comment and/or correction. </w:t>
            </w:r>
          </w:p>
        </w:tc>
      </w:tr>
      <w:tr w:rsidR="003365A1" w:rsidRPr="00172F4C" w14:paraId="28408C19" w14:textId="77777777" w:rsidTr="00172F4C">
        <w:tc>
          <w:tcPr>
            <w:tcW w:w="10790" w:type="dxa"/>
            <w:gridSpan w:val="2"/>
          </w:tcPr>
          <w:p w14:paraId="2F4FECEA" w14:textId="64D96133" w:rsidR="003365A1" w:rsidRPr="00172F4C" w:rsidRDefault="003365A1" w:rsidP="00172F4C">
            <w:pPr>
              <w:rPr>
                <w:rFonts w:ascii="Times New Roman" w:hAnsi="Times New Roman" w:cs="Times New Roman"/>
                <w:b/>
                <w:bCs/>
                <w:sz w:val="22"/>
                <w:szCs w:val="22"/>
              </w:rPr>
            </w:pPr>
            <w:r w:rsidRPr="00172F4C">
              <w:rPr>
                <w:rFonts w:ascii="Times New Roman" w:hAnsi="Times New Roman" w:cs="Times New Roman"/>
                <w:b/>
                <w:bCs/>
                <w:sz w:val="22"/>
                <w:szCs w:val="22"/>
              </w:rPr>
              <w:t>Domain 3: Analysis and Findings</w:t>
            </w:r>
          </w:p>
        </w:tc>
      </w:tr>
      <w:tr w:rsidR="003365A1" w:rsidRPr="00172F4C" w14:paraId="08386F31" w14:textId="77777777" w:rsidTr="00F459AC">
        <w:tc>
          <w:tcPr>
            <w:tcW w:w="3505" w:type="dxa"/>
          </w:tcPr>
          <w:p w14:paraId="11CD1D1E" w14:textId="6FC49A19"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Data Analysis</w:t>
            </w:r>
          </w:p>
        </w:tc>
        <w:tc>
          <w:tcPr>
            <w:tcW w:w="7285" w:type="dxa"/>
          </w:tcPr>
          <w:p w14:paraId="04E2B4A2" w14:textId="77777777" w:rsidR="003365A1" w:rsidRPr="00172F4C" w:rsidRDefault="003365A1" w:rsidP="00172F4C">
            <w:pPr>
              <w:rPr>
                <w:rFonts w:ascii="Times New Roman" w:hAnsi="Times New Roman" w:cs="Times New Roman"/>
                <w:sz w:val="22"/>
                <w:szCs w:val="22"/>
              </w:rPr>
            </w:pPr>
          </w:p>
        </w:tc>
      </w:tr>
      <w:tr w:rsidR="003365A1" w:rsidRPr="00172F4C" w14:paraId="0030DABC" w14:textId="77777777" w:rsidTr="00F459AC">
        <w:tc>
          <w:tcPr>
            <w:tcW w:w="3505" w:type="dxa"/>
          </w:tcPr>
          <w:p w14:paraId="0C79C3B2" w14:textId="02FB454C"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Number of data coders</w:t>
            </w:r>
          </w:p>
        </w:tc>
        <w:tc>
          <w:tcPr>
            <w:tcW w:w="7285" w:type="dxa"/>
          </w:tcPr>
          <w:p w14:paraId="3655447A" w14:textId="20F3E84A" w:rsidR="003365A1" w:rsidRPr="00172F4C" w:rsidRDefault="003365A1" w:rsidP="00172F4C">
            <w:pPr>
              <w:rPr>
                <w:rFonts w:ascii="Times New Roman" w:hAnsi="Times New Roman" w:cs="Times New Roman"/>
                <w:sz w:val="22"/>
                <w:szCs w:val="22"/>
              </w:rPr>
            </w:pPr>
            <w:r w:rsidRPr="00172F4C">
              <w:rPr>
                <w:rFonts w:ascii="Times New Roman" w:hAnsi="Times New Roman" w:cs="Times New Roman"/>
                <w:sz w:val="22"/>
                <w:szCs w:val="22"/>
              </w:rPr>
              <w:t>One (EAK)</w:t>
            </w:r>
          </w:p>
        </w:tc>
      </w:tr>
      <w:tr w:rsidR="003365A1" w:rsidRPr="00172F4C" w14:paraId="7FA288F6" w14:textId="77777777" w:rsidTr="00F459AC">
        <w:tc>
          <w:tcPr>
            <w:tcW w:w="3505" w:type="dxa"/>
          </w:tcPr>
          <w:p w14:paraId="780A27BF" w14:textId="7DBD7DA4"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Description of the coding tree</w:t>
            </w:r>
          </w:p>
        </w:tc>
        <w:tc>
          <w:tcPr>
            <w:tcW w:w="7285" w:type="dxa"/>
          </w:tcPr>
          <w:p w14:paraId="38A3D155" w14:textId="18B48F10" w:rsidR="003365A1" w:rsidRPr="00172F4C" w:rsidRDefault="00FF145A" w:rsidP="00172F4C">
            <w:pPr>
              <w:pStyle w:val="NormalWeb"/>
              <w:rPr>
                <w:sz w:val="22"/>
                <w:szCs w:val="22"/>
              </w:rPr>
            </w:pPr>
            <w:r w:rsidRPr="00172F4C">
              <w:rPr>
                <w:sz w:val="22"/>
                <w:szCs w:val="22"/>
              </w:rPr>
              <w:t xml:space="preserve">The codebook is provided in </w:t>
            </w:r>
            <w:r w:rsidRPr="00172F4C">
              <w:rPr>
                <w:b/>
                <w:bCs/>
                <w:sz w:val="22"/>
                <w:szCs w:val="22"/>
              </w:rPr>
              <w:t xml:space="preserve">Appendix </w:t>
            </w:r>
            <w:r w:rsidR="00E30D03" w:rsidRPr="00172F4C">
              <w:rPr>
                <w:b/>
                <w:bCs/>
                <w:sz w:val="22"/>
                <w:szCs w:val="22"/>
              </w:rPr>
              <w:t>C</w:t>
            </w:r>
            <w:r w:rsidRPr="00172F4C">
              <w:rPr>
                <w:sz w:val="22"/>
                <w:szCs w:val="22"/>
              </w:rPr>
              <w:t xml:space="preserve">. </w:t>
            </w:r>
          </w:p>
        </w:tc>
      </w:tr>
      <w:tr w:rsidR="003365A1" w:rsidRPr="00172F4C" w14:paraId="02D31D9E" w14:textId="77777777" w:rsidTr="00F459AC">
        <w:tc>
          <w:tcPr>
            <w:tcW w:w="3505" w:type="dxa"/>
          </w:tcPr>
          <w:p w14:paraId="45F2F773" w14:textId="63311A7A" w:rsidR="003365A1" w:rsidRPr="00172F4C" w:rsidRDefault="003365A1"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Derivation of themes</w:t>
            </w:r>
          </w:p>
        </w:tc>
        <w:tc>
          <w:tcPr>
            <w:tcW w:w="7285" w:type="dxa"/>
          </w:tcPr>
          <w:p w14:paraId="150BDABC" w14:textId="4F2754D9" w:rsidR="003365A1" w:rsidRPr="00172F4C" w:rsidRDefault="003365A1" w:rsidP="00172F4C">
            <w:pPr>
              <w:pStyle w:val="NormalWeb"/>
              <w:rPr>
                <w:color w:val="282323"/>
                <w:sz w:val="22"/>
                <w:szCs w:val="22"/>
              </w:rPr>
            </w:pPr>
            <w:r w:rsidRPr="00172F4C">
              <w:rPr>
                <w:color w:val="282323"/>
                <w:sz w:val="22"/>
                <w:szCs w:val="22"/>
              </w:rPr>
              <w:t xml:space="preserve">The themes were derived from the data. </w:t>
            </w:r>
          </w:p>
        </w:tc>
      </w:tr>
      <w:tr w:rsidR="00157F23" w:rsidRPr="00172F4C" w14:paraId="57AB0CD3" w14:textId="77777777" w:rsidTr="00F459AC">
        <w:tc>
          <w:tcPr>
            <w:tcW w:w="3505" w:type="dxa"/>
          </w:tcPr>
          <w:p w14:paraId="1ABC811B" w14:textId="680A0F0D" w:rsidR="00157F23" w:rsidRPr="00172F4C" w:rsidRDefault="00157F2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Software</w:t>
            </w:r>
          </w:p>
        </w:tc>
        <w:tc>
          <w:tcPr>
            <w:tcW w:w="7285" w:type="dxa"/>
          </w:tcPr>
          <w:p w14:paraId="4CB1AF9E" w14:textId="3ADD018C" w:rsidR="00157F23" w:rsidRPr="00172F4C" w:rsidRDefault="00157F23" w:rsidP="00172F4C">
            <w:pPr>
              <w:pStyle w:val="NormalWeb"/>
              <w:rPr>
                <w:color w:val="282323"/>
                <w:sz w:val="22"/>
                <w:szCs w:val="22"/>
              </w:rPr>
            </w:pPr>
            <w:r w:rsidRPr="00172F4C">
              <w:rPr>
                <w:color w:val="282323"/>
                <w:sz w:val="22"/>
                <w:szCs w:val="22"/>
              </w:rPr>
              <w:t xml:space="preserve">Dedoose, </w:t>
            </w:r>
            <w:r w:rsidRPr="00172F4C">
              <w:rPr>
                <w:sz w:val="22"/>
                <w:szCs w:val="22"/>
              </w:rPr>
              <w:t xml:space="preserve">a qualitative analysis software, was used. </w:t>
            </w:r>
          </w:p>
        </w:tc>
      </w:tr>
      <w:tr w:rsidR="00157F23" w:rsidRPr="00172F4C" w14:paraId="173DB63A" w14:textId="77777777" w:rsidTr="00F459AC">
        <w:tc>
          <w:tcPr>
            <w:tcW w:w="3505" w:type="dxa"/>
          </w:tcPr>
          <w:p w14:paraId="3CCCDB27" w14:textId="0679BDE9" w:rsidR="00157F23" w:rsidRPr="00172F4C" w:rsidRDefault="00157F2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Participant checking</w:t>
            </w:r>
          </w:p>
        </w:tc>
        <w:tc>
          <w:tcPr>
            <w:tcW w:w="7285" w:type="dxa"/>
          </w:tcPr>
          <w:p w14:paraId="1A004402" w14:textId="16345F40" w:rsidR="00157F23" w:rsidRPr="00172F4C" w:rsidRDefault="00157F23" w:rsidP="00172F4C">
            <w:pPr>
              <w:pStyle w:val="NormalWeb"/>
              <w:rPr>
                <w:color w:val="282323"/>
                <w:sz w:val="22"/>
                <w:szCs w:val="22"/>
              </w:rPr>
            </w:pPr>
            <w:r w:rsidRPr="00172F4C">
              <w:rPr>
                <w:color w:val="282323"/>
                <w:sz w:val="22"/>
                <w:szCs w:val="22"/>
              </w:rPr>
              <w:t xml:space="preserve">Participants did not provide feedback on the findings. </w:t>
            </w:r>
          </w:p>
        </w:tc>
      </w:tr>
      <w:tr w:rsidR="00157F23" w:rsidRPr="00172F4C" w14:paraId="270CBEE1" w14:textId="77777777" w:rsidTr="00F459AC">
        <w:tc>
          <w:tcPr>
            <w:tcW w:w="3505" w:type="dxa"/>
          </w:tcPr>
          <w:p w14:paraId="625EE5A3" w14:textId="22F7E1D8" w:rsidR="00157F23" w:rsidRPr="00172F4C" w:rsidRDefault="00157F23" w:rsidP="00172F4C">
            <w:pPr>
              <w:rPr>
                <w:rFonts w:ascii="Times New Roman" w:hAnsi="Times New Roman" w:cs="Times New Roman"/>
                <w:sz w:val="22"/>
                <w:szCs w:val="22"/>
              </w:rPr>
            </w:pPr>
            <w:r w:rsidRPr="00172F4C">
              <w:rPr>
                <w:rFonts w:ascii="Times New Roman" w:hAnsi="Times New Roman" w:cs="Times New Roman"/>
                <w:sz w:val="22"/>
                <w:szCs w:val="22"/>
              </w:rPr>
              <w:t>Reporting</w:t>
            </w:r>
          </w:p>
        </w:tc>
        <w:tc>
          <w:tcPr>
            <w:tcW w:w="7285" w:type="dxa"/>
          </w:tcPr>
          <w:p w14:paraId="6D9C7A4D" w14:textId="77777777" w:rsidR="00157F23" w:rsidRPr="00172F4C" w:rsidRDefault="00157F23" w:rsidP="00172F4C">
            <w:pPr>
              <w:pStyle w:val="NormalWeb"/>
              <w:rPr>
                <w:color w:val="282323"/>
                <w:sz w:val="22"/>
                <w:szCs w:val="22"/>
              </w:rPr>
            </w:pPr>
          </w:p>
        </w:tc>
      </w:tr>
      <w:tr w:rsidR="00157F23" w:rsidRPr="00172F4C" w14:paraId="4E6F2CD5" w14:textId="77777777" w:rsidTr="00F459AC">
        <w:tc>
          <w:tcPr>
            <w:tcW w:w="3505" w:type="dxa"/>
          </w:tcPr>
          <w:p w14:paraId="4D72210C" w14:textId="2E7B9DEF" w:rsidR="00157F23" w:rsidRPr="00172F4C" w:rsidRDefault="00157F2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Quotations presented</w:t>
            </w:r>
          </w:p>
        </w:tc>
        <w:tc>
          <w:tcPr>
            <w:tcW w:w="7285" w:type="dxa"/>
          </w:tcPr>
          <w:p w14:paraId="2E6AB359" w14:textId="4BE2365A" w:rsidR="00157F23" w:rsidRPr="00172F4C" w:rsidRDefault="00157F23" w:rsidP="00172F4C">
            <w:pPr>
              <w:pStyle w:val="NormalWeb"/>
              <w:rPr>
                <w:color w:val="282323"/>
                <w:sz w:val="22"/>
                <w:szCs w:val="22"/>
              </w:rPr>
            </w:pPr>
            <w:r w:rsidRPr="00172F4C">
              <w:rPr>
                <w:color w:val="282323"/>
                <w:sz w:val="22"/>
                <w:szCs w:val="22"/>
              </w:rPr>
              <w:t xml:space="preserve">Quotations illustrating the themes/findings are provided in </w:t>
            </w:r>
            <w:r w:rsidRPr="00172F4C">
              <w:rPr>
                <w:b/>
                <w:bCs/>
                <w:color w:val="282323"/>
                <w:sz w:val="22"/>
                <w:szCs w:val="22"/>
              </w:rPr>
              <w:t>Table 3</w:t>
            </w:r>
            <w:r w:rsidRPr="00172F4C">
              <w:rPr>
                <w:color w:val="282323"/>
                <w:sz w:val="22"/>
                <w:szCs w:val="22"/>
              </w:rPr>
              <w:t>. Participant numbers are provided for the quotes.</w:t>
            </w:r>
          </w:p>
        </w:tc>
      </w:tr>
      <w:tr w:rsidR="00157F23" w:rsidRPr="00172F4C" w14:paraId="0F23639B" w14:textId="77777777" w:rsidTr="00F459AC">
        <w:tc>
          <w:tcPr>
            <w:tcW w:w="3505" w:type="dxa"/>
          </w:tcPr>
          <w:p w14:paraId="26E09F4E" w14:textId="43079034" w:rsidR="00157F23" w:rsidRPr="00172F4C" w:rsidRDefault="00157F2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Data and findings consistent</w:t>
            </w:r>
          </w:p>
        </w:tc>
        <w:tc>
          <w:tcPr>
            <w:tcW w:w="7285" w:type="dxa"/>
          </w:tcPr>
          <w:p w14:paraId="124C2B3C" w14:textId="0D0ADB25" w:rsidR="00157F23" w:rsidRPr="00172F4C" w:rsidRDefault="00157F23" w:rsidP="00172F4C">
            <w:pPr>
              <w:pStyle w:val="NormalWeb"/>
              <w:rPr>
                <w:color w:val="282323"/>
                <w:sz w:val="22"/>
                <w:szCs w:val="22"/>
              </w:rPr>
            </w:pPr>
            <w:r w:rsidRPr="00172F4C">
              <w:rPr>
                <w:color w:val="282323"/>
                <w:sz w:val="22"/>
                <w:szCs w:val="22"/>
              </w:rPr>
              <w:t xml:space="preserve">The Discussion section describes the findings as related to what was shown in the data. </w:t>
            </w:r>
          </w:p>
        </w:tc>
      </w:tr>
      <w:tr w:rsidR="00157F23" w:rsidRPr="00172F4C" w14:paraId="7C437591" w14:textId="77777777" w:rsidTr="00F459AC">
        <w:tc>
          <w:tcPr>
            <w:tcW w:w="3505" w:type="dxa"/>
          </w:tcPr>
          <w:p w14:paraId="1A4AFF28" w14:textId="45085D9F" w:rsidR="00157F23" w:rsidRPr="00172F4C" w:rsidRDefault="00157F2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Clarity of major themes</w:t>
            </w:r>
          </w:p>
        </w:tc>
        <w:tc>
          <w:tcPr>
            <w:tcW w:w="7285" w:type="dxa"/>
          </w:tcPr>
          <w:p w14:paraId="4A2B5AB4" w14:textId="41D90623" w:rsidR="00157F23" w:rsidRPr="00172F4C" w:rsidRDefault="00157F23" w:rsidP="00172F4C">
            <w:pPr>
              <w:pStyle w:val="NormalWeb"/>
              <w:rPr>
                <w:color w:val="282323"/>
                <w:sz w:val="22"/>
                <w:szCs w:val="22"/>
              </w:rPr>
            </w:pPr>
            <w:r w:rsidRPr="00172F4C">
              <w:rPr>
                <w:color w:val="282323"/>
                <w:sz w:val="22"/>
                <w:szCs w:val="22"/>
              </w:rPr>
              <w:t xml:space="preserve">The major themes are described in the Results section and discussed in the Discussion section. </w:t>
            </w:r>
          </w:p>
        </w:tc>
      </w:tr>
      <w:tr w:rsidR="00157F23" w:rsidRPr="00172F4C" w14:paraId="05BC57E8" w14:textId="77777777" w:rsidTr="00F459AC">
        <w:tc>
          <w:tcPr>
            <w:tcW w:w="3505" w:type="dxa"/>
          </w:tcPr>
          <w:p w14:paraId="25B6D082" w14:textId="268518BD" w:rsidR="00157F23" w:rsidRPr="00172F4C" w:rsidRDefault="00157F23" w:rsidP="00172F4C">
            <w:pPr>
              <w:pStyle w:val="ListParagraph"/>
              <w:numPr>
                <w:ilvl w:val="0"/>
                <w:numId w:val="1"/>
              </w:numPr>
              <w:rPr>
                <w:rFonts w:ascii="Times New Roman" w:hAnsi="Times New Roman" w:cs="Times New Roman"/>
                <w:sz w:val="22"/>
                <w:szCs w:val="22"/>
              </w:rPr>
            </w:pPr>
            <w:r w:rsidRPr="00172F4C">
              <w:rPr>
                <w:rFonts w:ascii="Times New Roman" w:hAnsi="Times New Roman" w:cs="Times New Roman"/>
                <w:sz w:val="22"/>
                <w:szCs w:val="22"/>
              </w:rPr>
              <w:t>Clarity of minor themes</w:t>
            </w:r>
          </w:p>
        </w:tc>
        <w:tc>
          <w:tcPr>
            <w:tcW w:w="7285" w:type="dxa"/>
          </w:tcPr>
          <w:p w14:paraId="7169DFD1" w14:textId="4A6E3BBF" w:rsidR="00157F23" w:rsidRPr="00172F4C" w:rsidRDefault="00FF145A" w:rsidP="00172F4C">
            <w:pPr>
              <w:pStyle w:val="NormalWeb"/>
              <w:rPr>
                <w:i/>
                <w:iCs/>
              </w:rPr>
            </w:pPr>
            <w:r w:rsidRPr="00172F4C">
              <w:rPr>
                <w:rFonts w:ascii="AdvTT378de93d" w:hAnsi="AdvTT378de93d"/>
                <w:color w:val="282323"/>
                <w:sz w:val="20"/>
                <w:szCs w:val="20"/>
              </w:rPr>
              <w:t>Within each of the major themes, there is discussion of variability in responses amongst participants.</w:t>
            </w:r>
          </w:p>
        </w:tc>
      </w:tr>
    </w:tbl>
    <w:p w14:paraId="4EFF2A35" w14:textId="77777777" w:rsidR="00BD104D" w:rsidRPr="00172F4C" w:rsidRDefault="00BD104D" w:rsidP="00172F4C">
      <w:pPr>
        <w:rPr>
          <w:rFonts w:ascii="Times New Roman" w:hAnsi="Times New Roman" w:cs="Times New Roman"/>
          <w:sz w:val="22"/>
          <w:szCs w:val="22"/>
        </w:rPr>
      </w:pPr>
    </w:p>
    <w:p w14:paraId="34B5AECA" w14:textId="00B8D8A1" w:rsidR="00CD6C3D" w:rsidRPr="00603D33" w:rsidRDefault="00CD6C3D" w:rsidP="00172F4C">
      <w:pPr>
        <w:pStyle w:val="EndNoteBibliography"/>
        <w:rPr>
          <w:rFonts w:ascii="Times New Roman" w:hAnsi="Times New Roman" w:cs="Times New Roman"/>
          <w:noProof/>
          <w:sz w:val="22"/>
          <w:szCs w:val="22"/>
        </w:rPr>
      </w:pPr>
      <w:r w:rsidRPr="00172F4C">
        <w:rPr>
          <w:rFonts w:ascii="Times New Roman" w:hAnsi="Times New Roman" w:cs="Times New Roman"/>
          <w:sz w:val="22"/>
          <w:szCs w:val="22"/>
          <w:vertAlign w:val="superscript"/>
        </w:rPr>
        <w:t>1</w:t>
      </w:r>
      <w:r w:rsidRPr="00172F4C">
        <w:rPr>
          <w:rFonts w:ascii="Times New Roman" w:hAnsi="Times New Roman" w:cs="Times New Roman"/>
          <w:noProof/>
          <w:sz w:val="22"/>
          <w:szCs w:val="22"/>
        </w:rPr>
        <w:t xml:space="preserve"> Tong A, Sainsbury P, Craig J. Consolidated criteria for reporting qualitative research (COREQ): a 32-item checklist for interviews and focus groups. </w:t>
      </w:r>
      <w:r w:rsidRPr="00172F4C">
        <w:rPr>
          <w:rFonts w:ascii="Times New Roman" w:hAnsi="Times New Roman" w:cs="Times New Roman"/>
          <w:i/>
          <w:noProof/>
          <w:sz w:val="22"/>
          <w:szCs w:val="22"/>
        </w:rPr>
        <w:t>Int J Qual Health Care</w:t>
      </w:r>
      <w:r w:rsidRPr="00172F4C">
        <w:rPr>
          <w:rFonts w:ascii="Times New Roman" w:hAnsi="Times New Roman" w:cs="Times New Roman"/>
          <w:noProof/>
          <w:sz w:val="22"/>
          <w:szCs w:val="22"/>
        </w:rPr>
        <w:t>. Dec 2007;19(6):349-57. doi:10.1093/intqhc/mzm042</w:t>
      </w:r>
    </w:p>
    <w:p w14:paraId="32C6B53A" w14:textId="38FF4D6E" w:rsidR="00CD6C3D" w:rsidRPr="00CD6C3D" w:rsidRDefault="00CD6C3D">
      <w:pPr>
        <w:rPr>
          <w:rFonts w:ascii="Times New Roman" w:hAnsi="Times New Roman" w:cs="Times New Roman"/>
          <w:sz w:val="22"/>
          <w:szCs w:val="22"/>
        </w:rPr>
      </w:pPr>
    </w:p>
    <w:sectPr w:rsidR="00CD6C3D" w:rsidRPr="00CD6C3D" w:rsidSect="008C2AE7">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vTT378de93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C1A"/>
    <w:multiLevelType w:val="hybridMultilevel"/>
    <w:tmpl w:val="56F6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01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4D"/>
    <w:rsid w:val="00001180"/>
    <w:rsid w:val="00003611"/>
    <w:rsid w:val="000119C1"/>
    <w:rsid w:val="00011FCE"/>
    <w:rsid w:val="000230A6"/>
    <w:rsid w:val="0003159C"/>
    <w:rsid w:val="000423E3"/>
    <w:rsid w:val="00042626"/>
    <w:rsid w:val="00042906"/>
    <w:rsid w:val="00045F03"/>
    <w:rsid w:val="00047EA5"/>
    <w:rsid w:val="000515E2"/>
    <w:rsid w:val="00052F0C"/>
    <w:rsid w:val="0005342F"/>
    <w:rsid w:val="00065CE9"/>
    <w:rsid w:val="000660A4"/>
    <w:rsid w:val="000748D7"/>
    <w:rsid w:val="00075282"/>
    <w:rsid w:val="00075CF8"/>
    <w:rsid w:val="00076CAC"/>
    <w:rsid w:val="000770E6"/>
    <w:rsid w:val="00087E05"/>
    <w:rsid w:val="00096B45"/>
    <w:rsid w:val="000A3DDA"/>
    <w:rsid w:val="000A5B9F"/>
    <w:rsid w:val="000A616F"/>
    <w:rsid w:val="000B1C6F"/>
    <w:rsid w:val="000E0950"/>
    <w:rsid w:val="000E175B"/>
    <w:rsid w:val="000F43BF"/>
    <w:rsid w:val="000F547A"/>
    <w:rsid w:val="000F5F0A"/>
    <w:rsid w:val="0010225B"/>
    <w:rsid w:val="0011731D"/>
    <w:rsid w:val="0012091C"/>
    <w:rsid w:val="00121982"/>
    <w:rsid w:val="00124D7F"/>
    <w:rsid w:val="00124FF8"/>
    <w:rsid w:val="00130FC2"/>
    <w:rsid w:val="001335CE"/>
    <w:rsid w:val="001347F3"/>
    <w:rsid w:val="001374CE"/>
    <w:rsid w:val="00143FAD"/>
    <w:rsid w:val="001442FA"/>
    <w:rsid w:val="0014481D"/>
    <w:rsid w:val="001452B9"/>
    <w:rsid w:val="00146A8B"/>
    <w:rsid w:val="00146E94"/>
    <w:rsid w:val="00155A74"/>
    <w:rsid w:val="00156C64"/>
    <w:rsid w:val="00157F23"/>
    <w:rsid w:val="00163251"/>
    <w:rsid w:val="00164F72"/>
    <w:rsid w:val="00171756"/>
    <w:rsid w:val="00172F4C"/>
    <w:rsid w:val="00180265"/>
    <w:rsid w:val="00182FEA"/>
    <w:rsid w:val="00187F19"/>
    <w:rsid w:val="001A682B"/>
    <w:rsid w:val="001C4744"/>
    <w:rsid w:val="001C4B3E"/>
    <w:rsid w:val="001C5A39"/>
    <w:rsid w:val="001C661A"/>
    <w:rsid w:val="001D1C70"/>
    <w:rsid w:val="001D5875"/>
    <w:rsid w:val="001E6AEC"/>
    <w:rsid w:val="001E7DC1"/>
    <w:rsid w:val="001F1F14"/>
    <w:rsid w:val="001F364F"/>
    <w:rsid w:val="001F383B"/>
    <w:rsid w:val="002015E2"/>
    <w:rsid w:val="002105EC"/>
    <w:rsid w:val="002167B9"/>
    <w:rsid w:val="00224A7E"/>
    <w:rsid w:val="0022666C"/>
    <w:rsid w:val="00226BF1"/>
    <w:rsid w:val="00232C63"/>
    <w:rsid w:val="002337E7"/>
    <w:rsid w:val="0023613A"/>
    <w:rsid w:val="00243DDF"/>
    <w:rsid w:val="00244656"/>
    <w:rsid w:val="00250B89"/>
    <w:rsid w:val="002519AC"/>
    <w:rsid w:val="002528BF"/>
    <w:rsid w:val="0026703F"/>
    <w:rsid w:val="0026757A"/>
    <w:rsid w:val="00283ECA"/>
    <w:rsid w:val="00284275"/>
    <w:rsid w:val="00284933"/>
    <w:rsid w:val="00286C86"/>
    <w:rsid w:val="0029383B"/>
    <w:rsid w:val="002A0152"/>
    <w:rsid w:val="002A74F7"/>
    <w:rsid w:val="002B262C"/>
    <w:rsid w:val="002C37BD"/>
    <w:rsid w:val="002C3A2A"/>
    <w:rsid w:val="002D208B"/>
    <w:rsid w:val="002D3CF4"/>
    <w:rsid w:val="002D6B78"/>
    <w:rsid w:val="002D7FE4"/>
    <w:rsid w:val="002E406F"/>
    <w:rsid w:val="002E51FA"/>
    <w:rsid w:val="002F04BD"/>
    <w:rsid w:val="002F0552"/>
    <w:rsid w:val="002F112B"/>
    <w:rsid w:val="003140A3"/>
    <w:rsid w:val="00321695"/>
    <w:rsid w:val="0033516F"/>
    <w:rsid w:val="003365A1"/>
    <w:rsid w:val="003445F7"/>
    <w:rsid w:val="00347A87"/>
    <w:rsid w:val="00350C2F"/>
    <w:rsid w:val="00355C5E"/>
    <w:rsid w:val="00361E0D"/>
    <w:rsid w:val="0036290A"/>
    <w:rsid w:val="00363559"/>
    <w:rsid w:val="003645DB"/>
    <w:rsid w:val="0037208F"/>
    <w:rsid w:val="00374304"/>
    <w:rsid w:val="0038032F"/>
    <w:rsid w:val="00380EFC"/>
    <w:rsid w:val="0038178D"/>
    <w:rsid w:val="00397422"/>
    <w:rsid w:val="003A7286"/>
    <w:rsid w:val="003B1C61"/>
    <w:rsid w:val="003B2CDE"/>
    <w:rsid w:val="003B756E"/>
    <w:rsid w:val="003B7A74"/>
    <w:rsid w:val="003C23F1"/>
    <w:rsid w:val="003C554D"/>
    <w:rsid w:val="003D45A8"/>
    <w:rsid w:val="003D4CDB"/>
    <w:rsid w:val="003F4C91"/>
    <w:rsid w:val="00401344"/>
    <w:rsid w:val="00402773"/>
    <w:rsid w:val="00403A0C"/>
    <w:rsid w:val="00403DFB"/>
    <w:rsid w:val="004055D3"/>
    <w:rsid w:val="00420C15"/>
    <w:rsid w:val="00423E36"/>
    <w:rsid w:val="0042716A"/>
    <w:rsid w:val="00433228"/>
    <w:rsid w:val="00435617"/>
    <w:rsid w:val="00444AB6"/>
    <w:rsid w:val="004567C6"/>
    <w:rsid w:val="004567D8"/>
    <w:rsid w:val="0046030C"/>
    <w:rsid w:val="0046287B"/>
    <w:rsid w:val="00465987"/>
    <w:rsid w:val="00466A67"/>
    <w:rsid w:val="00467FD6"/>
    <w:rsid w:val="004706F9"/>
    <w:rsid w:val="00480193"/>
    <w:rsid w:val="00487F84"/>
    <w:rsid w:val="00495C1B"/>
    <w:rsid w:val="004A2A0F"/>
    <w:rsid w:val="004A717E"/>
    <w:rsid w:val="004A764B"/>
    <w:rsid w:val="004C4C2B"/>
    <w:rsid w:val="004D5AE4"/>
    <w:rsid w:val="004E01A3"/>
    <w:rsid w:val="004E15EA"/>
    <w:rsid w:val="004E3461"/>
    <w:rsid w:val="004E4DE6"/>
    <w:rsid w:val="004F227A"/>
    <w:rsid w:val="004F337A"/>
    <w:rsid w:val="004F4E3F"/>
    <w:rsid w:val="004F7909"/>
    <w:rsid w:val="00501857"/>
    <w:rsid w:val="00503289"/>
    <w:rsid w:val="00505C52"/>
    <w:rsid w:val="00512DEC"/>
    <w:rsid w:val="00515482"/>
    <w:rsid w:val="00516D35"/>
    <w:rsid w:val="00520E90"/>
    <w:rsid w:val="005217C8"/>
    <w:rsid w:val="00522D89"/>
    <w:rsid w:val="00531C39"/>
    <w:rsid w:val="00534A04"/>
    <w:rsid w:val="005362D8"/>
    <w:rsid w:val="00537B10"/>
    <w:rsid w:val="00541849"/>
    <w:rsid w:val="0054201F"/>
    <w:rsid w:val="00550116"/>
    <w:rsid w:val="00550C51"/>
    <w:rsid w:val="00561A75"/>
    <w:rsid w:val="005639AF"/>
    <w:rsid w:val="005755ED"/>
    <w:rsid w:val="005774DB"/>
    <w:rsid w:val="00583AA2"/>
    <w:rsid w:val="00585D35"/>
    <w:rsid w:val="0059232C"/>
    <w:rsid w:val="005932D9"/>
    <w:rsid w:val="00597054"/>
    <w:rsid w:val="005A589F"/>
    <w:rsid w:val="005B2236"/>
    <w:rsid w:val="005B2D0E"/>
    <w:rsid w:val="005B33B6"/>
    <w:rsid w:val="005C4D51"/>
    <w:rsid w:val="005C7162"/>
    <w:rsid w:val="005C7A1F"/>
    <w:rsid w:val="005D0050"/>
    <w:rsid w:val="005D01C8"/>
    <w:rsid w:val="005D0B71"/>
    <w:rsid w:val="005D1FAB"/>
    <w:rsid w:val="005D640D"/>
    <w:rsid w:val="005F0779"/>
    <w:rsid w:val="005F16DC"/>
    <w:rsid w:val="005F2C9B"/>
    <w:rsid w:val="005F58B9"/>
    <w:rsid w:val="005F5BEE"/>
    <w:rsid w:val="005F69AD"/>
    <w:rsid w:val="00614D80"/>
    <w:rsid w:val="006162AC"/>
    <w:rsid w:val="00616C67"/>
    <w:rsid w:val="00621607"/>
    <w:rsid w:val="00625169"/>
    <w:rsid w:val="00626519"/>
    <w:rsid w:val="006273DF"/>
    <w:rsid w:val="00634B3A"/>
    <w:rsid w:val="006379AC"/>
    <w:rsid w:val="00637AFE"/>
    <w:rsid w:val="006454A9"/>
    <w:rsid w:val="00647D7B"/>
    <w:rsid w:val="00652F66"/>
    <w:rsid w:val="00654628"/>
    <w:rsid w:val="00657571"/>
    <w:rsid w:val="00662FA6"/>
    <w:rsid w:val="00667F98"/>
    <w:rsid w:val="00672BD9"/>
    <w:rsid w:val="006743BD"/>
    <w:rsid w:val="00676DF2"/>
    <w:rsid w:val="00680CBD"/>
    <w:rsid w:val="006852F8"/>
    <w:rsid w:val="006904C2"/>
    <w:rsid w:val="0069165E"/>
    <w:rsid w:val="006930FE"/>
    <w:rsid w:val="00694672"/>
    <w:rsid w:val="006964E4"/>
    <w:rsid w:val="00696F45"/>
    <w:rsid w:val="006A01A7"/>
    <w:rsid w:val="006B40C0"/>
    <w:rsid w:val="006B452F"/>
    <w:rsid w:val="006C756D"/>
    <w:rsid w:val="006D0329"/>
    <w:rsid w:val="006D4611"/>
    <w:rsid w:val="006D4A5D"/>
    <w:rsid w:val="006E20D3"/>
    <w:rsid w:val="006E37F3"/>
    <w:rsid w:val="006E519C"/>
    <w:rsid w:val="006E59B3"/>
    <w:rsid w:val="006E5C5C"/>
    <w:rsid w:val="006F2290"/>
    <w:rsid w:val="0071318B"/>
    <w:rsid w:val="007177B5"/>
    <w:rsid w:val="00724AFD"/>
    <w:rsid w:val="00725D72"/>
    <w:rsid w:val="00730D66"/>
    <w:rsid w:val="00740011"/>
    <w:rsid w:val="00744339"/>
    <w:rsid w:val="007460C1"/>
    <w:rsid w:val="00746F8A"/>
    <w:rsid w:val="00761295"/>
    <w:rsid w:val="0076180A"/>
    <w:rsid w:val="00761902"/>
    <w:rsid w:val="00766354"/>
    <w:rsid w:val="00781ED8"/>
    <w:rsid w:val="007837C9"/>
    <w:rsid w:val="007873D5"/>
    <w:rsid w:val="007974EB"/>
    <w:rsid w:val="007A36AA"/>
    <w:rsid w:val="007A43E1"/>
    <w:rsid w:val="007B153F"/>
    <w:rsid w:val="007B35CC"/>
    <w:rsid w:val="007B3E04"/>
    <w:rsid w:val="007B6F83"/>
    <w:rsid w:val="007C4F93"/>
    <w:rsid w:val="007D0DE4"/>
    <w:rsid w:val="007D4C11"/>
    <w:rsid w:val="007E3150"/>
    <w:rsid w:val="007F1539"/>
    <w:rsid w:val="007F214D"/>
    <w:rsid w:val="007F2B6B"/>
    <w:rsid w:val="007F441B"/>
    <w:rsid w:val="007F615E"/>
    <w:rsid w:val="0080017A"/>
    <w:rsid w:val="00805DDC"/>
    <w:rsid w:val="00806136"/>
    <w:rsid w:val="008114F2"/>
    <w:rsid w:val="0083109F"/>
    <w:rsid w:val="008357C9"/>
    <w:rsid w:val="00843891"/>
    <w:rsid w:val="00845D92"/>
    <w:rsid w:val="00851A2A"/>
    <w:rsid w:val="00853C9E"/>
    <w:rsid w:val="0085648E"/>
    <w:rsid w:val="00857731"/>
    <w:rsid w:val="00864EC2"/>
    <w:rsid w:val="00865BB2"/>
    <w:rsid w:val="00867B34"/>
    <w:rsid w:val="0087017E"/>
    <w:rsid w:val="008718EE"/>
    <w:rsid w:val="00871D66"/>
    <w:rsid w:val="00872F22"/>
    <w:rsid w:val="00877D90"/>
    <w:rsid w:val="00880047"/>
    <w:rsid w:val="00883985"/>
    <w:rsid w:val="00884D20"/>
    <w:rsid w:val="00886E33"/>
    <w:rsid w:val="00894A26"/>
    <w:rsid w:val="0089605C"/>
    <w:rsid w:val="008B180F"/>
    <w:rsid w:val="008B4BB6"/>
    <w:rsid w:val="008C2AE7"/>
    <w:rsid w:val="008D016E"/>
    <w:rsid w:val="008D0BEF"/>
    <w:rsid w:val="008E6320"/>
    <w:rsid w:val="008E79C9"/>
    <w:rsid w:val="008E7A83"/>
    <w:rsid w:val="00901DD2"/>
    <w:rsid w:val="0090327C"/>
    <w:rsid w:val="00904D66"/>
    <w:rsid w:val="00910A54"/>
    <w:rsid w:val="00912DB2"/>
    <w:rsid w:val="0091437A"/>
    <w:rsid w:val="009219F5"/>
    <w:rsid w:val="00921ECB"/>
    <w:rsid w:val="00933A41"/>
    <w:rsid w:val="00935ABB"/>
    <w:rsid w:val="009434AD"/>
    <w:rsid w:val="00946635"/>
    <w:rsid w:val="0095068B"/>
    <w:rsid w:val="00951616"/>
    <w:rsid w:val="009536D1"/>
    <w:rsid w:val="00953BC2"/>
    <w:rsid w:val="009635BA"/>
    <w:rsid w:val="009649B3"/>
    <w:rsid w:val="009678CA"/>
    <w:rsid w:val="00967B2D"/>
    <w:rsid w:val="00980A92"/>
    <w:rsid w:val="00981659"/>
    <w:rsid w:val="00981AF5"/>
    <w:rsid w:val="009842E9"/>
    <w:rsid w:val="009A514B"/>
    <w:rsid w:val="009B084D"/>
    <w:rsid w:val="009B6EC7"/>
    <w:rsid w:val="009C7F38"/>
    <w:rsid w:val="009D218C"/>
    <w:rsid w:val="009D28BB"/>
    <w:rsid w:val="009D55A7"/>
    <w:rsid w:val="009D709A"/>
    <w:rsid w:val="009D7336"/>
    <w:rsid w:val="009E0611"/>
    <w:rsid w:val="009E7F16"/>
    <w:rsid w:val="009F0578"/>
    <w:rsid w:val="009F0E63"/>
    <w:rsid w:val="00A0434E"/>
    <w:rsid w:val="00A119F1"/>
    <w:rsid w:val="00A130AB"/>
    <w:rsid w:val="00A22185"/>
    <w:rsid w:val="00A42335"/>
    <w:rsid w:val="00A45ED7"/>
    <w:rsid w:val="00A51842"/>
    <w:rsid w:val="00A566C4"/>
    <w:rsid w:val="00A57250"/>
    <w:rsid w:val="00A61F4A"/>
    <w:rsid w:val="00A65070"/>
    <w:rsid w:val="00A70480"/>
    <w:rsid w:val="00A731E9"/>
    <w:rsid w:val="00A73A2C"/>
    <w:rsid w:val="00A77E10"/>
    <w:rsid w:val="00A82276"/>
    <w:rsid w:val="00A9111D"/>
    <w:rsid w:val="00A925D1"/>
    <w:rsid w:val="00AA36B8"/>
    <w:rsid w:val="00AB4B37"/>
    <w:rsid w:val="00AB6382"/>
    <w:rsid w:val="00AC04D2"/>
    <w:rsid w:val="00AC21EA"/>
    <w:rsid w:val="00AC5D40"/>
    <w:rsid w:val="00AD7F60"/>
    <w:rsid w:val="00AD7FE3"/>
    <w:rsid w:val="00AE5D7E"/>
    <w:rsid w:val="00AE657F"/>
    <w:rsid w:val="00AE6725"/>
    <w:rsid w:val="00AF5660"/>
    <w:rsid w:val="00B01129"/>
    <w:rsid w:val="00B10F0D"/>
    <w:rsid w:val="00B23D68"/>
    <w:rsid w:val="00B25940"/>
    <w:rsid w:val="00B33159"/>
    <w:rsid w:val="00B36972"/>
    <w:rsid w:val="00B5216C"/>
    <w:rsid w:val="00B54485"/>
    <w:rsid w:val="00B56FF3"/>
    <w:rsid w:val="00B61AE9"/>
    <w:rsid w:val="00B66CAE"/>
    <w:rsid w:val="00B67FF0"/>
    <w:rsid w:val="00B76E22"/>
    <w:rsid w:val="00B906E4"/>
    <w:rsid w:val="00BA1E05"/>
    <w:rsid w:val="00BA2CA7"/>
    <w:rsid w:val="00BA30F6"/>
    <w:rsid w:val="00BA3FE8"/>
    <w:rsid w:val="00BB1CBC"/>
    <w:rsid w:val="00BB42F1"/>
    <w:rsid w:val="00BB509A"/>
    <w:rsid w:val="00BC1357"/>
    <w:rsid w:val="00BC3994"/>
    <w:rsid w:val="00BC40C7"/>
    <w:rsid w:val="00BC5D8F"/>
    <w:rsid w:val="00BD06FD"/>
    <w:rsid w:val="00BD104D"/>
    <w:rsid w:val="00BD1BB9"/>
    <w:rsid w:val="00BD2B8F"/>
    <w:rsid w:val="00BD6DD6"/>
    <w:rsid w:val="00BE0C9D"/>
    <w:rsid w:val="00BE1DB9"/>
    <w:rsid w:val="00BE1F60"/>
    <w:rsid w:val="00BE236B"/>
    <w:rsid w:val="00BE5443"/>
    <w:rsid w:val="00BF1E21"/>
    <w:rsid w:val="00BF3735"/>
    <w:rsid w:val="00C030C3"/>
    <w:rsid w:val="00C068A3"/>
    <w:rsid w:val="00C076C8"/>
    <w:rsid w:val="00C10CDB"/>
    <w:rsid w:val="00C20174"/>
    <w:rsid w:val="00C23318"/>
    <w:rsid w:val="00C26DD7"/>
    <w:rsid w:val="00C36D3D"/>
    <w:rsid w:val="00C42D5C"/>
    <w:rsid w:val="00C43941"/>
    <w:rsid w:val="00C43E19"/>
    <w:rsid w:val="00C458E4"/>
    <w:rsid w:val="00C459B1"/>
    <w:rsid w:val="00C5163F"/>
    <w:rsid w:val="00C56E80"/>
    <w:rsid w:val="00C619F5"/>
    <w:rsid w:val="00C63D0C"/>
    <w:rsid w:val="00C67B00"/>
    <w:rsid w:val="00C72AEB"/>
    <w:rsid w:val="00C73AA6"/>
    <w:rsid w:val="00C76FED"/>
    <w:rsid w:val="00C83E9F"/>
    <w:rsid w:val="00C84AD8"/>
    <w:rsid w:val="00C96020"/>
    <w:rsid w:val="00CA1476"/>
    <w:rsid w:val="00CA5D28"/>
    <w:rsid w:val="00CB61C7"/>
    <w:rsid w:val="00CC0462"/>
    <w:rsid w:val="00CD2218"/>
    <w:rsid w:val="00CD4972"/>
    <w:rsid w:val="00CD6C3D"/>
    <w:rsid w:val="00CD7E69"/>
    <w:rsid w:val="00CE20C9"/>
    <w:rsid w:val="00CE2E4E"/>
    <w:rsid w:val="00CE407E"/>
    <w:rsid w:val="00CE5D19"/>
    <w:rsid w:val="00D1299B"/>
    <w:rsid w:val="00D13485"/>
    <w:rsid w:val="00D33A08"/>
    <w:rsid w:val="00D415AF"/>
    <w:rsid w:val="00D44999"/>
    <w:rsid w:val="00D46081"/>
    <w:rsid w:val="00D57190"/>
    <w:rsid w:val="00D62513"/>
    <w:rsid w:val="00D62A23"/>
    <w:rsid w:val="00D82318"/>
    <w:rsid w:val="00D87B1E"/>
    <w:rsid w:val="00D92166"/>
    <w:rsid w:val="00D94812"/>
    <w:rsid w:val="00DA49D6"/>
    <w:rsid w:val="00DA5F23"/>
    <w:rsid w:val="00DD64F7"/>
    <w:rsid w:val="00DD77B8"/>
    <w:rsid w:val="00DE1EEE"/>
    <w:rsid w:val="00DE25A4"/>
    <w:rsid w:val="00DF7135"/>
    <w:rsid w:val="00E14FBC"/>
    <w:rsid w:val="00E15E2D"/>
    <w:rsid w:val="00E177A3"/>
    <w:rsid w:val="00E23AC5"/>
    <w:rsid w:val="00E30D03"/>
    <w:rsid w:val="00E31CE9"/>
    <w:rsid w:val="00E3575A"/>
    <w:rsid w:val="00E37DF4"/>
    <w:rsid w:val="00E43A74"/>
    <w:rsid w:val="00E51227"/>
    <w:rsid w:val="00E53B29"/>
    <w:rsid w:val="00E607EF"/>
    <w:rsid w:val="00E612FF"/>
    <w:rsid w:val="00E65C5E"/>
    <w:rsid w:val="00E66D2B"/>
    <w:rsid w:val="00E70C88"/>
    <w:rsid w:val="00E742E0"/>
    <w:rsid w:val="00E7664E"/>
    <w:rsid w:val="00E830DA"/>
    <w:rsid w:val="00E90979"/>
    <w:rsid w:val="00E9110F"/>
    <w:rsid w:val="00E96741"/>
    <w:rsid w:val="00EB0529"/>
    <w:rsid w:val="00EB1C91"/>
    <w:rsid w:val="00EB2326"/>
    <w:rsid w:val="00EB28FD"/>
    <w:rsid w:val="00EC2DF8"/>
    <w:rsid w:val="00ED0025"/>
    <w:rsid w:val="00ED371C"/>
    <w:rsid w:val="00ED61BB"/>
    <w:rsid w:val="00ED72D7"/>
    <w:rsid w:val="00ED7480"/>
    <w:rsid w:val="00EE2120"/>
    <w:rsid w:val="00EF236D"/>
    <w:rsid w:val="00EF2751"/>
    <w:rsid w:val="00F00720"/>
    <w:rsid w:val="00F012DD"/>
    <w:rsid w:val="00F02224"/>
    <w:rsid w:val="00F0241A"/>
    <w:rsid w:val="00F02C96"/>
    <w:rsid w:val="00F02DCC"/>
    <w:rsid w:val="00F125D1"/>
    <w:rsid w:val="00F140C8"/>
    <w:rsid w:val="00F1560A"/>
    <w:rsid w:val="00F21897"/>
    <w:rsid w:val="00F23FA2"/>
    <w:rsid w:val="00F244AB"/>
    <w:rsid w:val="00F26E0D"/>
    <w:rsid w:val="00F279F4"/>
    <w:rsid w:val="00F312B8"/>
    <w:rsid w:val="00F357F8"/>
    <w:rsid w:val="00F417A6"/>
    <w:rsid w:val="00F42EE7"/>
    <w:rsid w:val="00F459AC"/>
    <w:rsid w:val="00F6069F"/>
    <w:rsid w:val="00F60DCC"/>
    <w:rsid w:val="00F638F3"/>
    <w:rsid w:val="00F66A77"/>
    <w:rsid w:val="00F73536"/>
    <w:rsid w:val="00F73DED"/>
    <w:rsid w:val="00F752E3"/>
    <w:rsid w:val="00F75915"/>
    <w:rsid w:val="00F84824"/>
    <w:rsid w:val="00F849B3"/>
    <w:rsid w:val="00F86193"/>
    <w:rsid w:val="00F87D99"/>
    <w:rsid w:val="00F93178"/>
    <w:rsid w:val="00FA3FF7"/>
    <w:rsid w:val="00FA72F5"/>
    <w:rsid w:val="00FB1301"/>
    <w:rsid w:val="00FB1A41"/>
    <w:rsid w:val="00FC0AFE"/>
    <w:rsid w:val="00FC3C4E"/>
    <w:rsid w:val="00FC48E5"/>
    <w:rsid w:val="00FC58FE"/>
    <w:rsid w:val="00FD021D"/>
    <w:rsid w:val="00FD069A"/>
    <w:rsid w:val="00FD1738"/>
    <w:rsid w:val="00FD1769"/>
    <w:rsid w:val="00FD1AE1"/>
    <w:rsid w:val="00FD5E76"/>
    <w:rsid w:val="00FD7A2C"/>
    <w:rsid w:val="00FF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3C4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0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0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0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0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04D"/>
    <w:rPr>
      <w:rFonts w:eastAsiaTheme="majorEastAsia" w:cstheme="majorBidi"/>
      <w:color w:val="272727" w:themeColor="text1" w:themeTint="D8"/>
    </w:rPr>
  </w:style>
  <w:style w:type="paragraph" w:styleId="Title">
    <w:name w:val="Title"/>
    <w:basedOn w:val="Normal"/>
    <w:next w:val="Normal"/>
    <w:link w:val="TitleChar"/>
    <w:uiPriority w:val="10"/>
    <w:qFormat/>
    <w:rsid w:val="00BD10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0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0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104D"/>
    <w:rPr>
      <w:i/>
      <w:iCs/>
      <w:color w:val="404040" w:themeColor="text1" w:themeTint="BF"/>
    </w:rPr>
  </w:style>
  <w:style w:type="paragraph" w:styleId="ListParagraph">
    <w:name w:val="List Paragraph"/>
    <w:basedOn w:val="Normal"/>
    <w:uiPriority w:val="34"/>
    <w:qFormat/>
    <w:rsid w:val="00BD104D"/>
    <w:pPr>
      <w:ind w:left="720"/>
      <w:contextualSpacing/>
    </w:pPr>
  </w:style>
  <w:style w:type="character" w:styleId="IntenseEmphasis">
    <w:name w:val="Intense Emphasis"/>
    <w:basedOn w:val="DefaultParagraphFont"/>
    <w:uiPriority w:val="21"/>
    <w:qFormat/>
    <w:rsid w:val="00BD104D"/>
    <w:rPr>
      <w:i/>
      <w:iCs/>
      <w:color w:val="0F4761" w:themeColor="accent1" w:themeShade="BF"/>
    </w:rPr>
  </w:style>
  <w:style w:type="paragraph" w:styleId="IntenseQuote">
    <w:name w:val="Intense Quote"/>
    <w:basedOn w:val="Normal"/>
    <w:next w:val="Normal"/>
    <w:link w:val="IntenseQuoteChar"/>
    <w:uiPriority w:val="30"/>
    <w:qFormat/>
    <w:rsid w:val="00BD1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04D"/>
    <w:rPr>
      <w:i/>
      <w:iCs/>
      <w:color w:val="0F4761" w:themeColor="accent1" w:themeShade="BF"/>
    </w:rPr>
  </w:style>
  <w:style w:type="character" w:styleId="IntenseReference">
    <w:name w:val="Intense Reference"/>
    <w:basedOn w:val="DefaultParagraphFont"/>
    <w:uiPriority w:val="32"/>
    <w:qFormat/>
    <w:rsid w:val="00BD104D"/>
    <w:rPr>
      <w:b/>
      <w:bCs/>
      <w:smallCaps/>
      <w:color w:val="0F4761" w:themeColor="accent1" w:themeShade="BF"/>
      <w:spacing w:val="5"/>
    </w:rPr>
  </w:style>
  <w:style w:type="table" w:styleId="TableGrid">
    <w:name w:val="Table Grid"/>
    <w:basedOn w:val="TableNormal"/>
    <w:uiPriority w:val="39"/>
    <w:rsid w:val="00BD1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365A1"/>
  </w:style>
  <w:style w:type="paragraph" w:styleId="NormalWeb">
    <w:name w:val="Normal (Web)"/>
    <w:basedOn w:val="Normal"/>
    <w:uiPriority w:val="99"/>
    <w:unhideWhenUsed/>
    <w:rsid w:val="003365A1"/>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57F23"/>
    <w:rPr>
      <w:sz w:val="16"/>
      <w:szCs w:val="16"/>
    </w:rPr>
  </w:style>
  <w:style w:type="paragraph" w:styleId="CommentText">
    <w:name w:val="annotation text"/>
    <w:basedOn w:val="Normal"/>
    <w:link w:val="CommentTextChar"/>
    <w:uiPriority w:val="99"/>
    <w:semiHidden/>
    <w:unhideWhenUsed/>
    <w:rsid w:val="00157F23"/>
    <w:rPr>
      <w:sz w:val="20"/>
      <w:szCs w:val="20"/>
    </w:rPr>
  </w:style>
  <w:style w:type="character" w:customStyle="1" w:styleId="CommentTextChar">
    <w:name w:val="Comment Text Char"/>
    <w:basedOn w:val="DefaultParagraphFont"/>
    <w:link w:val="CommentText"/>
    <w:uiPriority w:val="99"/>
    <w:semiHidden/>
    <w:rsid w:val="00157F23"/>
    <w:rPr>
      <w:sz w:val="20"/>
      <w:szCs w:val="20"/>
    </w:rPr>
  </w:style>
  <w:style w:type="paragraph" w:styleId="CommentSubject">
    <w:name w:val="annotation subject"/>
    <w:basedOn w:val="CommentText"/>
    <w:next w:val="CommentText"/>
    <w:link w:val="CommentSubjectChar"/>
    <w:uiPriority w:val="99"/>
    <w:semiHidden/>
    <w:unhideWhenUsed/>
    <w:rsid w:val="00157F23"/>
    <w:rPr>
      <w:b/>
      <w:bCs/>
    </w:rPr>
  </w:style>
  <w:style w:type="character" w:customStyle="1" w:styleId="CommentSubjectChar">
    <w:name w:val="Comment Subject Char"/>
    <w:basedOn w:val="CommentTextChar"/>
    <w:link w:val="CommentSubject"/>
    <w:uiPriority w:val="99"/>
    <w:semiHidden/>
    <w:rsid w:val="00157F23"/>
    <w:rPr>
      <w:b/>
      <w:bCs/>
      <w:sz w:val="20"/>
      <w:szCs w:val="20"/>
    </w:rPr>
  </w:style>
  <w:style w:type="paragraph" w:customStyle="1" w:styleId="EndNoteBibliography">
    <w:name w:val="EndNote Bibliography"/>
    <w:basedOn w:val="Normal"/>
    <w:link w:val="EndNoteBibliographyChar"/>
    <w:rsid w:val="00CD6C3D"/>
    <w:rPr>
      <w:rFonts w:ascii="Aptos" w:hAnsi="Aptos"/>
    </w:rPr>
  </w:style>
  <w:style w:type="character" w:customStyle="1" w:styleId="EndNoteBibliographyChar">
    <w:name w:val="EndNote Bibliography Char"/>
    <w:basedOn w:val="DefaultParagraphFont"/>
    <w:link w:val="EndNoteBibliography"/>
    <w:rsid w:val="00CD6C3D"/>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27028">
      <w:bodyDiv w:val="1"/>
      <w:marLeft w:val="0"/>
      <w:marRight w:val="0"/>
      <w:marTop w:val="0"/>
      <w:marBottom w:val="0"/>
      <w:divBdr>
        <w:top w:val="none" w:sz="0" w:space="0" w:color="auto"/>
        <w:left w:val="none" w:sz="0" w:space="0" w:color="auto"/>
        <w:bottom w:val="none" w:sz="0" w:space="0" w:color="auto"/>
        <w:right w:val="none" w:sz="0" w:space="0" w:color="auto"/>
      </w:divBdr>
      <w:divsChild>
        <w:div w:id="720252152">
          <w:marLeft w:val="0"/>
          <w:marRight w:val="0"/>
          <w:marTop w:val="0"/>
          <w:marBottom w:val="0"/>
          <w:divBdr>
            <w:top w:val="none" w:sz="0" w:space="0" w:color="auto"/>
            <w:left w:val="none" w:sz="0" w:space="0" w:color="auto"/>
            <w:bottom w:val="none" w:sz="0" w:space="0" w:color="auto"/>
            <w:right w:val="none" w:sz="0" w:space="0" w:color="auto"/>
          </w:divBdr>
          <w:divsChild>
            <w:div w:id="2124155292">
              <w:marLeft w:val="0"/>
              <w:marRight w:val="0"/>
              <w:marTop w:val="0"/>
              <w:marBottom w:val="0"/>
              <w:divBdr>
                <w:top w:val="none" w:sz="0" w:space="0" w:color="auto"/>
                <w:left w:val="none" w:sz="0" w:space="0" w:color="auto"/>
                <w:bottom w:val="none" w:sz="0" w:space="0" w:color="auto"/>
                <w:right w:val="none" w:sz="0" w:space="0" w:color="auto"/>
              </w:divBdr>
              <w:divsChild>
                <w:div w:id="1951812446">
                  <w:marLeft w:val="0"/>
                  <w:marRight w:val="0"/>
                  <w:marTop w:val="0"/>
                  <w:marBottom w:val="0"/>
                  <w:divBdr>
                    <w:top w:val="none" w:sz="0" w:space="0" w:color="auto"/>
                    <w:left w:val="none" w:sz="0" w:space="0" w:color="auto"/>
                    <w:bottom w:val="none" w:sz="0" w:space="0" w:color="auto"/>
                    <w:right w:val="none" w:sz="0" w:space="0" w:color="auto"/>
                  </w:divBdr>
                  <w:divsChild>
                    <w:div w:id="1074276286">
                      <w:marLeft w:val="0"/>
                      <w:marRight w:val="0"/>
                      <w:marTop w:val="0"/>
                      <w:marBottom w:val="0"/>
                      <w:divBdr>
                        <w:top w:val="none" w:sz="0" w:space="0" w:color="auto"/>
                        <w:left w:val="none" w:sz="0" w:space="0" w:color="auto"/>
                        <w:bottom w:val="none" w:sz="0" w:space="0" w:color="auto"/>
                        <w:right w:val="none" w:sz="0" w:space="0" w:color="auto"/>
                      </w:divBdr>
                    </w:div>
                    <w:div w:id="12024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77472">
      <w:bodyDiv w:val="1"/>
      <w:marLeft w:val="0"/>
      <w:marRight w:val="0"/>
      <w:marTop w:val="0"/>
      <w:marBottom w:val="0"/>
      <w:divBdr>
        <w:top w:val="none" w:sz="0" w:space="0" w:color="auto"/>
        <w:left w:val="none" w:sz="0" w:space="0" w:color="auto"/>
        <w:bottom w:val="none" w:sz="0" w:space="0" w:color="auto"/>
        <w:right w:val="none" w:sz="0" w:space="0" w:color="auto"/>
      </w:divBdr>
      <w:divsChild>
        <w:div w:id="315961847">
          <w:marLeft w:val="0"/>
          <w:marRight w:val="0"/>
          <w:marTop w:val="0"/>
          <w:marBottom w:val="0"/>
          <w:divBdr>
            <w:top w:val="none" w:sz="0" w:space="0" w:color="auto"/>
            <w:left w:val="none" w:sz="0" w:space="0" w:color="auto"/>
            <w:bottom w:val="none" w:sz="0" w:space="0" w:color="auto"/>
            <w:right w:val="none" w:sz="0" w:space="0" w:color="auto"/>
          </w:divBdr>
          <w:divsChild>
            <w:div w:id="1470826490">
              <w:marLeft w:val="0"/>
              <w:marRight w:val="0"/>
              <w:marTop w:val="0"/>
              <w:marBottom w:val="0"/>
              <w:divBdr>
                <w:top w:val="none" w:sz="0" w:space="0" w:color="auto"/>
                <w:left w:val="none" w:sz="0" w:space="0" w:color="auto"/>
                <w:bottom w:val="none" w:sz="0" w:space="0" w:color="auto"/>
                <w:right w:val="none" w:sz="0" w:space="0" w:color="auto"/>
              </w:divBdr>
              <w:divsChild>
                <w:div w:id="1249848952">
                  <w:marLeft w:val="0"/>
                  <w:marRight w:val="0"/>
                  <w:marTop w:val="0"/>
                  <w:marBottom w:val="0"/>
                  <w:divBdr>
                    <w:top w:val="none" w:sz="0" w:space="0" w:color="auto"/>
                    <w:left w:val="none" w:sz="0" w:space="0" w:color="auto"/>
                    <w:bottom w:val="none" w:sz="0" w:space="0" w:color="auto"/>
                    <w:right w:val="none" w:sz="0" w:space="0" w:color="auto"/>
                  </w:divBdr>
                  <w:divsChild>
                    <w:div w:id="15016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2025-09-29T16:43:00Z</dcterms:created>
  <dcterms:modified xsi:type="dcterms:W3CDTF">2025-09-29T16:43:00Z</dcterms:modified>
</cp:coreProperties>
</file>