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7D7B" w14:textId="77777777" w:rsidR="00810C22" w:rsidRPr="00B05A77" w:rsidRDefault="00810C22" w:rsidP="00810C22">
      <w:pPr>
        <w:rPr>
          <w:rFonts w:ascii="Univers Condensed" w:hAnsi="Univers Condensed"/>
          <w:sz w:val="48"/>
          <w:szCs w:val="48"/>
        </w:rPr>
      </w:pPr>
      <w:r>
        <w:rPr>
          <w:rFonts w:ascii="Univers Condensed" w:hAnsi="Univers Condensed"/>
          <w:sz w:val="48"/>
          <w:szCs w:val="48"/>
        </w:rPr>
        <w:t>A gridded e</w:t>
      </w:r>
      <w:r w:rsidRPr="000B5E9F">
        <w:rPr>
          <w:rFonts w:ascii="Univers Condensed" w:hAnsi="Univers Condensed"/>
          <w:sz w:val="48"/>
          <w:szCs w:val="48"/>
        </w:rPr>
        <w:t xml:space="preserve">utrophication </w:t>
      </w:r>
      <w:r>
        <w:rPr>
          <w:rFonts w:ascii="Univers Condensed" w:hAnsi="Univers Condensed"/>
          <w:sz w:val="48"/>
          <w:szCs w:val="48"/>
        </w:rPr>
        <w:t>model</w:t>
      </w:r>
      <w:r>
        <w:rPr>
          <w:rFonts w:ascii="Univers Condensed" w:hAnsi="Univers Condensed"/>
          <w:sz w:val="48"/>
          <w:szCs w:val="48"/>
        </w:rPr>
        <w:t xml:space="preserve"> </w:t>
      </w:r>
      <w:r>
        <w:rPr>
          <w:rFonts w:ascii="Univers Condensed" w:hAnsi="Univers Condensed"/>
          <w:sz w:val="48"/>
          <w:szCs w:val="48"/>
        </w:rPr>
        <w:t xml:space="preserve">for the world’s inland </w:t>
      </w:r>
      <w:r w:rsidRPr="000B5E9F">
        <w:rPr>
          <w:rFonts w:ascii="Univers Condensed" w:hAnsi="Univers Condensed"/>
          <w:sz w:val="48"/>
          <w:szCs w:val="48"/>
        </w:rPr>
        <w:t>water</w:t>
      </w:r>
      <w:r>
        <w:rPr>
          <w:rFonts w:ascii="Univers Condensed" w:hAnsi="Univers Condensed"/>
          <w:sz w:val="48"/>
          <w:szCs w:val="48"/>
        </w:rPr>
        <w:t>s</w:t>
      </w:r>
      <w:r w:rsidRPr="000B5E9F">
        <w:rPr>
          <w:rFonts w:ascii="Univers Condensed" w:hAnsi="Univers Condensed"/>
          <w:sz w:val="48"/>
          <w:szCs w:val="48"/>
        </w:rPr>
        <w:t xml:space="preserve"> </w:t>
      </w:r>
      <w:r>
        <w:rPr>
          <w:rFonts w:ascii="Univers Condensed" w:hAnsi="Univers Condensed"/>
          <w:sz w:val="48"/>
          <w:szCs w:val="48"/>
        </w:rPr>
        <w:t>from nitrogen and phosphorus data</w:t>
      </w:r>
    </w:p>
    <w:p w14:paraId="1C7AC681" w14:textId="77777777" w:rsidR="00810C22" w:rsidRPr="007705FC" w:rsidRDefault="00810C22" w:rsidP="00810C22"/>
    <w:p w14:paraId="2D1E0F37" w14:textId="77777777" w:rsidR="00810C22" w:rsidRPr="00B81799" w:rsidRDefault="00810C22" w:rsidP="00810C22">
      <w:pPr>
        <w:rPr>
          <w:b/>
          <w:bCs/>
          <w:lang w:val="nl-NL"/>
        </w:rPr>
      </w:pPr>
      <w:r w:rsidRPr="00B81799">
        <w:rPr>
          <w:b/>
          <w:bCs/>
          <w:lang w:val="nl-NL"/>
        </w:rPr>
        <w:t>Olli Varis</w:t>
      </w:r>
      <w:r w:rsidRPr="00B81799">
        <w:rPr>
          <w:b/>
          <w:bCs/>
          <w:vertAlign w:val="superscript"/>
          <w:lang w:val="nl-NL"/>
        </w:rPr>
        <w:t>1</w:t>
      </w:r>
      <w:r w:rsidRPr="00B81799">
        <w:rPr>
          <w:b/>
          <w:bCs/>
          <w:lang w:val="nl-NL"/>
        </w:rPr>
        <w:t xml:space="preserve">* </w:t>
      </w:r>
    </w:p>
    <w:p w14:paraId="753A8E57" w14:textId="77777777" w:rsidR="00810C22" w:rsidRDefault="00810C22" w:rsidP="00810C22">
      <w:r w:rsidRPr="00D94A82">
        <w:rPr>
          <w:vertAlign w:val="superscript"/>
        </w:rPr>
        <w:t>1</w:t>
      </w:r>
      <w:r>
        <w:t>W</w:t>
      </w:r>
      <w:r w:rsidRPr="00DE1D87">
        <w:t>ater and Development Research Group, Aalto University, PO Box, 15200, Tietotie 1 E, 02150 Espoo, Finland</w:t>
      </w:r>
    </w:p>
    <w:p w14:paraId="627385E1" w14:textId="77777777" w:rsidR="00810C22" w:rsidRDefault="00810C22" w:rsidP="00810C22">
      <w:r>
        <w:t>*</w:t>
      </w:r>
      <w:r w:rsidRPr="00C801A2">
        <w:t>Corresponding author</w:t>
      </w:r>
    </w:p>
    <w:p w14:paraId="04E406B2" w14:textId="77777777" w:rsidR="00810C22" w:rsidRPr="003236F1" w:rsidRDefault="00810C22" w:rsidP="00810C22">
      <w:pPr>
        <w:spacing w:after="0" w:line="240" w:lineRule="auto"/>
        <w:jc w:val="both"/>
        <w:rPr>
          <w:b/>
        </w:rPr>
      </w:pPr>
      <w:r w:rsidRPr="003236F1">
        <w:rPr>
          <w:b/>
        </w:rPr>
        <w:t xml:space="preserve">ORCID: </w:t>
      </w:r>
    </w:p>
    <w:p w14:paraId="3AE19B1A" w14:textId="77777777" w:rsidR="00810C22" w:rsidRPr="00A32776" w:rsidRDefault="00810C22" w:rsidP="00810C22">
      <w:pPr>
        <w:spacing w:after="0" w:line="240" w:lineRule="auto"/>
        <w:jc w:val="both"/>
        <w:rPr>
          <w:sz w:val="20"/>
          <w:szCs w:val="20"/>
        </w:rPr>
      </w:pPr>
      <w:r w:rsidRPr="00DE5200">
        <w:rPr>
          <w:b/>
          <w:sz w:val="20"/>
          <w:szCs w:val="20"/>
        </w:rPr>
        <w:t xml:space="preserve">Olli Varis </w:t>
      </w:r>
      <w:r w:rsidRPr="00DE5200">
        <w:rPr>
          <w:sz w:val="20"/>
          <w:szCs w:val="20"/>
        </w:rPr>
        <w:t>https://orcid.org/0000-0001-9231-4549</w:t>
      </w:r>
    </w:p>
    <w:p w14:paraId="333129E9" w14:textId="77777777" w:rsidR="00CC0488" w:rsidRDefault="00CC0488"/>
    <w:p w14:paraId="50C16AF7" w14:textId="77777777" w:rsidR="00810C22" w:rsidRDefault="00810C22"/>
    <w:p w14:paraId="5D4F4A39" w14:textId="09A1389A" w:rsidR="00810C22" w:rsidRPr="00810C22" w:rsidRDefault="00810C22" w:rsidP="00810C22">
      <w:pPr>
        <w:pStyle w:val="Heading2"/>
        <w:rPr>
          <w:color w:val="C00000"/>
        </w:rPr>
      </w:pPr>
      <w:r w:rsidRPr="00810C22">
        <w:rPr>
          <w:color w:val="C00000"/>
        </w:rPr>
        <w:t>Supplementary information</w:t>
      </w:r>
    </w:p>
    <w:p w14:paraId="23CCECD5" w14:textId="77777777" w:rsidR="00810C22" w:rsidRDefault="00810C22"/>
    <w:p w14:paraId="7B323539" w14:textId="77777777" w:rsidR="00810C22" w:rsidRDefault="00810C22" w:rsidP="00810C22">
      <w:pPr>
        <w:rPr>
          <w:noProof/>
        </w:rPr>
      </w:pPr>
      <w:r>
        <w:t>A</w:t>
      </w:r>
      <w:r>
        <w:t xml:space="preserve">nalogous </w:t>
      </w:r>
      <w:r>
        <w:rPr>
          <w:noProof/>
        </w:rPr>
        <w:t>water quality indexes to our eutrophication model</w:t>
      </w:r>
      <w:r>
        <w:rPr>
          <w:noProof/>
        </w:rPr>
        <w:t>, t</w:t>
      </w:r>
      <w:r>
        <w:t xml:space="preserve">his supplement documents the development of indices </w:t>
      </w:r>
      <w:r>
        <w:rPr>
          <w:noProof/>
        </w:rPr>
        <w:t xml:space="preserve">for organic pollution as indicated by biological oxygen demand (BOD) and salinity as indicated by total dissolved solids (TDS). </w:t>
      </w:r>
    </w:p>
    <w:p w14:paraId="43BDB46C" w14:textId="61E5B639" w:rsidR="00810C22" w:rsidRDefault="00810C22" w:rsidP="00810C22">
      <w:pPr>
        <w:jc w:val="both"/>
      </w:pPr>
      <w:r>
        <w:t>Unlike eutrophication, those water quality markers are directly used as the base of water quality classifications, whereas for TN and TP, their ecological response, eutrophication, is of concern. The equations for calculating the BOD and TDS indices are the following. They were obtained by regression analysis from the values given in Table 3.</w:t>
      </w:r>
    </w:p>
    <w:p w14:paraId="5FBF7131" w14:textId="77777777" w:rsidR="00810C22" w:rsidRPr="00727131" w:rsidRDefault="00810C22" w:rsidP="00810C22">
      <w:pPr>
        <w:jc w:val="both"/>
      </w:pPr>
      <w:r w:rsidRPr="00727131">
        <w:t xml:space="preserve">BOD Index = 1 – </w:t>
      </w:r>
      <w:r w:rsidRPr="00727131">
        <w:rPr>
          <w:i/>
          <w:iCs/>
        </w:rPr>
        <w:t>max</w:t>
      </w:r>
      <w:r w:rsidRPr="00727131">
        <w:t xml:space="preserve"> (0, </w:t>
      </w:r>
      <w:r w:rsidRPr="00727131">
        <w:rPr>
          <w:i/>
          <w:iCs/>
        </w:rPr>
        <w:t>min</w:t>
      </w:r>
      <w:r w:rsidRPr="00727131">
        <w:t xml:space="preserve"> (1, (1.5626*</w:t>
      </w:r>
      <w:r w:rsidRPr="00727131">
        <w:rPr>
          <w:i/>
          <w:iCs/>
        </w:rPr>
        <w:t>log</w:t>
      </w:r>
      <w:r w:rsidRPr="00727131">
        <w:t>(BOD) – 0.4884)/5)     (R² = 0.9419)</w:t>
      </w:r>
      <w:r w:rsidRPr="00727131">
        <w:tab/>
        <w:t>(3)</w:t>
      </w:r>
    </w:p>
    <w:p w14:paraId="4E665C76" w14:textId="77777777" w:rsidR="00810C22" w:rsidRDefault="00810C22" w:rsidP="00810C22">
      <w:pPr>
        <w:jc w:val="both"/>
      </w:pPr>
      <w:r w:rsidRPr="00727131">
        <w:t xml:space="preserve">TDS Index = 1 – </w:t>
      </w:r>
      <w:r w:rsidRPr="00727131">
        <w:rPr>
          <w:i/>
          <w:iCs/>
        </w:rPr>
        <w:t>max</w:t>
      </w:r>
      <w:r w:rsidRPr="00727131">
        <w:t xml:space="preserve"> (0, </w:t>
      </w:r>
      <w:r w:rsidRPr="00727131">
        <w:rPr>
          <w:i/>
          <w:iCs/>
        </w:rPr>
        <w:t>min</w:t>
      </w:r>
      <w:r w:rsidRPr="00727131">
        <w:t xml:space="preserve"> (1, (y = 0.0038*TDS – 0.8419)/5)         (R² = 0.9979)</w:t>
      </w:r>
      <w:r w:rsidRPr="00727131">
        <w:tab/>
        <w:t>(4)</w:t>
      </w:r>
    </w:p>
    <w:p w14:paraId="47F5F7C7" w14:textId="77777777" w:rsidR="00810C22" w:rsidRPr="00776CC0" w:rsidRDefault="00810C22" w:rsidP="00810C22">
      <w:pPr>
        <w:jc w:val="both"/>
        <w:rPr>
          <w:sz w:val="20"/>
          <w:szCs w:val="20"/>
        </w:rPr>
      </w:pPr>
      <w:r w:rsidRPr="00776CC0">
        <w:rPr>
          <w:b/>
          <w:bCs/>
          <w:sz w:val="20"/>
          <w:szCs w:val="20"/>
        </w:rPr>
        <w:t xml:space="preserve">Table </w:t>
      </w:r>
      <w:r>
        <w:rPr>
          <w:b/>
          <w:bCs/>
          <w:sz w:val="20"/>
          <w:szCs w:val="20"/>
        </w:rPr>
        <w:t>3</w:t>
      </w:r>
      <w:r w:rsidRPr="00776CC0">
        <w:rPr>
          <w:b/>
          <w:bCs/>
          <w:sz w:val="20"/>
          <w:szCs w:val="20"/>
        </w:rPr>
        <w:t>.</w:t>
      </w:r>
      <w:r w:rsidRPr="00776CC0">
        <w:rPr>
          <w:sz w:val="20"/>
          <w:szCs w:val="20"/>
        </w:rPr>
        <w:t xml:space="preserve"> </w:t>
      </w:r>
      <w:r>
        <w:rPr>
          <w:sz w:val="20"/>
          <w:szCs w:val="20"/>
        </w:rPr>
        <w:t>BOD and TDS</w:t>
      </w:r>
      <w:r w:rsidRPr="00776CC0">
        <w:rPr>
          <w:sz w:val="20"/>
          <w:szCs w:val="20"/>
        </w:rPr>
        <w:t xml:space="preserve"> index classifications </w:t>
      </w:r>
      <w:r>
        <w:rPr>
          <w:sz w:val="20"/>
          <w:szCs w:val="20"/>
        </w:rPr>
        <w:t>proposed</w:t>
      </w:r>
      <w:r w:rsidRPr="00776CC0">
        <w:rPr>
          <w:sz w:val="20"/>
          <w:szCs w:val="20"/>
        </w:rPr>
        <w:t xml:space="preserve">. These classifications have been </w:t>
      </w:r>
      <w:r>
        <w:rPr>
          <w:sz w:val="20"/>
          <w:szCs w:val="20"/>
        </w:rPr>
        <w:t>synthesized</w:t>
      </w:r>
      <w:r w:rsidRPr="00776CC0">
        <w:rPr>
          <w:sz w:val="20"/>
          <w:szCs w:val="20"/>
        </w:rPr>
        <w:t xml:space="preserve"> from key international policy documents </w:t>
      </w:r>
      <w:r w:rsidRPr="00776CC0">
        <w:rPr>
          <w:sz w:val="20"/>
          <w:szCs w:val="20"/>
        </w:rPr>
        <w:fldChar w:fldCharType="begin"/>
      </w:r>
      <w:r>
        <w:rPr>
          <w:sz w:val="20"/>
          <w:szCs w:val="20"/>
        </w:rPr>
        <w:instrText xml:space="preserve"> ADDIN ZOTERO_ITEM CSL_CITATION {"citationID":"TDLIQI6i","properties":{"formattedCitation":"\\super 22,23,25\\nosupersub{}","plainCitation":"22,23,25","noteIndex":0},"citationItems":[{"id":2459,"uris":["http://zotero.org/users/6171424/items/WYL6N26C",["http://zotero.org/users/6171424/items/WYL6N26C"]],"itemData":{"id":2459,"type":"report","event-place":"Paris","publisher":"UNEP/EMINWA (Environmentally Sound Management of Inland Waters) &amp; UNESCO/International Hydrological Programme","publisher-place":"Paris","title":"A Worldwide Surface Water Classification System","author":[{"family":"Higler","given":"L.W.G."}],"issued":{"date-parts":[["1988"]]}}},{"id":2463,"uris":["http://zotero.org/users/6171424/items/553SZK5V",["http://zotero.org/users/6171424/items/553SZK5V"]],"itemData":{"id":2463,"type":"report","event-place":"Paris","publisher":"The Organisation for Economic Co-operation and Development","publisher-place":"Paris","title":"Surface water quality regulation in EECCA countries - directions for reform: Annex 1: data sheets for surface water quality standards.","author":[{"family":"OECD","given":""}],"issued":{"date-parts":[["2007"]]}}},{"id":2464,"uris":["http://zotero.org/users/6171424/items/KKTP4BRP",["http://zotero.org/users/6171424/items/KKTP4BRP"]],"itemData":{"id":2464,"type":"report","event-place":"Geneva, Switzerland","publisher":"United Nations Enviromental Programme &amp; The Global Environmental Monitoring System Water","publisher-place":"Geneva, Switzerland","title":"SDG indicator 6.3.2 technical guidance document no. 2 target values","author":[{"family":"UNEP &amp; GEMS Water","given":""}],"issued":{"date-parts":[["2020"]]}}}],"schema":"https://github.com/citation-style-language/schema/raw/master/csl-citation.json"} </w:instrText>
      </w:r>
      <w:r w:rsidRPr="00776CC0">
        <w:rPr>
          <w:sz w:val="20"/>
          <w:szCs w:val="20"/>
        </w:rPr>
        <w:fldChar w:fldCharType="separate"/>
      </w:r>
      <w:r w:rsidRPr="00C30E3E">
        <w:rPr>
          <w:rFonts w:ascii="Calibri" w:hAnsi="Calibri" w:cs="Calibri"/>
          <w:sz w:val="20"/>
          <w:vertAlign w:val="superscript"/>
        </w:rPr>
        <w:t>22,23,25</w:t>
      </w:r>
      <w:r w:rsidRPr="00776CC0">
        <w:rPr>
          <w:sz w:val="20"/>
          <w:szCs w:val="20"/>
        </w:rPr>
        <w:fldChar w:fldCharType="end"/>
      </w:r>
      <w:r w:rsidRPr="00776CC0">
        <w:rPr>
          <w:sz w:val="20"/>
          <w:szCs w:val="20"/>
        </w:rPr>
        <w:t>.</w:t>
      </w:r>
    </w:p>
    <w:tbl>
      <w:tblPr>
        <w:tblStyle w:val="TableGrid"/>
        <w:tblW w:w="0" w:type="auto"/>
        <w:tblLook w:val="04A0" w:firstRow="1" w:lastRow="0" w:firstColumn="1" w:lastColumn="0" w:noHBand="0" w:noVBand="1"/>
      </w:tblPr>
      <w:tblGrid>
        <w:gridCol w:w="1687"/>
        <w:gridCol w:w="1254"/>
        <w:gridCol w:w="1346"/>
        <w:gridCol w:w="1281"/>
        <w:gridCol w:w="1150"/>
        <w:gridCol w:w="1316"/>
        <w:gridCol w:w="982"/>
      </w:tblGrid>
      <w:tr w:rsidR="00810C22" w:rsidRPr="00776CC0" w14:paraId="1B05EFB6" w14:textId="77777777" w:rsidTr="00A36710">
        <w:tc>
          <w:tcPr>
            <w:tcW w:w="1687" w:type="dxa"/>
          </w:tcPr>
          <w:p w14:paraId="422F7020" w14:textId="77777777" w:rsidR="00810C22" w:rsidRPr="005A67BB" w:rsidRDefault="00810C22" w:rsidP="00A36710">
            <w:pPr>
              <w:jc w:val="both"/>
              <w:rPr>
                <w:b/>
                <w:bCs/>
                <w:sz w:val="20"/>
                <w:szCs w:val="20"/>
              </w:rPr>
            </w:pPr>
            <w:r>
              <w:rPr>
                <w:b/>
                <w:bCs/>
                <w:sz w:val="20"/>
                <w:szCs w:val="20"/>
              </w:rPr>
              <w:t>Class</w:t>
            </w:r>
          </w:p>
        </w:tc>
        <w:tc>
          <w:tcPr>
            <w:tcW w:w="1254" w:type="dxa"/>
          </w:tcPr>
          <w:p w14:paraId="30ED4581" w14:textId="77777777" w:rsidR="00810C22" w:rsidRPr="005A67BB" w:rsidRDefault="00810C22" w:rsidP="00A36710">
            <w:pPr>
              <w:jc w:val="both"/>
              <w:rPr>
                <w:b/>
                <w:bCs/>
                <w:sz w:val="20"/>
                <w:szCs w:val="20"/>
              </w:rPr>
            </w:pPr>
            <w:r w:rsidRPr="005A67BB">
              <w:rPr>
                <w:b/>
                <w:bCs/>
                <w:sz w:val="20"/>
                <w:szCs w:val="20"/>
              </w:rPr>
              <w:t>1</w:t>
            </w:r>
          </w:p>
        </w:tc>
        <w:tc>
          <w:tcPr>
            <w:tcW w:w="1346" w:type="dxa"/>
          </w:tcPr>
          <w:p w14:paraId="19904374" w14:textId="77777777" w:rsidR="00810C22" w:rsidRPr="005A67BB" w:rsidRDefault="00810C22" w:rsidP="00A36710">
            <w:pPr>
              <w:jc w:val="both"/>
              <w:rPr>
                <w:b/>
                <w:bCs/>
                <w:sz w:val="20"/>
                <w:szCs w:val="20"/>
              </w:rPr>
            </w:pPr>
            <w:r w:rsidRPr="005A67BB">
              <w:rPr>
                <w:b/>
                <w:bCs/>
                <w:sz w:val="20"/>
                <w:szCs w:val="20"/>
              </w:rPr>
              <w:t>2</w:t>
            </w:r>
          </w:p>
        </w:tc>
        <w:tc>
          <w:tcPr>
            <w:tcW w:w="1281" w:type="dxa"/>
          </w:tcPr>
          <w:p w14:paraId="4E786798" w14:textId="77777777" w:rsidR="00810C22" w:rsidRPr="005A67BB" w:rsidRDefault="00810C22" w:rsidP="00A36710">
            <w:pPr>
              <w:jc w:val="both"/>
              <w:rPr>
                <w:b/>
                <w:bCs/>
                <w:sz w:val="20"/>
                <w:szCs w:val="20"/>
              </w:rPr>
            </w:pPr>
            <w:r w:rsidRPr="005A67BB">
              <w:rPr>
                <w:b/>
                <w:bCs/>
                <w:sz w:val="20"/>
                <w:szCs w:val="20"/>
              </w:rPr>
              <w:t>3</w:t>
            </w:r>
          </w:p>
        </w:tc>
        <w:tc>
          <w:tcPr>
            <w:tcW w:w="1150" w:type="dxa"/>
          </w:tcPr>
          <w:p w14:paraId="7C2B23BB" w14:textId="77777777" w:rsidR="00810C22" w:rsidRPr="005A67BB" w:rsidRDefault="00810C22" w:rsidP="00A36710">
            <w:pPr>
              <w:jc w:val="both"/>
              <w:rPr>
                <w:b/>
                <w:bCs/>
                <w:sz w:val="20"/>
                <w:szCs w:val="20"/>
              </w:rPr>
            </w:pPr>
            <w:r w:rsidRPr="005A67BB">
              <w:rPr>
                <w:b/>
                <w:bCs/>
                <w:sz w:val="20"/>
                <w:szCs w:val="20"/>
              </w:rPr>
              <w:t>4</w:t>
            </w:r>
          </w:p>
        </w:tc>
        <w:tc>
          <w:tcPr>
            <w:tcW w:w="1316" w:type="dxa"/>
          </w:tcPr>
          <w:p w14:paraId="1E06C442" w14:textId="77777777" w:rsidR="00810C22" w:rsidRPr="005A67BB" w:rsidRDefault="00810C22" w:rsidP="00A36710">
            <w:pPr>
              <w:jc w:val="both"/>
              <w:rPr>
                <w:b/>
                <w:bCs/>
                <w:sz w:val="20"/>
                <w:szCs w:val="20"/>
              </w:rPr>
            </w:pPr>
            <w:r w:rsidRPr="005A67BB">
              <w:rPr>
                <w:b/>
                <w:bCs/>
                <w:sz w:val="20"/>
                <w:szCs w:val="20"/>
              </w:rPr>
              <w:t>5</w:t>
            </w:r>
          </w:p>
        </w:tc>
        <w:tc>
          <w:tcPr>
            <w:tcW w:w="982" w:type="dxa"/>
          </w:tcPr>
          <w:p w14:paraId="04A3CD41" w14:textId="77777777" w:rsidR="00810C22" w:rsidRPr="005A67BB" w:rsidRDefault="00810C22" w:rsidP="00A36710">
            <w:pPr>
              <w:jc w:val="both"/>
              <w:rPr>
                <w:b/>
                <w:bCs/>
                <w:sz w:val="20"/>
                <w:szCs w:val="20"/>
                <w:u w:val="single"/>
              </w:rPr>
            </w:pPr>
            <w:r>
              <w:rPr>
                <w:b/>
                <w:bCs/>
                <w:sz w:val="20"/>
                <w:szCs w:val="20"/>
                <w:u w:val="single"/>
              </w:rPr>
              <w:t>Unit</w:t>
            </w:r>
          </w:p>
        </w:tc>
      </w:tr>
      <w:tr w:rsidR="00810C22" w:rsidRPr="00776CC0" w14:paraId="2D5BC206" w14:textId="77777777" w:rsidTr="00A36710">
        <w:tc>
          <w:tcPr>
            <w:tcW w:w="1687" w:type="dxa"/>
          </w:tcPr>
          <w:p w14:paraId="4DC9DC54" w14:textId="77777777" w:rsidR="00810C22" w:rsidRPr="00776CC0" w:rsidRDefault="00810C22" w:rsidP="00A36710">
            <w:pPr>
              <w:jc w:val="both"/>
              <w:rPr>
                <w:sz w:val="20"/>
                <w:szCs w:val="20"/>
              </w:rPr>
            </w:pPr>
            <w:r w:rsidRPr="00776CC0">
              <w:rPr>
                <w:sz w:val="20"/>
                <w:szCs w:val="20"/>
              </w:rPr>
              <w:t>BOD</w:t>
            </w:r>
          </w:p>
        </w:tc>
        <w:tc>
          <w:tcPr>
            <w:tcW w:w="1254" w:type="dxa"/>
          </w:tcPr>
          <w:p w14:paraId="541659BB" w14:textId="77777777" w:rsidR="00810C22" w:rsidRPr="00776CC0" w:rsidRDefault="00810C22" w:rsidP="00A36710">
            <w:pPr>
              <w:jc w:val="both"/>
              <w:rPr>
                <w:sz w:val="20"/>
                <w:szCs w:val="20"/>
              </w:rPr>
            </w:pPr>
            <w:r w:rsidRPr="00776CC0">
              <w:rPr>
                <w:sz w:val="20"/>
                <w:szCs w:val="20"/>
              </w:rPr>
              <w:t>&lt;3</w:t>
            </w:r>
          </w:p>
        </w:tc>
        <w:tc>
          <w:tcPr>
            <w:tcW w:w="1346" w:type="dxa"/>
          </w:tcPr>
          <w:p w14:paraId="787D4541" w14:textId="77777777" w:rsidR="00810C22" w:rsidRPr="00776CC0" w:rsidRDefault="00810C22" w:rsidP="00A36710">
            <w:pPr>
              <w:jc w:val="both"/>
              <w:rPr>
                <w:sz w:val="20"/>
                <w:szCs w:val="20"/>
              </w:rPr>
            </w:pPr>
            <w:r w:rsidRPr="00776CC0">
              <w:rPr>
                <w:sz w:val="20"/>
                <w:szCs w:val="20"/>
              </w:rPr>
              <w:t>3-5</w:t>
            </w:r>
          </w:p>
        </w:tc>
        <w:tc>
          <w:tcPr>
            <w:tcW w:w="1281" w:type="dxa"/>
          </w:tcPr>
          <w:p w14:paraId="78D6C526" w14:textId="77777777" w:rsidR="00810C22" w:rsidRPr="00776CC0" w:rsidRDefault="00810C22" w:rsidP="00A36710">
            <w:pPr>
              <w:jc w:val="both"/>
              <w:rPr>
                <w:sz w:val="20"/>
                <w:szCs w:val="20"/>
              </w:rPr>
            </w:pPr>
            <w:r w:rsidRPr="00776CC0">
              <w:rPr>
                <w:sz w:val="20"/>
                <w:szCs w:val="20"/>
              </w:rPr>
              <w:t>5-7</w:t>
            </w:r>
          </w:p>
        </w:tc>
        <w:tc>
          <w:tcPr>
            <w:tcW w:w="1150" w:type="dxa"/>
          </w:tcPr>
          <w:p w14:paraId="62562A6E" w14:textId="77777777" w:rsidR="00810C22" w:rsidRPr="00776CC0" w:rsidRDefault="00810C22" w:rsidP="00A36710">
            <w:pPr>
              <w:jc w:val="both"/>
              <w:rPr>
                <w:sz w:val="20"/>
                <w:szCs w:val="20"/>
              </w:rPr>
            </w:pPr>
            <w:r w:rsidRPr="00776CC0">
              <w:rPr>
                <w:sz w:val="20"/>
                <w:szCs w:val="20"/>
              </w:rPr>
              <w:t>7-20</w:t>
            </w:r>
          </w:p>
        </w:tc>
        <w:tc>
          <w:tcPr>
            <w:tcW w:w="1316" w:type="dxa"/>
          </w:tcPr>
          <w:p w14:paraId="1EA69FE5" w14:textId="77777777" w:rsidR="00810C22" w:rsidRPr="00776CC0" w:rsidRDefault="00810C22" w:rsidP="00A36710">
            <w:pPr>
              <w:jc w:val="both"/>
              <w:rPr>
                <w:sz w:val="20"/>
                <w:szCs w:val="20"/>
              </w:rPr>
            </w:pPr>
            <w:r w:rsidRPr="00776CC0">
              <w:rPr>
                <w:sz w:val="20"/>
                <w:szCs w:val="20"/>
              </w:rPr>
              <w:t>&gt;20</w:t>
            </w:r>
          </w:p>
        </w:tc>
        <w:tc>
          <w:tcPr>
            <w:tcW w:w="982" w:type="dxa"/>
          </w:tcPr>
          <w:p w14:paraId="7950D72D" w14:textId="77777777" w:rsidR="00810C22" w:rsidRPr="00776CC0" w:rsidRDefault="00810C22" w:rsidP="00A36710">
            <w:pPr>
              <w:jc w:val="both"/>
              <w:rPr>
                <w:sz w:val="20"/>
                <w:szCs w:val="20"/>
              </w:rPr>
            </w:pPr>
            <w:r w:rsidRPr="00776CC0">
              <w:rPr>
                <w:sz w:val="20"/>
                <w:szCs w:val="20"/>
              </w:rPr>
              <w:t>mg/l</w:t>
            </w:r>
          </w:p>
        </w:tc>
      </w:tr>
      <w:tr w:rsidR="00810C22" w:rsidRPr="00776CC0" w14:paraId="12805E95" w14:textId="77777777" w:rsidTr="00A36710">
        <w:tc>
          <w:tcPr>
            <w:tcW w:w="1687" w:type="dxa"/>
          </w:tcPr>
          <w:p w14:paraId="342F3094" w14:textId="77777777" w:rsidR="00810C22" w:rsidRPr="00776CC0" w:rsidRDefault="00810C22" w:rsidP="00A36710">
            <w:pPr>
              <w:jc w:val="both"/>
              <w:rPr>
                <w:sz w:val="20"/>
                <w:szCs w:val="20"/>
              </w:rPr>
            </w:pPr>
            <w:r w:rsidRPr="00776CC0">
              <w:rPr>
                <w:sz w:val="20"/>
                <w:szCs w:val="20"/>
              </w:rPr>
              <w:t>TDS</w:t>
            </w:r>
          </w:p>
        </w:tc>
        <w:tc>
          <w:tcPr>
            <w:tcW w:w="1254" w:type="dxa"/>
          </w:tcPr>
          <w:p w14:paraId="116773C9" w14:textId="77777777" w:rsidR="00810C22" w:rsidRPr="00776CC0" w:rsidRDefault="00810C22" w:rsidP="00A36710">
            <w:pPr>
              <w:jc w:val="both"/>
              <w:rPr>
                <w:sz w:val="20"/>
                <w:szCs w:val="20"/>
              </w:rPr>
            </w:pPr>
            <w:r w:rsidRPr="00776CC0">
              <w:rPr>
                <w:sz w:val="20"/>
                <w:szCs w:val="20"/>
              </w:rPr>
              <w:t>&lt;500</w:t>
            </w:r>
          </w:p>
        </w:tc>
        <w:tc>
          <w:tcPr>
            <w:tcW w:w="1346" w:type="dxa"/>
          </w:tcPr>
          <w:p w14:paraId="48D1AD93" w14:textId="77777777" w:rsidR="00810C22" w:rsidRPr="00776CC0" w:rsidRDefault="00810C22" w:rsidP="00A36710">
            <w:pPr>
              <w:jc w:val="both"/>
              <w:rPr>
                <w:sz w:val="20"/>
                <w:szCs w:val="20"/>
              </w:rPr>
            </w:pPr>
            <w:r w:rsidRPr="00776CC0">
              <w:rPr>
                <w:sz w:val="20"/>
                <w:szCs w:val="20"/>
              </w:rPr>
              <w:t>500-750</w:t>
            </w:r>
          </w:p>
        </w:tc>
        <w:tc>
          <w:tcPr>
            <w:tcW w:w="1281" w:type="dxa"/>
          </w:tcPr>
          <w:p w14:paraId="2EFCCC27" w14:textId="77777777" w:rsidR="00810C22" w:rsidRPr="00776CC0" w:rsidRDefault="00810C22" w:rsidP="00A36710">
            <w:pPr>
              <w:jc w:val="both"/>
              <w:rPr>
                <w:sz w:val="20"/>
                <w:szCs w:val="20"/>
              </w:rPr>
            </w:pPr>
            <w:r w:rsidRPr="00776CC0">
              <w:rPr>
                <w:sz w:val="20"/>
                <w:szCs w:val="20"/>
              </w:rPr>
              <w:t>750-1000</w:t>
            </w:r>
          </w:p>
        </w:tc>
        <w:tc>
          <w:tcPr>
            <w:tcW w:w="1150" w:type="dxa"/>
          </w:tcPr>
          <w:p w14:paraId="3330AF4A" w14:textId="77777777" w:rsidR="00810C22" w:rsidRPr="00776CC0" w:rsidRDefault="00810C22" w:rsidP="00A36710">
            <w:pPr>
              <w:jc w:val="both"/>
              <w:rPr>
                <w:sz w:val="20"/>
                <w:szCs w:val="20"/>
              </w:rPr>
            </w:pPr>
            <w:r w:rsidRPr="00776CC0">
              <w:rPr>
                <w:sz w:val="20"/>
                <w:szCs w:val="20"/>
              </w:rPr>
              <w:t>1000-1300</w:t>
            </w:r>
          </w:p>
        </w:tc>
        <w:tc>
          <w:tcPr>
            <w:tcW w:w="1316" w:type="dxa"/>
          </w:tcPr>
          <w:p w14:paraId="6DC1696B" w14:textId="77777777" w:rsidR="00810C22" w:rsidRPr="00776CC0" w:rsidRDefault="00810C22" w:rsidP="00A36710">
            <w:pPr>
              <w:jc w:val="both"/>
              <w:rPr>
                <w:sz w:val="20"/>
                <w:szCs w:val="20"/>
              </w:rPr>
            </w:pPr>
            <w:r w:rsidRPr="00776CC0">
              <w:rPr>
                <w:sz w:val="20"/>
                <w:szCs w:val="20"/>
              </w:rPr>
              <w:t>&gt;1300</w:t>
            </w:r>
          </w:p>
        </w:tc>
        <w:tc>
          <w:tcPr>
            <w:tcW w:w="982" w:type="dxa"/>
          </w:tcPr>
          <w:p w14:paraId="2FF62F46" w14:textId="77777777" w:rsidR="00810C22" w:rsidRPr="00776CC0" w:rsidRDefault="00810C22" w:rsidP="00A36710">
            <w:pPr>
              <w:jc w:val="both"/>
              <w:rPr>
                <w:sz w:val="20"/>
                <w:szCs w:val="20"/>
              </w:rPr>
            </w:pPr>
            <w:r w:rsidRPr="00776CC0">
              <w:rPr>
                <w:sz w:val="20"/>
                <w:szCs w:val="20"/>
              </w:rPr>
              <w:t>mg/l</w:t>
            </w:r>
          </w:p>
        </w:tc>
      </w:tr>
    </w:tbl>
    <w:p w14:paraId="7BF450D6" w14:textId="77777777" w:rsidR="00810C22" w:rsidRDefault="00810C22" w:rsidP="00810C22">
      <w:pPr>
        <w:rPr>
          <w:noProof/>
        </w:rPr>
      </w:pPr>
    </w:p>
    <w:p w14:paraId="4C317395" w14:textId="5030D1FA" w:rsidR="00810C22" w:rsidRDefault="00810C22" w:rsidP="00810C22">
      <w:pPr>
        <w:rPr>
          <w:noProof/>
        </w:rPr>
      </w:pPr>
      <w:r>
        <w:rPr>
          <w:noProof/>
        </w:rPr>
        <w:t xml:space="preserve">The BOD index (Fig. </w:t>
      </w:r>
      <w:r>
        <w:rPr>
          <w:noProof/>
        </w:rPr>
        <w:t>S1a</w:t>
      </w:r>
      <w:r>
        <w:rPr>
          <w:noProof/>
        </w:rPr>
        <w:t xml:space="preserve">) reaches highest values in crowded and agriculturally intensive areas such as Northeasten China, South Asia, Central Europe and the Mediterranean coast, parts of the West and Central Asia, and parts of Latin America. It shows strong correspondance with the nutrient spatial patterns and particularly with TN due to common pollution sources (livestock, domestic use). In turn, the TDS index value (Fig. 3b) tops in arid areas from West and Central Asia to northern China, in Pakistan and Western India, and dry areas of the Americas and is thus more strongly related to climate (precipitation and evaporation) patterns. </w:t>
      </w:r>
    </w:p>
    <w:p w14:paraId="5D46F7CF" w14:textId="3956675B" w:rsidR="00AE5E4A" w:rsidRPr="009C1320" w:rsidRDefault="00AE5E4A" w:rsidP="00AE5E4A">
      <w:pPr>
        <w:keepNext/>
        <w:rPr>
          <w:b/>
          <w:bCs/>
        </w:rPr>
      </w:pPr>
      <w:r w:rsidRPr="009C1320">
        <w:rPr>
          <w:b/>
          <w:bCs/>
        </w:rPr>
        <w:lastRenderedPageBreak/>
        <w:t xml:space="preserve">Fig. </w:t>
      </w:r>
      <w:r>
        <w:rPr>
          <w:b/>
          <w:bCs/>
        </w:rPr>
        <w:t>S1</w:t>
      </w:r>
      <w:r>
        <w:rPr>
          <w:b/>
          <w:bCs/>
        </w:rPr>
        <w:t>:</w:t>
      </w:r>
      <w:r w:rsidRPr="009C1320">
        <w:rPr>
          <w:b/>
          <w:bCs/>
        </w:rPr>
        <w:t xml:space="preserve"> </w:t>
      </w:r>
      <w:r w:rsidRPr="009C1320">
        <w:rPr>
          <w:b/>
          <w:bCs/>
          <w:noProof/>
        </w:rPr>
        <w:t xml:space="preserve">Global gridded map for Biological Oxygen Demand (BOD) Index (a), and Total Dissolved Solids (TDS) Index </w:t>
      </w:r>
      <w:r w:rsidRPr="009C1320">
        <w:rPr>
          <w:b/>
          <w:bCs/>
        </w:rPr>
        <w:t>(b).</w:t>
      </w:r>
    </w:p>
    <w:p w14:paraId="5ECF27A9" w14:textId="6578CD8C" w:rsidR="00810C22" w:rsidRDefault="00AE5E4A" w:rsidP="00AE5E4A">
      <w:r>
        <w:rPr>
          <w:noProof/>
        </w:rPr>
        <w:drawing>
          <wp:inline distT="0" distB="0" distL="0" distR="0" wp14:anchorId="6A3525BF" wp14:editId="07FBCC8B">
            <wp:extent cx="5623560" cy="3398520"/>
            <wp:effectExtent l="0" t="0" r="0" b="0"/>
            <wp:docPr id="2735723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797" t="4323" r="1196" b="11842"/>
                    <a:stretch>
                      <a:fillRect/>
                    </a:stretch>
                  </pic:blipFill>
                  <pic:spPr bwMode="auto">
                    <a:xfrm>
                      <a:off x="0" y="0"/>
                      <a:ext cx="5623560" cy="3398520"/>
                    </a:xfrm>
                    <a:prstGeom prst="rect">
                      <a:avLst/>
                    </a:prstGeom>
                    <a:noFill/>
                    <a:ln>
                      <a:noFill/>
                    </a:ln>
                  </pic:spPr>
                </pic:pic>
              </a:graphicData>
            </a:graphic>
          </wp:inline>
        </w:drawing>
      </w:r>
      <w:r>
        <w:rPr>
          <w:noProof/>
        </w:rPr>
        <w:drawing>
          <wp:inline distT="0" distB="0" distL="0" distR="0" wp14:anchorId="13F5F1B9" wp14:editId="42C7D9D0">
            <wp:extent cx="5623560" cy="3383280"/>
            <wp:effectExtent l="0" t="0" r="0" b="7620"/>
            <wp:docPr id="775909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931" t="3572" r="931" b="12970"/>
                    <a:stretch>
                      <a:fillRect/>
                    </a:stretch>
                  </pic:blipFill>
                  <pic:spPr bwMode="auto">
                    <a:xfrm>
                      <a:off x="0" y="0"/>
                      <a:ext cx="5623560" cy="3383280"/>
                    </a:xfrm>
                    <a:prstGeom prst="rect">
                      <a:avLst/>
                    </a:prstGeom>
                    <a:noFill/>
                    <a:ln>
                      <a:noFill/>
                    </a:ln>
                  </pic:spPr>
                </pic:pic>
              </a:graphicData>
            </a:graphic>
          </wp:inline>
        </w:drawing>
      </w:r>
    </w:p>
    <w:p w14:paraId="3E055372" w14:textId="77777777" w:rsidR="00810C22" w:rsidRDefault="00810C22"/>
    <w:sectPr w:rsidR="00810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Condensed">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22"/>
    <w:rsid w:val="00356484"/>
    <w:rsid w:val="007513DC"/>
    <w:rsid w:val="00810C22"/>
    <w:rsid w:val="00970A94"/>
    <w:rsid w:val="00AE5E4A"/>
    <w:rsid w:val="00CC0488"/>
    <w:rsid w:val="00E60BB7"/>
    <w:rsid w:val="00F27135"/>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E792"/>
  <w15:chartTrackingRefBased/>
  <w15:docId w15:val="{5A0B743B-0C6B-4B80-8DED-9C63B1FE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C22"/>
    <w:rPr>
      <w:kern w:val="0"/>
      <w:lang w:val="en-US"/>
      <w14:ligatures w14:val="none"/>
    </w:rPr>
  </w:style>
  <w:style w:type="paragraph" w:styleId="Heading1">
    <w:name w:val="heading 1"/>
    <w:basedOn w:val="Normal"/>
    <w:next w:val="Normal"/>
    <w:link w:val="Heading1Char"/>
    <w:uiPriority w:val="9"/>
    <w:qFormat/>
    <w:rsid w:val="00810C22"/>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FI"/>
      <w14:ligatures w14:val="standardContextual"/>
    </w:rPr>
  </w:style>
  <w:style w:type="paragraph" w:styleId="Heading2">
    <w:name w:val="heading 2"/>
    <w:basedOn w:val="Normal"/>
    <w:next w:val="Normal"/>
    <w:link w:val="Heading2Char"/>
    <w:uiPriority w:val="9"/>
    <w:unhideWhenUsed/>
    <w:qFormat/>
    <w:rsid w:val="00810C22"/>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FI"/>
      <w14:ligatures w14:val="standardContextual"/>
    </w:rPr>
  </w:style>
  <w:style w:type="paragraph" w:styleId="Heading3">
    <w:name w:val="heading 3"/>
    <w:basedOn w:val="Normal"/>
    <w:next w:val="Normal"/>
    <w:link w:val="Heading3Char"/>
    <w:uiPriority w:val="9"/>
    <w:semiHidden/>
    <w:unhideWhenUsed/>
    <w:qFormat/>
    <w:rsid w:val="00810C22"/>
    <w:pPr>
      <w:keepNext/>
      <w:keepLines/>
      <w:spacing w:before="160" w:after="80"/>
      <w:outlineLvl w:val="2"/>
    </w:pPr>
    <w:rPr>
      <w:rFonts w:eastAsiaTheme="majorEastAsia" w:cstheme="majorBidi"/>
      <w:color w:val="0F4761" w:themeColor="accent1" w:themeShade="BF"/>
      <w:kern w:val="2"/>
      <w:sz w:val="28"/>
      <w:szCs w:val="28"/>
      <w:lang w:val="en-FI"/>
      <w14:ligatures w14:val="standardContextual"/>
    </w:rPr>
  </w:style>
  <w:style w:type="paragraph" w:styleId="Heading4">
    <w:name w:val="heading 4"/>
    <w:basedOn w:val="Normal"/>
    <w:next w:val="Normal"/>
    <w:link w:val="Heading4Char"/>
    <w:uiPriority w:val="9"/>
    <w:semiHidden/>
    <w:unhideWhenUsed/>
    <w:qFormat/>
    <w:rsid w:val="00810C22"/>
    <w:pPr>
      <w:keepNext/>
      <w:keepLines/>
      <w:spacing w:before="80" w:after="40"/>
      <w:outlineLvl w:val="3"/>
    </w:pPr>
    <w:rPr>
      <w:rFonts w:eastAsiaTheme="majorEastAsia" w:cstheme="majorBidi"/>
      <w:i/>
      <w:iCs/>
      <w:color w:val="0F4761" w:themeColor="accent1" w:themeShade="BF"/>
      <w:kern w:val="2"/>
      <w:lang w:val="en-FI"/>
      <w14:ligatures w14:val="standardContextual"/>
    </w:rPr>
  </w:style>
  <w:style w:type="paragraph" w:styleId="Heading5">
    <w:name w:val="heading 5"/>
    <w:basedOn w:val="Normal"/>
    <w:next w:val="Normal"/>
    <w:link w:val="Heading5Char"/>
    <w:uiPriority w:val="9"/>
    <w:semiHidden/>
    <w:unhideWhenUsed/>
    <w:qFormat/>
    <w:rsid w:val="00810C22"/>
    <w:pPr>
      <w:keepNext/>
      <w:keepLines/>
      <w:spacing w:before="80" w:after="40"/>
      <w:outlineLvl w:val="4"/>
    </w:pPr>
    <w:rPr>
      <w:rFonts w:eastAsiaTheme="majorEastAsia" w:cstheme="majorBidi"/>
      <w:color w:val="0F4761" w:themeColor="accent1" w:themeShade="BF"/>
      <w:kern w:val="2"/>
      <w:lang w:val="en-FI"/>
      <w14:ligatures w14:val="standardContextual"/>
    </w:rPr>
  </w:style>
  <w:style w:type="paragraph" w:styleId="Heading6">
    <w:name w:val="heading 6"/>
    <w:basedOn w:val="Normal"/>
    <w:next w:val="Normal"/>
    <w:link w:val="Heading6Char"/>
    <w:uiPriority w:val="9"/>
    <w:semiHidden/>
    <w:unhideWhenUsed/>
    <w:qFormat/>
    <w:rsid w:val="00810C22"/>
    <w:pPr>
      <w:keepNext/>
      <w:keepLines/>
      <w:spacing w:before="40" w:after="0"/>
      <w:outlineLvl w:val="5"/>
    </w:pPr>
    <w:rPr>
      <w:rFonts w:eastAsiaTheme="majorEastAsia" w:cstheme="majorBidi"/>
      <w:i/>
      <w:iCs/>
      <w:color w:val="595959" w:themeColor="text1" w:themeTint="A6"/>
      <w:kern w:val="2"/>
      <w:lang w:val="en-FI"/>
      <w14:ligatures w14:val="standardContextual"/>
    </w:rPr>
  </w:style>
  <w:style w:type="paragraph" w:styleId="Heading7">
    <w:name w:val="heading 7"/>
    <w:basedOn w:val="Normal"/>
    <w:next w:val="Normal"/>
    <w:link w:val="Heading7Char"/>
    <w:uiPriority w:val="9"/>
    <w:semiHidden/>
    <w:unhideWhenUsed/>
    <w:qFormat/>
    <w:rsid w:val="00810C22"/>
    <w:pPr>
      <w:keepNext/>
      <w:keepLines/>
      <w:spacing w:before="40" w:after="0"/>
      <w:outlineLvl w:val="6"/>
    </w:pPr>
    <w:rPr>
      <w:rFonts w:eastAsiaTheme="majorEastAsia" w:cstheme="majorBidi"/>
      <w:color w:val="595959" w:themeColor="text1" w:themeTint="A6"/>
      <w:kern w:val="2"/>
      <w:lang w:val="en-FI"/>
      <w14:ligatures w14:val="standardContextual"/>
    </w:rPr>
  </w:style>
  <w:style w:type="paragraph" w:styleId="Heading8">
    <w:name w:val="heading 8"/>
    <w:basedOn w:val="Normal"/>
    <w:next w:val="Normal"/>
    <w:link w:val="Heading8Char"/>
    <w:uiPriority w:val="9"/>
    <w:semiHidden/>
    <w:unhideWhenUsed/>
    <w:qFormat/>
    <w:rsid w:val="00810C22"/>
    <w:pPr>
      <w:keepNext/>
      <w:keepLines/>
      <w:spacing w:after="0"/>
      <w:outlineLvl w:val="7"/>
    </w:pPr>
    <w:rPr>
      <w:rFonts w:eastAsiaTheme="majorEastAsia" w:cstheme="majorBidi"/>
      <w:i/>
      <w:iCs/>
      <w:color w:val="272727" w:themeColor="text1" w:themeTint="D8"/>
      <w:kern w:val="2"/>
      <w:lang w:val="en-FI"/>
      <w14:ligatures w14:val="standardContextual"/>
    </w:rPr>
  </w:style>
  <w:style w:type="paragraph" w:styleId="Heading9">
    <w:name w:val="heading 9"/>
    <w:basedOn w:val="Normal"/>
    <w:next w:val="Normal"/>
    <w:link w:val="Heading9Char"/>
    <w:uiPriority w:val="9"/>
    <w:semiHidden/>
    <w:unhideWhenUsed/>
    <w:qFormat/>
    <w:rsid w:val="00810C22"/>
    <w:pPr>
      <w:keepNext/>
      <w:keepLines/>
      <w:spacing w:after="0"/>
      <w:outlineLvl w:val="8"/>
    </w:pPr>
    <w:rPr>
      <w:rFonts w:eastAsiaTheme="majorEastAsia" w:cstheme="majorBidi"/>
      <w:color w:val="272727" w:themeColor="text1" w:themeTint="D8"/>
      <w:kern w:val="2"/>
      <w:lang w:val="en-F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0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C22"/>
    <w:rPr>
      <w:rFonts w:eastAsiaTheme="majorEastAsia" w:cstheme="majorBidi"/>
      <w:color w:val="272727" w:themeColor="text1" w:themeTint="D8"/>
    </w:rPr>
  </w:style>
  <w:style w:type="paragraph" w:styleId="Title">
    <w:name w:val="Title"/>
    <w:basedOn w:val="Normal"/>
    <w:next w:val="Normal"/>
    <w:link w:val="TitleChar"/>
    <w:uiPriority w:val="10"/>
    <w:qFormat/>
    <w:rsid w:val="00810C22"/>
    <w:pPr>
      <w:spacing w:after="80" w:line="240" w:lineRule="auto"/>
      <w:contextualSpacing/>
    </w:pPr>
    <w:rPr>
      <w:rFonts w:asciiTheme="majorHAnsi" w:eastAsiaTheme="majorEastAsia" w:hAnsiTheme="majorHAnsi" w:cstheme="majorBidi"/>
      <w:spacing w:val="-10"/>
      <w:kern w:val="28"/>
      <w:sz w:val="56"/>
      <w:szCs w:val="56"/>
      <w:lang w:val="en-FI"/>
      <w14:ligatures w14:val="standardContextual"/>
    </w:rPr>
  </w:style>
  <w:style w:type="character" w:customStyle="1" w:styleId="TitleChar">
    <w:name w:val="Title Char"/>
    <w:basedOn w:val="DefaultParagraphFont"/>
    <w:link w:val="Title"/>
    <w:uiPriority w:val="10"/>
    <w:rsid w:val="00810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C22"/>
    <w:pPr>
      <w:numPr>
        <w:ilvl w:val="1"/>
      </w:numPr>
    </w:pPr>
    <w:rPr>
      <w:rFonts w:eastAsiaTheme="majorEastAsia" w:cstheme="majorBidi"/>
      <w:color w:val="595959" w:themeColor="text1" w:themeTint="A6"/>
      <w:spacing w:val="15"/>
      <w:kern w:val="2"/>
      <w:sz w:val="28"/>
      <w:szCs w:val="28"/>
      <w:lang w:val="en-FI"/>
      <w14:ligatures w14:val="standardContextual"/>
    </w:rPr>
  </w:style>
  <w:style w:type="character" w:customStyle="1" w:styleId="SubtitleChar">
    <w:name w:val="Subtitle Char"/>
    <w:basedOn w:val="DefaultParagraphFont"/>
    <w:link w:val="Subtitle"/>
    <w:uiPriority w:val="11"/>
    <w:rsid w:val="00810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C22"/>
    <w:pPr>
      <w:spacing w:before="160"/>
      <w:jc w:val="center"/>
    </w:pPr>
    <w:rPr>
      <w:i/>
      <w:iCs/>
      <w:color w:val="404040" w:themeColor="text1" w:themeTint="BF"/>
      <w:kern w:val="2"/>
      <w:lang w:val="en-FI"/>
      <w14:ligatures w14:val="standardContextual"/>
    </w:rPr>
  </w:style>
  <w:style w:type="character" w:customStyle="1" w:styleId="QuoteChar">
    <w:name w:val="Quote Char"/>
    <w:basedOn w:val="DefaultParagraphFont"/>
    <w:link w:val="Quote"/>
    <w:uiPriority w:val="29"/>
    <w:rsid w:val="00810C22"/>
    <w:rPr>
      <w:i/>
      <w:iCs/>
      <w:color w:val="404040" w:themeColor="text1" w:themeTint="BF"/>
    </w:rPr>
  </w:style>
  <w:style w:type="paragraph" w:styleId="ListParagraph">
    <w:name w:val="List Paragraph"/>
    <w:basedOn w:val="Normal"/>
    <w:uiPriority w:val="34"/>
    <w:qFormat/>
    <w:rsid w:val="00810C22"/>
    <w:pPr>
      <w:ind w:left="720"/>
      <w:contextualSpacing/>
    </w:pPr>
    <w:rPr>
      <w:kern w:val="2"/>
      <w:lang w:val="en-FI"/>
      <w14:ligatures w14:val="standardContextual"/>
    </w:rPr>
  </w:style>
  <w:style w:type="character" w:styleId="IntenseEmphasis">
    <w:name w:val="Intense Emphasis"/>
    <w:basedOn w:val="DefaultParagraphFont"/>
    <w:uiPriority w:val="21"/>
    <w:qFormat/>
    <w:rsid w:val="00810C22"/>
    <w:rPr>
      <w:i/>
      <w:iCs/>
      <w:color w:val="0F4761" w:themeColor="accent1" w:themeShade="BF"/>
    </w:rPr>
  </w:style>
  <w:style w:type="paragraph" w:styleId="IntenseQuote">
    <w:name w:val="Intense Quote"/>
    <w:basedOn w:val="Normal"/>
    <w:next w:val="Normal"/>
    <w:link w:val="IntenseQuoteChar"/>
    <w:uiPriority w:val="30"/>
    <w:qFormat/>
    <w:rsid w:val="00810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n-FI"/>
      <w14:ligatures w14:val="standardContextual"/>
    </w:rPr>
  </w:style>
  <w:style w:type="character" w:customStyle="1" w:styleId="IntenseQuoteChar">
    <w:name w:val="Intense Quote Char"/>
    <w:basedOn w:val="DefaultParagraphFont"/>
    <w:link w:val="IntenseQuote"/>
    <w:uiPriority w:val="30"/>
    <w:rsid w:val="00810C22"/>
    <w:rPr>
      <w:i/>
      <w:iCs/>
      <w:color w:val="0F4761" w:themeColor="accent1" w:themeShade="BF"/>
    </w:rPr>
  </w:style>
  <w:style w:type="character" w:styleId="IntenseReference">
    <w:name w:val="Intense Reference"/>
    <w:basedOn w:val="DefaultParagraphFont"/>
    <w:uiPriority w:val="32"/>
    <w:qFormat/>
    <w:rsid w:val="00810C22"/>
    <w:rPr>
      <w:b/>
      <w:bCs/>
      <w:smallCaps/>
      <w:color w:val="0F4761" w:themeColor="accent1" w:themeShade="BF"/>
      <w:spacing w:val="5"/>
    </w:rPr>
  </w:style>
  <w:style w:type="table" w:styleId="TableGrid">
    <w:name w:val="Table Grid"/>
    <w:basedOn w:val="TableNormal"/>
    <w:uiPriority w:val="39"/>
    <w:rsid w:val="00810C22"/>
    <w:pPr>
      <w:spacing w:after="0" w:line="240" w:lineRule="auto"/>
    </w:pPr>
    <w:rPr>
      <w:kern w:val="0"/>
      <w:lang w:val="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575</Words>
  <Characters>3280</Characters>
  <Application>Microsoft Office Word</Application>
  <DocSecurity>0</DocSecurity>
  <Lines>27</Lines>
  <Paragraphs>7</Paragraphs>
  <ScaleCrop>false</ScaleCrop>
  <Company>Aalto University</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Varis Olli</dc:creator>
  <cp:keywords/>
  <dc:description/>
  <cp:lastModifiedBy>Varis Olli</cp:lastModifiedBy>
  <cp:revision>2</cp:revision>
  <dcterms:created xsi:type="dcterms:W3CDTF">2025-12-16T13:47:00Z</dcterms:created>
  <dcterms:modified xsi:type="dcterms:W3CDTF">2025-12-16T13:56:00Z</dcterms:modified>
</cp:coreProperties>
</file>