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9D52">
      <w:pPr>
        <w:spacing w:line="480" w:lineRule="auto"/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Supplemental Table 1. </w:t>
      </w:r>
      <w:r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Various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classes of antidiabetic </w:t>
      </w:r>
      <w:r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medications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based on the </w:t>
      </w:r>
      <w:r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hi-square</w:t>
      </w:r>
      <w:r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test for </w:t>
      </w:r>
      <w:r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the presence</w:t>
      </w:r>
      <w:r>
        <w:rPr>
          <w:rFonts w:hint="eastAsia"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or absence of pruritus</w:t>
      </w:r>
    </w:p>
    <w:p w14:paraId="74CFFF9E">
      <w:pPr>
        <w:spacing w:line="480" w:lineRule="auto"/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OLE_LINK2"/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357"/>
        <w:gridCol w:w="2131"/>
        <w:gridCol w:w="1135"/>
      </w:tblGrid>
      <w:tr w14:paraId="30F7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pct"/>
            <w:vMerge w:val="restart"/>
            <w:tcBorders>
              <w:top w:val="single" w:color="auto" w:sz="8" w:space="0"/>
            </w:tcBorders>
            <w:shd w:val="clear" w:color="auto" w:fill="E7E6E6" w:themeFill="background2"/>
            <w:vAlign w:val="center"/>
          </w:tcPr>
          <w:p w14:paraId="26778854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14:ligatures w14:val="standardContextual"/>
              </w:rPr>
              <w:t>Variable</w:t>
            </w:r>
          </w:p>
        </w:tc>
        <w:tc>
          <w:tcPr>
            <w:tcW w:w="2633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E7E6E6" w:themeFill="background2"/>
            <w:vAlign w:val="center"/>
          </w:tcPr>
          <w:p w14:paraId="52B5C12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  <w:t>Pruritus status</w:t>
            </w:r>
          </w:p>
        </w:tc>
        <w:tc>
          <w:tcPr>
            <w:tcW w:w="666" w:type="pct"/>
            <w:vMerge w:val="restart"/>
            <w:tcBorders>
              <w:top w:val="single" w:color="auto" w:sz="8" w:space="0"/>
            </w:tcBorders>
            <w:shd w:val="clear" w:color="auto" w:fill="E7E6E6" w:themeFill="background2"/>
            <w:vAlign w:val="center"/>
          </w:tcPr>
          <w:p w14:paraId="21BED4D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14:ligatures w14:val="standardContextual"/>
              </w:rPr>
              <w:t>P value</w:t>
            </w:r>
          </w:p>
        </w:tc>
      </w:tr>
      <w:tr w14:paraId="1C23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pct"/>
            <w:vMerge w:val="continue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1D596E86">
            <w:pPr>
              <w:spacing w:line="480" w:lineRule="auto"/>
              <w:rPr>
                <w:rFonts w:ascii="Times New Roman" w:hAnsi="Times New Roman" w:cs="Times New Roman"/>
                <w:szCs w:val="21"/>
                <w14:ligatures w14:val="standardContextual"/>
              </w:rPr>
            </w:pPr>
          </w:p>
        </w:tc>
        <w:tc>
          <w:tcPr>
            <w:tcW w:w="1383" w:type="pct"/>
            <w:tcBorders>
              <w:top w:val="single" w:color="auto" w:sz="8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0AF1C19B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  <w:t>No Pruritus</w:t>
            </w:r>
          </w:p>
        </w:tc>
        <w:tc>
          <w:tcPr>
            <w:tcW w:w="1250" w:type="pct"/>
            <w:tcBorders>
              <w:top w:val="single" w:color="auto" w:sz="8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779D1040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  <w:t>Pruritus</w:t>
            </w:r>
          </w:p>
        </w:tc>
        <w:tc>
          <w:tcPr>
            <w:tcW w:w="666" w:type="pct"/>
            <w:vMerge w:val="continue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5F856940">
            <w:pPr>
              <w:spacing w:line="480" w:lineRule="auto"/>
              <w:rPr>
                <w:rFonts w:ascii="Times New Roman" w:hAnsi="Times New Roman" w:cs="Times New Roman"/>
                <w:szCs w:val="21"/>
                <w14:ligatures w14:val="standardContextual"/>
              </w:rPr>
            </w:pPr>
          </w:p>
        </w:tc>
      </w:tr>
      <w:tr w14:paraId="6584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D1C383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Biguanides,N (%)</w:t>
            </w:r>
          </w:p>
        </w:tc>
        <w:tc>
          <w:tcPr>
            <w:tcW w:w="138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EA4CF9F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659 (55.4%)</w:t>
            </w:r>
          </w:p>
        </w:tc>
        <w:tc>
          <w:tcPr>
            <w:tcW w:w="125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3BDF17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451 (53.3%)</w:t>
            </w:r>
          </w:p>
        </w:tc>
        <w:tc>
          <w:tcPr>
            <w:tcW w:w="66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8E5088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0.485</w:t>
            </w:r>
          </w:p>
        </w:tc>
      </w:tr>
      <w:tr w14:paraId="2900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shd w:val="clear" w:color="auto" w:fill="auto"/>
            <w:noWrap/>
            <w:vAlign w:val="center"/>
          </w:tcPr>
          <w:p w14:paraId="2D5E4C1A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AGIs,N (%)</w:t>
            </w:r>
          </w:p>
        </w:tc>
        <w:tc>
          <w:tcPr>
            <w:tcW w:w="1383" w:type="pct"/>
            <w:shd w:val="clear" w:color="auto" w:fill="auto"/>
            <w:noWrap/>
            <w:vAlign w:val="center"/>
          </w:tcPr>
          <w:p w14:paraId="159A565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623 (51.6%)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CEF19BA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493 (57.9%)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BBAD16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Style w:val="5"/>
                <w:sz w:val="21"/>
                <w:szCs w:val="21"/>
                <w14:ligatures w14:val="standardContextual"/>
              </w:rPr>
              <w:t>0.004</w:t>
            </w:r>
            <w:r>
              <w:rPr>
                <w:rStyle w:val="6"/>
                <w:sz w:val="21"/>
                <w:szCs w:val="21"/>
                <w14:ligatures w14:val="standardContextual"/>
              </w:rPr>
              <w:t>**</w:t>
            </w:r>
          </w:p>
        </w:tc>
      </w:tr>
      <w:tr w14:paraId="0C91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shd w:val="clear" w:color="auto" w:fill="auto"/>
            <w:noWrap/>
            <w:vAlign w:val="center"/>
          </w:tcPr>
          <w:p w14:paraId="0E3BADF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Glinides,N (%)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228CD3C4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103 (8.5%)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A4B82F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89 (10.5%)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3D3A9C7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0.138</w:t>
            </w:r>
          </w:p>
        </w:tc>
      </w:tr>
      <w:tr w14:paraId="4F86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shd w:val="clear" w:color="auto" w:fill="auto"/>
            <w:noWrap/>
            <w:vAlign w:val="center"/>
          </w:tcPr>
          <w:p w14:paraId="45E887F1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SUs,N (%)</w:t>
            </w:r>
          </w:p>
        </w:tc>
        <w:tc>
          <w:tcPr>
            <w:tcW w:w="1383" w:type="pct"/>
            <w:shd w:val="clear" w:color="auto" w:fill="auto"/>
            <w:noWrap/>
            <w:vAlign w:val="center"/>
          </w:tcPr>
          <w:p w14:paraId="04B41460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154 (12.8%)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B7E68F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128 (14.9%)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B8D872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0.203</w:t>
            </w:r>
          </w:p>
        </w:tc>
      </w:tr>
      <w:tr w14:paraId="69AC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shd w:val="clear" w:color="auto" w:fill="auto"/>
            <w:noWrap/>
            <w:vAlign w:val="center"/>
          </w:tcPr>
          <w:p w14:paraId="798A66E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DPP-4is,N (%)</w:t>
            </w:r>
          </w:p>
        </w:tc>
        <w:tc>
          <w:tcPr>
            <w:tcW w:w="1383" w:type="pct"/>
            <w:shd w:val="clear" w:color="auto" w:fill="auto"/>
            <w:noWrap/>
            <w:vAlign w:val="center"/>
          </w:tcPr>
          <w:p w14:paraId="4D9A5521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189 (15.6%)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4C0A93B">
            <w:pPr>
              <w:widowControl/>
              <w:spacing w:line="480" w:lineRule="auto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170 (20.0%)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E2918E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Style w:val="5"/>
                <w:sz w:val="21"/>
                <w:szCs w:val="21"/>
                <w14:ligatures w14:val="standardContextual"/>
              </w:rPr>
              <w:t>0.011</w:t>
            </w:r>
            <w:r>
              <w:rPr>
                <w:rStyle w:val="6"/>
                <w:sz w:val="21"/>
                <w:szCs w:val="21"/>
                <w14:ligatures w14:val="standardContextual"/>
              </w:rPr>
              <w:t>*</w:t>
            </w:r>
          </w:p>
        </w:tc>
      </w:tr>
      <w:tr w14:paraId="6E23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shd w:val="clear" w:color="auto" w:fill="auto"/>
            <w:noWrap/>
            <w:vAlign w:val="center"/>
          </w:tcPr>
          <w:p w14:paraId="2963320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08090C"/>
                <w:szCs w:val="21"/>
                <w14:ligatures w14:val="standardContextual"/>
              </w:rPr>
              <w:t>S</w:t>
            </w: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GLT-2i,N (%)</w:t>
            </w:r>
          </w:p>
        </w:tc>
        <w:tc>
          <w:tcPr>
            <w:tcW w:w="1383" w:type="pct"/>
            <w:shd w:val="clear" w:color="auto" w:fill="auto"/>
            <w:noWrap/>
            <w:vAlign w:val="center"/>
          </w:tcPr>
          <w:p w14:paraId="5D825210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231 (19.1%)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B9319C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181 (21.3%)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0550218A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0.061</w:t>
            </w:r>
          </w:p>
        </w:tc>
      </w:tr>
      <w:tr w14:paraId="720A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shd w:val="clear" w:color="auto" w:fill="auto"/>
            <w:noWrap/>
            <w:vAlign w:val="center"/>
          </w:tcPr>
          <w:p w14:paraId="5D561F5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TZDs,N (%)</w:t>
            </w:r>
          </w:p>
        </w:tc>
        <w:tc>
          <w:tcPr>
            <w:tcW w:w="1383" w:type="pct"/>
            <w:shd w:val="clear" w:color="auto" w:fill="auto"/>
            <w:noWrap/>
            <w:vAlign w:val="center"/>
          </w:tcPr>
          <w:p w14:paraId="4BFCAB4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32 (2.6%)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74309B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16 (1.9%)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1D7E22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0.351</w:t>
            </w:r>
          </w:p>
        </w:tc>
      </w:tr>
      <w:tr w14:paraId="0B0A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shd w:val="clear" w:color="auto" w:fill="auto"/>
            <w:noWrap/>
            <w:vAlign w:val="center"/>
          </w:tcPr>
          <w:p w14:paraId="2AD17D24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GKAs,N (%)</w:t>
            </w:r>
          </w:p>
        </w:tc>
        <w:tc>
          <w:tcPr>
            <w:tcW w:w="1383" w:type="pct"/>
            <w:shd w:val="clear" w:color="auto" w:fill="auto"/>
            <w:noWrap/>
            <w:vAlign w:val="center"/>
          </w:tcPr>
          <w:p w14:paraId="41BA9A6E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3 (0.2%)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EC34B5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1 (0.1%)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52D6F1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0.879</w:t>
            </w:r>
          </w:p>
        </w:tc>
      </w:tr>
      <w:tr w14:paraId="767E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shd w:val="clear" w:color="auto" w:fill="auto"/>
            <w:noWrap/>
            <w:vAlign w:val="center"/>
          </w:tcPr>
          <w:p w14:paraId="350F8423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Injectable Insulins,N (%)</w:t>
            </w:r>
          </w:p>
        </w:tc>
        <w:tc>
          <w:tcPr>
            <w:tcW w:w="1383" w:type="pct"/>
            <w:shd w:val="clear" w:color="auto" w:fill="auto"/>
            <w:noWrap/>
            <w:vAlign w:val="center"/>
          </w:tcPr>
          <w:p w14:paraId="2F4CF26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260 (21.5%)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5FC426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218 (25.6%)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298BE28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Style w:val="5"/>
                <w:sz w:val="21"/>
                <w:szCs w:val="21"/>
                <w14:ligatures w14:val="standardContextual"/>
              </w:rPr>
              <w:t>0.031</w:t>
            </w:r>
            <w:r>
              <w:rPr>
                <w:rStyle w:val="6"/>
                <w:sz w:val="21"/>
                <w:szCs w:val="21"/>
                <w14:ligatures w14:val="standardContextual"/>
              </w:rPr>
              <w:t>*</w:t>
            </w:r>
          </w:p>
        </w:tc>
      </w:tr>
      <w:tr w14:paraId="439B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1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407BE6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GLP-1RAs,N (%)</w:t>
            </w:r>
          </w:p>
        </w:tc>
        <w:tc>
          <w:tcPr>
            <w:tcW w:w="1383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81FF15F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39 (3.3%)</w:t>
            </w:r>
          </w:p>
        </w:tc>
        <w:tc>
          <w:tcPr>
            <w:tcW w:w="1250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C7BAAB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31 (3.9%)</w:t>
            </w:r>
          </w:p>
        </w:tc>
        <w:tc>
          <w:tcPr>
            <w:tcW w:w="666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F5038B1">
            <w:pPr>
              <w:widowControl/>
              <w:spacing w:line="480" w:lineRule="auto"/>
              <w:jc w:val="left"/>
              <w:rPr>
                <w:rStyle w:val="5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8090C"/>
                <w:szCs w:val="21"/>
                <w14:ligatures w14:val="standardContextual"/>
              </w:rPr>
              <w:t>0.609</w:t>
            </w:r>
          </w:p>
        </w:tc>
      </w:tr>
      <w:bookmarkEnd w:id="0"/>
    </w:tbl>
    <w:p w14:paraId="42AA1FD0">
      <w:pPr>
        <w:spacing w:line="48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*P &lt; 0.05，**P &lt; 0.01，***P &lt; 0.001</w:t>
      </w:r>
    </w:p>
    <w:p w14:paraId="2B784A52">
      <w:pPr>
        <w:rPr>
          <w:sz w:val="24"/>
        </w:rPr>
      </w:pPr>
    </w:p>
    <w:p w14:paraId="475C3BBA">
      <w:pPr>
        <w:rPr>
          <w:sz w:val="24"/>
        </w:rPr>
      </w:pPr>
    </w:p>
    <w:p w14:paraId="26EA063E">
      <w:pPr>
        <w:rPr>
          <w:sz w:val="24"/>
        </w:rPr>
      </w:pPr>
    </w:p>
    <w:p w14:paraId="078B43E7">
      <w:pPr>
        <w:rPr>
          <w:sz w:val="24"/>
        </w:rPr>
      </w:pPr>
    </w:p>
    <w:p w14:paraId="3CD028F7">
      <w:pPr>
        <w:rPr>
          <w:sz w:val="24"/>
        </w:rPr>
      </w:pPr>
    </w:p>
    <w:p w14:paraId="274D6BFD">
      <w:pPr>
        <w:rPr>
          <w:sz w:val="24"/>
        </w:rPr>
      </w:pPr>
    </w:p>
    <w:p w14:paraId="5D8B3A79">
      <w:pPr>
        <w:rPr>
          <w:sz w:val="24"/>
        </w:rPr>
      </w:pPr>
    </w:p>
    <w:p w14:paraId="13BC7B29">
      <w:pPr>
        <w:rPr>
          <w:sz w:val="24"/>
        </w:rPr>
      </w:pPr>
    </w:p>
    <w:p w14:paraId="2825554E">
      <w:pPr>
        <w:rPr>
          <w:sz w:val="24"/>
        </w:rPr>
      </w:pPr>
    </w:p>
    <w:p w14:paraId="16317E8B">
      <w:pPr>
        <w:rPr>
          <w:sz w:val="24"/>
        </w:rPr>
      </w:pPr>
    </w:p>
    <w:p w14:paraId="6899E325">
      <w:pPr>
        <w:rPr>
          <w:sz w:val="24"/>
        </w:rPr>
      </w:pPr>
    </w:p>
    <w:p w14:paraId="13E1F87B">
      <w:pPr>
        <w:rPr>
          <w:sz w:val="24"/>
        </w:rPr>
      </w:pPr>
    </w:p>
    <w:p w14:paraId="6B9FD32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Supplemental Table 2. </w:t>
      </w:r>
      <w:r>
        <w:rPr>
          <w:rFonts w:ascii="Times New Roman" w:hAnsi="Times New Roman" w:cs="Times New Roman"/>
          <w:sz w:val="24"/>
        </w:rPr>
        <w:t>Various classes of antihyperlipidemic medications based on the Chi-squared test for the presence or absence of pruritus</w:t>
      </w:r>
    </w:p>
    <w:p w14:paraId="2603F48B">
      <w:pPr>
        <w:spacing w:line="480" w:lineRule="auto"/>
        <w:rPr>
          <w:rFonts w:ascii="Times New Roman" w:hAnsi="Times New Roman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3"/>
        <w:gridCol w:w="2192"/>
        <w:gridCol w:w="1967"/>
        <w:gridCol w:w="970"/>
      </w:tblGrid>
      <w:tr w14:paraId="10C1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pct"/>
            <w:vMerge w:val="restart"/>
            <w:tcBorders>
              <w:top w:val="single" w:color="auto" w:sz="8" w:space="0"/>
            </w:tcBorders>
            <w:shd w:val="clear" w:color="auto" w:fill="E7E6E6" w:themeFill="background2"/>
            <w:vAlign w:val="center"/>
          </w:tcPr>
          <w:p w14:paraId="00C9411B">
            <w:pPr>
              <w:spacing w:line="480" w:lineRule="auto"/>
              <w:rPr>
                <w:rFonts w:ascii="Times New Roman" w:hAnsi="Times New Roman" w:cs="Times New Roman"/>
                <w:b/>
                <w:bCs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14:ligatures w14:val="standardContextual"/>
              </w:rPr>
              <w:t>Variable</w:t>
            </w:r>
          </w:p>
        </w:tc>
        <w:tc>
          <w:tcPr>
            <w:tcW w:w="2440" w:type="pct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E7E6E6" w:themeFill="background2"/>
            <w:vAlign w:val="center"/>
          </w:tcPr>
          <w:p w14:paraId="43D35CA9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  <w:t>Pruritus status</w:t>
            </w:r>
          </w:p>
        </w:tc>
        <w:tc>
          <w:tcPr>
            <w:tcW w:w="569" w:type="pct"/>
            <w:vMerge w:val="restart"/>
            <w:tcBorders>
              <w:top w:val="single" w:color="auto" w:sz="8" w:space="0"/>
            </w:tcBorders>
            <w:shd w:val="clear" w:color="auto" w:fill="E7E6E6" w:themeFill="background2"/>
            <w:vAlign w:val="center"/>
          </w:tcPr>
          <w:p w14:paraId="1E968D8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14:ligatures w14:val="standardContextual"/>
              </w:rPr>
              <w:t>P value</w:t>
            </w:r>
          </w:p>
        </w:tc>
      </w:tr>
      <w:tr w14:paraId="35AD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pct"/>
            <w:vMerge w:val="continue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57C76E40">
            <w:pPr>
              <w:spacing w:line="480" w:lineRule="auto"/>
              <w:rPr>
                <w:rFonts w:ascii="Times New Roman" w:hAnsi="Times New Roman" w:cs="Times New Roman"/>
                <w:szCs w:val="21"/>
                <w14:ligatures w14:val="standardContextual"/>
              </w:rPr>
            </w:pPr>
          </w:p>
        </w:tc>
        <w:tc>
          <w:tcPr>
            <w:tcW w:w="1286" w:type="pct"/>
            <w:tcBorders>
              <w:top w:val="single" w:color="auto" w:sz="8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18DD836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  <w:t>No Pruritus</w:t>
            </w:r>
          </w:p>
        </w:tc>
        <w:tc>
          <w:tcPr>
            <w:tcW w:w="1154" w:type="pct"/>
            <w:tcBorders>
              <w:top w:val="single" w:color="auto" w:sz="8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05073E25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  <w14:ligatures w14:val="standardContextual"/>
              </w:rPr>
              <w:t>Pruritus</w:t>
            </w:r>
          </w:p>
        </w:tc>
        <w:tc>
          <w:tcPr>
            <w:tcW w:w="569" w:type="pct"/>
            <w:vMerge w:val="continue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01E7D39B">
            <w:pPr>
              <w:spacing w:line="480" w:lineRule="auto"/>
              <w:rPr>
                <w:rFonts w:ascii="Times New Roman" w:hAnsi="Times New Roman" w:cs="Times New Roman"/>
                <w:szCs w:val="21"/>
                <w14:ligatures w14:val="standardContextual"/>
              </w:rPr>
            </w:pPr>
          </w:p>
        </w:tc>
      </w:tr>
      <w:tr w14:paraId="6DF2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16DBAF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Fibrates,N (%)</w:t>
            </w:r>
          </w:p>
        </w:tc>
        <w:tc>
          <w:tcPr>
            <w:tcW w:w="128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9AA2AEF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18 (1.5%)</w:t>
            </w:r>
          </w:p>
        </w:tc>
        <w:tc>
          <w:tcPr>
            <w:tcW w:w="11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03DFC2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16 (1.9%)</w:t>
            </w:r>
          </w:p>
        </w:tc>
        <w:tc>
          <w:tcPr>
            <w:tcW w:w="56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5000CAA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 w:val="22"/>
                <w:szCs w:val="22"/>
                <w14:ligatures w14:val="standardContextual"/>
              </w:rPr>
              <w:t>0.494</w:t>
            </w:r>
          </w:p>
        </w:tc>
      </w:tr>
      <w:tr w14:paraId="5F06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1" w:type="pct"/>
            <w:shd w:val="clear" w:color="auto" w:fill="auto"/>
            <w:noWrap/>
            <w:vAlign w:val="center"/>
          </w:tcPr>
          <w:p w14:paraId="0B1A84E6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Probucol,N (%)</w:t>
            </w:r>
          </w:p>
        </w:tc>
        <w:tc>
          <w:tcPr>
            <w:tcW w:w="1286" w:type="pct"/>
            <w:shd w:val="clear" w:color="auto" w:fill="auto"/>
            <w:noWrap/>
            <w:vAlign w:val="center"/>
          </w:tcPr>
          <w:p w14:paraId="136910F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7 (0.6%)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14:paraId="40BBDFE4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4 (0.5%)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02890EB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 w:val="22"/>
                <w:szCs w:val="22"/>
                <w14:ligatures w14:val="standardContextual"/>
              </w:rPr>
              <w:t>0.977</w:t>
            </w:r>
          </w:p>
        </w:tc>
      </w:tr>
      <w:tr w14:paraId="2769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1" w:type="pct"/>
            <w:shd w:val="clear" w:color="auto" w:fill="auto"/>
            <w:noWrap/>
            <w:vAlign w:val="center"/>
          </w:tcPr>
          <w:p w14:paraId="0B84B2D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Statins,N (%)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7CCE8400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473 (39.2%)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19AAEB4A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 xml:space="preserve">393 (46.2%) 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4D112FF4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Style w:val="6"/>
                <w14:ligatures w14:val="standardContextual"/>
              </w:rPr>
              <w:t>0.001</w:t>
            </w:r>
            <w:r>
              <w:rPr>
                <w:rStyle w:val="7"/>
                <w14:ligatures w14:val="standardContextual"/>
              </w:rPr>
              <w:t>**</w:t>
            </w:r>
          </w:p>
        </w:tc>
      </w:tr>
      <w:tr w14:paraId="4008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1" w:type="pct"/>
            <w:shd w:val="clear" w:color="auto" w:fill="auto"/>
            <w:noWrap/>
            <w:vAlign w:val="center"/>
          </w:tcPr>
          <w:p w14:paraId="13AF587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Ezetimibe,N (%)</w:t>
            </w:r>
          </w:p>
        </w:tc>
        <w:tc>
          <w:tcPr>
            <w:tcW w:w="1286" w:type="pct"/>
            <w:shd w:val="clear" w:color="auto" w:fill="auto"/>
            <w:noWrap/>
            <w:vAlign w:val="center"/>
          </w:tcPr>
          <w:p w14:paraId="48E27C3E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11 (1.0%)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14:paraId="33C51F4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11 (1.3%)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2C4DCEF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 w:val="22"/>
                <w:szCs w:val="22"/>
                <w14:ligatures w14:val="standardContextual"/>
              </w:rPr>
              <w:t>0.406</w:t>
            </w:r>
          </w:p>
        </w:tc>
      </w:tr>
      <w:tr w14:paraId="2C93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1" w:type="pct"/>
            <w:shd w:val="clear" w:color="auto" w:fill="auto"/>
            <w:noWrap/>
            <w:vAlign w:val="center"/>
          </w:tcPr>
          <w:p w14:paraId="2F7F6730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PCSK9is,N (%)</w:t>
            </w:r>
          </w:p>
        </w:tc>
        <w:tc>
          <w:tcPr>
            <w:tcW w:w="1286" w:type="pct"/>
            <w:shd w:val="clear" w:color="auto" w:fill="auto"/>
            <w:noWrap/>
            <w:vAlign w:val="center"/>
          </w:tcPr>
          <w:p w14:paraId="45A6657E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4 (0.3%)</w:t>
            </w:r>
          </w:p>
        </w:tc>
        <w:tc>
          <w:tcPr>
            <w:tcW w:w="1154" w:type="pct"/>
            <w:shd w:val="clear" w:color="auto" w:fill="auto"/>
            <w:noWrap/>
            <w:vAlign w:val="center"/>
          </w:tcPr>
          <w:p w14:paraId="1B907070">
            <w:pPr>
              <w:widowControl/>
              <w:spacing w:line="480" w:lineRule="auto"/>
              <w:jc w:val="left"/>
              <w:rPr>
                <w:rFonts w:ascii="Times New Roman" w:hAnsi="Times New Roman" w:eastAsia="Times New Roman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4 (0.5%)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0F362E1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 w:val="22"/>
                <w:szCs w:val="22"/>
                <w14:ligatures w14:val="standardContextual"/>
              </w:rPr>
              <w:t>0.889</w:t>
            </w:r>
          </w:p>
        </w:tc>
      </w:tr>
      <w:tr w14:paraId="15EC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91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E74FD0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Style w:val="8"/>
                <w14:ligatures w14:val="standardContextual"/>
              </w:rPr>
              <w:t>Chinese Herbal Medicine</w:t>
            </w:r>
            <w:r>
              <w:rPr>
                <w:rStyle w:val="9"/>
                <w14:ligatures w14:val="standardContextual"/>
              </w:rPr>
              <w:t>a</w:t>
            </w:r>
            <w:r>
              <w:rPr>
                <w:rStyle w:val="8"/>
                <w14:ligatures w14:val="standardContextual"/>
              </w:rPr>
              <w:t>,N (%)</w:t>
            </w:r>
          </w:p>
        </w:tc>
        <w:tc>
          <w:tcPr>
            <w:tcW w:w="1286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91B0DB2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39 (3.2%)</w:t>
            </w:r>
          </w:p>
        </w:tc>
        <w:tc>
          <w:tcPr>
            <w:tcW w:w="1154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DE92296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14:ligatures w14:val="standardContextual"/>
              </w:rPr>
              <w:t>27 (3.2%)</w:t>
            </w:r>
          </w:p>
        </w:tc>
        <w:tc>
          <w:tcPr>
            <w:tcW w:w="569" w:type="pct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3E07B74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color w:val="08090C"/>
                <w:sz w:val="22"/>
                <w:szCs w:val="22"/>
                <w14:ligatures w14:val="standardContextual"/>
              </w:rPr>
              <w:t>0.706</w:t>
            </w:r>
          </w:p>
        </w:tc>
      </w:tr>
    </w:tbl>
    <w:p w14:paraId="6AF050B3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>Xuezhikang、Zhibitai</w:t>
      </w:r>
    </w:p>
    <w:p w14:paraId="1D470E4C">
      <w:pPr>
        <w:spacing w:line="48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*P &lt; 0.05，**P &lt; 0.01，***P &lt; 0.001</w:t>
      </w:r>
    </w:p>
    <w:p w14:paraId="71D346ED">
      <w:pPr>
        <w:spacing w:line="480" w:lineRule="auto"/>
        <w:rPr>
          <w:rFonts w:ascii="Times New Roman" w:hAnsi="Times New Roman" w:cs="Times New Roman"/>
          <w:sz w:val="24"/>
        </w:rPr>
      </w:pPr>
    </w:p>
    <w:p w14:paraId="6CB05BC3">
      <w:pPr>
        <w:spacing w:line="480" w:lineRule="auto"/>
        <w:rPr>
          <w:rFonts w:ascii="Times New Roman" w:hAnsi="Times New Roman" w:cs="Times New Roman"/>
          <w:sz w:val="24"/>
        </w:rPr>
      </w:pPr>
    </w:p>
    <w:p w14:paraId="2A767748">
      <w:pPr>
        <w:spacing w:line="480" w:lineRule="auto"/>
        <w:rPr>
          <w:rFonts w:ascii="Times New Roman" w:hAnsi="Times New Roman" w:cs="Times New Roman"/>
          <w:sz w:val="24"/>
        </w:rPr>
      </w:pPr>
    </w:p>
    <w:p w14:paraId="093EA0CE">
      <w:pPr>
        <w:spacing w:line="480" w:lineRule="auto"/>
        <w:rPr>
          <w:rFonts w:ascii="Times New Roman" w:hAnsi="Times New Roman" w:cs="Times New Roman"/>
          <w:sz w:val="24"/>
        </w:rPr>
      </w:pPr>
    </w:p>
    <w:p w14:paraId="51E70196">
      <w:pPr>
        <w:spacing w:line="480" w:lineRule="auto"/>
        <w:rPr>
          <w:rFonts w:ascii="Times New Roman" w:hAnsi="Times New Roman" w:cs="Times New Roman"/>
          <w:sz w:val="24"/>
        </w:rPr>
      </w:pPr>
    </w:p>
    <w:p w14:paraId="21645BB5">
      <w:pPr>
        <w:spacing w:line="480" w:lineRule="auto"/>
        <w:rPr>
          <w:rFonts w:hint="eastAsia" w:ascii="Times New Roman" w:hAnsi="Times New Roman" w:cs="Times New Roman"/>
          <w:sz w:val="24"/>
        </w:rPr>
      </w:pPr>
    </w:p>
    <w:p w14:paraId="19553109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1AB2BE00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4EA2E8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0E4C711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Supplemental Table 3. </w:t>
      </w:r>
      <w:r>
        <w:rPr>
          <w:rFonts w:ascii="Times New Roman" w:hAnsi="Times New Roman" w:cs="Times New Roman"/>
          <w:sz w:val="24"/>
        </w:rPr>
        <w:t>Interaction effects of DPP-4is, AGIs, and statins on the risk of pruritus</w:t>
      </w:r>
    </w:p>
    <w:p w14:paraId="175F09B4">
      <w:pPr>
        <w:spacing w:line="480" w:lineRule="auto"/>
        <w:rPr>
          <w:rFonts w:hint="eastAsia" w:ascii="Times New Roman" w:hAnsi="Times New Roman" w:cs="Times New Roman"/>
          <w:b/>
          <w:bCs/>
          <w:sz w:val="24"/>
        </w:rPr>
      </w:pPr>
    </w:p>
    <w:tbl>
      <w:tblPr>
        <w:tblStyle w:val="2"/>
        <w:tblW w:w="905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2754"/>
        <w:gridCol w:w="2308"/>
        <w:gridCol w:w="222"/>
      </w:tblGrid>
      <w:tr w14:paraId="184EA456">
        <w:trPr>
          <w:gridAfter w:val="1"/>
          <w:wAfter w:w="222" w:type="dxa"/>
          <w:trHeight w:val="624" w:hRule="atLeast"/>
        </w:trPr>
        <w:tc>
          <w:tcPr>
            <w:tcW w:w="37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060F39E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  <w:t>Variable</w:t>
            </w:r>
          </w:p>
        </w:tc>
        <w:tc>
          <w:tcPr>
            <w:tcW w:w="27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E7E6E6" w:themeFill="background2"/>
            <w:vAlign w:val="center"/>
          </w:tcPr>
          <w:p w14:paraId="326ED35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  <w:t>Pruritus OR (95%)</w:t>
            </w:r>
          </w:p>
        </w:tc>
        <w:tc>
          <w:tcPr>
            <w:tcW w:w="23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E7E6E6" w:themeFill="background2"/>
            <w:vAlign w:val="center"/>
          </w:tcPr>
          <w:p w14:paraId="60AE4309"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  <w:t>P for interaction</w:t>
            </w:r>
          </w:p>
        </w:tc>
      </w:tr>
      <w:tr w14:paraId="0255D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033895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</w:pPr>
          </w:p>
        </w:tc>
        <w:tc>
          <w:tcPr>
            <w:tcW w:w="27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E7E6E6" w:themeFill="background2"/>
            <w:vAlign w:val="center"/>
          </w:tcPr>
          <w:p w14:paraId="429E6E97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</w:pPr>
          </w:p>
        </w:tc>
        <w:tc>
          <w:tcPr>
            <w:tcW w:w="23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E7E6E6" w:themeFill="background2"/>
            <w:vAlign w:val="center"/>
          </w:tcPr>
          <w:p w14:paraId="5305751D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AC6B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8090C"/>
                <w:kern w:val="0"/>
                <w:sz w:val="28"/>
                <w:szCs w:val="28"/>
              </w:rPr>
            </w:pPr>
          </w:p>
        </w:tc>
      </w:tr>
      <w:tr w14:paraId="3D37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76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29FFB0B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>DPP-4is × AGIs</w:t>
            </w:r>
          </w:p>
        </w:tc>
        <w:tc>
          <w:tcPr>
            <w:tcW w:w="2754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3E6E90CB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>0.85 (0.44–1.65)</w:t>
            </w:r>
          </w:p>
        </w:tc>
        <w:tc>
          <w:tcPr>
            <w:tcW w:w="2308" w:type="dxa"/>
            <w:tcBorders>
              <w:top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B58447"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 xml:space="preserve">0.789 </w:t>
            </w:r>
          </w:p>
        </w:tc>
        <w:tc>
          <w:tcPr>
            <w:tcW w:w="222" w:type="dxa"/>
            <w:vAlign w:val="center"/>
          </w:tcPr>
          <w:p w14:paraId="78A06B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F1B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767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95BF8D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>DPP-4is × Statins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86631AA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>0.85 (0.44–1.65)</w:t>
            </w:r>
          </w:p>
        </w:tc>
        <w:tc>
          <w:tcPr>
            <w:tcW w:w="230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8C0D43"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 xml:space="preserve">0.636 </w:t>
            </w:r>
          </w:p>
        </w:tc>
        <w:tc>
          <w:tcPr>
            <w:tcW w:w="222" w:type="dxa"/>
            <w:vAlign w:val="center"/>
          </w:tcPr>
          <w:p w14:paraId="5EE5C09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A31C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767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8939246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>AGIs × Statins</w:t>
            </w:r>
          </w:p>
        </w:tc>
        <w:tc>
          <w:tcPr>
            <w:tcW w:w="275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05F6D68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>1.3 (0.86–1.96)</w:t>
            </w:r>
          </w:p>
        </w:tc>
        <w:tc>
          <w:tcPr>
            <w:tcW w:w="2308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10CA"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 xml:space="preserve">0.217 </w:t>
            </w:r>
          </w:p>
        </w:tc>
        <w:tc>
          <w:tcPr>
            <w:tcW w:w="222" w:type="dxa"/>
            <w:vAlign w:val="center"/>
          </w:tcPr>
          <w:p w14:paraId="1F91DF5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ADF9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3DC4CF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>AGIs × Statins × DPP-4is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B404BB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>0.93 (0.36–2.43)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263101">
            <w:pPr>
              <w:widowControl/>
              <w:spacing w:line="480" w:lineRule="auto"/>
              <w:jc w:val="center"/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</w:rPr>
              <w:t xml:space="preserve">0.885 </w:t>
            </w:r>
          </w:p>
        </w:tc>
        <w:tc>
          <w:tcPr>
            <w:tcW w:w="222" w:type="dxa"/>
            <w:vAlign w:val="center"/>
          </w:tcPr>
          <w:p w14:paraId="6032E09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696B3A92">
      <w:pPr>
        <w:spacing w:line="480" w:lineRule="auto"/>
        <w:rPr>
          <w:rFonts w:hint="eastAsia" w:ascii="Times New Roman" w:hAnsi="Times New Roman" w:cs="Times New Roman"/>
          <w:sz w:val="24"/>
        </w:rPr>
      </w:pPr>
    </w:p>
    <w:p w14:paraId="390EB35C">
      <w:pPr>
        <w:rPr>
          <w:rFonts w:hint="eastAsia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68"/>
    <w:rsid w:val="006B22BD"/>
    <w:rsid w:val="00926A68"/>
    <w:rsid w:val="009C0618"/>
    <w:rsid w:val="00C85A77"/>
    <w:rsid w:val="3B6F5297"/>
    <w:rsid w:val="652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8090C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hint="default" w:ascii="Times New Roman" w:hAnsi="Times New Roman" w:cs="Times New Roman"/>
      <w:color w:val="08090C"/>
      <w:sz w:val="22"/>
      <w:szCs w:val="22"/>
      <w:u w:val="none"/>
      <w:vertAlign w:val="superscript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8090C"/>
      <w:sz w:val="22"/>
      <w:szCs w:val="22"/>
      <w:u w:val="none"/>
      <w:vertAlign w:val="superscript"/>
    </w:rPr>
  </w:style>
  <w:style w:type="character" w:customStyle="1" w:styleId="8">
    <w:name w:val="font11"/>
    <w:basedOn w:val="4"/>
    <w:uiPriority w:val="0"/>
    <w:rPr>
      <w:rFonts w:hint="default" w:ascii="Times New Roman" w:hAnsi="Times New Roman" w:cs="Times New Roman"/>
      <w:color w:val="08090C"/>
      <w:sz w:val="24"/>
      <w:szCs w:val="24"/>
      <w:u w:val="none"/>
    </w:rPr>
  </w:style>
  <w:style w:type="character" w:customStyle="1" w:styleId="9">
    <w:name w:val="font51"/>
    <w:basedOn w:val="4"/>
    <w:uiPriority w:val="0"/>
    <w:rPr>
      <w:rFonts w:hint="default" w:ascii="Times New Roman" w:hAnsi="Times New Roman" w:cs="Times New Roman"/>
      <w:color w:val="08090C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</Words>
  <Characters>1242</Characters>
  <Lines>39</Lines>
  <Paragraphs>19</Paragraphs>
  <TotalTime>14</TotalTime>
  <ScaleCrop>false</ScaleCrop>
  <LinksUpToDate>false</LinksUpToDate>
  <CharactersWithSpaces>1386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2025-08-15T14:16:00Z</dcterms:created>
  <dc:creator>Lenovo</dc:creator>
  <cp:lastModifiedBy>pnvob</cp:lastModifiedBy>
  <dcterms:modified xsi:type="dcterms:W3CDTF">2025-09-29T14:23:20Z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eyJoZGlkIjoiZjA0YTE5MDVmZjU5YmIwYzg1ZTEzYjVhMzAyMTIyYjciLCJ1c2VySWQiOiI5MDY2MTYyMDMifQ==</vt:lpwstr>
  </property>
  <property fmtid="{D5CDD505-2E9C-101B-9397-08002B2CF9AE}" pid="4" name="ICV">
    <vt:lpwstr>9781BB331BCC42018F0D3DD3063A2FBE_12</vt:lpwstr>
  </property>
</Properties>
</file>