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CC27C" w14:textId="77777777" w:rsidR="000713C5" w:rsidRPr="003E2B3A" w:rsidRDefault="000713C5" w:rsidP="000713C5">
      <w:pPr>
        <w:spacing w:line="360" w:lineRule="auto"/>
        <w:rPr>
          <w:rFonts w:ascii="Calibri" w:hAnsi="Calibri" w:cs="Calibri"/>
          <w:sz w:val="24"/>
        </w:rPr>
      </w:pPr>
      <w:r w:rsidRPr="003E2B3A">
        <w:rPr>
          <w:rFonts w:ascii="Calibri" w:hAnsi="Calibri" w:cs="Calibri"/>
          <w:sz w:val="24"/>
        </w:rPr>
        <w:t xml:space="preserve">Table 1 </w:t>
      </w:r>
      <w:r>
        <w:rPr>
          <w:rFonts w:ascii="Calibri" w:hAnsi="Calibri" w:cs="Calibri"/>
          <w:sz w:val="24"/>
        </w:rPr>
        <w:t>A m</w:t>
      </w:r>
      <w:r w:rsidRPr="003E2B3A">
        <w:rPr>
          <w:rFonts w:ascii="Calibri" w:hAnsi="Calibri" w:cs="Calibri"/>
          <w:sz w:val="24"/>
        </w:rPr>
        <w:t>odified Kyoto gastritis classification score</w:t>
      </w:r>
      <w:r>
        <w:rPr>
          <w:rFonts w:ascii="Calibri" w:hAnsi="Calibri" w:cs="Calibri"/>
          <w:sz w:val="24"/>
        </w:rPr>
        <w:t xml:space="preserve"> </w:t>
      </w:r>
      <w:r w:rsidRPr="003E2FA8">
        <w:rPr>
          <w:rFonts w:ascii="Calibri" w:hAnsi="Calibri" w:cs="Calibri"/>
        </w:rPr>
        <w:t>[15]</w:t>
      </w:r>
      <w:r w:rsidRPr="003E2B3A">
        <w:rPr>
          <w:rFonts w:ascii="Calibri" w:hAnsi="Calibri" w:cs="Calibri"/>
          <w:sz w:val="24"/>
        </w:rPr>
        <w:t xml:space="preserve"> </w:t>
      </w:r>
    </w:p>
    <w:tbl>
      <w:tblPr>
        <w:tblW w:w="665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240"/>
        <w:gridCol w:w="1418"/>
      </w:tblGrid>
      <w:tr w:rsidR="000713C5" w:rsidRPr="003E2B3A" w14:paraId="08AF1B3C" w14:textId="77777777" w:rsidTr="00A86921">
        <w:trPr>
          <w:trHeight w:val="320"/>
        </w:trPr>
        <w:tc>
          <w:tcPr>
            <w:tcW w:w="524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E0DF47F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Endoscopic Sign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69AA17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Score</w:t>
            </w:r>
          </w:p>
        </w:tc>
      </w:tr>
      <w:tr w:rsidR="000713C5" w:rsidRPr="003E2B3A" w14:paraId="69EE74FA" w14:textId="77777777" w:rsidTr="00A86921">
        <w:trPr>
          <w:trHeight w:val="320"/>
        </w:trPr>
        <w:tc>
          <w:tcPr>
            <w:tcW w:w="6658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0B48F69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Atrophy (based on Kimura-Takemoto classification) ﻿</w:t>
            </w:r>
          </w:p>
        </w:tc>
      </w:tr>
      <w:tr w:rsidR="000713C5" w:rsidRPr="003E2B3A" w14:paraId="09F72289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7C0A7FBF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None, C1 </w:t>
            </w:r>
          </w:p>
        </w:tc>
        <w:tc>
          <w:tcPr>
            <w:tcW w:w="1418" w:type="dxa"/>
            <w:noWrap/>
            <w:vAlign w:val="center"/>
            <w:hideMark/>
          </w:tcPr>
          <w:p w14:paraId="39D3B5ED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0</w:t>
            </w:r>
          </w:p>
        </w:tc>
      </w:tr>
      <w:tr w:rsidR="000713C5" w:rsidRPr="003E2B3A" w14:paraId="764B6004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68F4A8A6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C2, C3 </w:t>
            </w:r>
          </w:p>
        </w:tc>
        <w:tc>
          <w:tcPr>
            <w:tcW w:w="1418" w:type="dxa"/>
            <w:noWrap/>
            <w:vAlign w:val="center"/>
            <w:hideMark/>
          </w:tcPr>
          <w:p w14:paraId="0CF6E211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1</w:t>
            </w:r>
          </w:p>
        </w:tc>
      </w:tr>
      <w:tr w:rsidR="000713C5" w:rsidRPr="003E2B3A" w14:paraId="54AEF4F7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44AF8259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O1-O2 </w:t>
            </w:r>
          </w:p>
        </w:tc>
        <w:tc>
          <w:tcPr>
            <w:tcW w:w="1418" w:type="dxa"/>
            <w:noWrap/>
            <w:vAlign w:val="center"/>
            <w:hideMark/>
          </w:tcPr>
          <w:p w14:paraId="1C2864C7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2</w:t>
            </w:r>
          </w:p>
        </w:tc>
      </w:tr>
      <w:tr w:rsidR="000713C5" w:rsidRPr="003E2B3A" w14:paraId="1AB71FDD" w14:textId="77777777" w:rsidTr="00A86921">
        <w:trPr>
          <w:trHeight w:val="320"/>
        </w:trPr>
        <w:tc>
          <w:tcPr>
            <w:tcW w:w="6658" w:type="dxa"/>
            <w:gridSpan w:val="2"/>
            <w:noWrap/>
            <w:vAlign w:val="center"/>
            <w:hideMark/>
          </w:tcPr>
          <w:p w14:paraId="56F89D4B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Enlarged gastric folds ﻿</w:t>
            </w:r>
          </w:p>
        </w:tc>
      </w:tr>
      <w:tr w:rsidR="000713C5" w:rsidRPr="003E2B3A" w14:paraId="5D0F1B92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7E4E1E0C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None (&lt;5 mm) </w:t>
            </w:r>
          </w:p>
        </w:tc>
        <w:tc>
          <w:tcPr>
            <w:tcW w:w="1418" w:type="dxa"/>
            <w:noWrap/>
            <w:vAlign w:val="center"/>
            <w:hideMark/>
          </w:tcPr>
          <w:p w14:paraId="15E3BE7A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0</w:t>
            </w:r>
          </w:p>
        </w:tc>
      </w:tr>
      <w:tr w:rsidR="000713C5" w:rsidRPr="003E2B3A" w14:paraId="5A8F6A56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27A1944C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Present (&gt;=5 mm) </w:t>
            </w:r>
          </w:p>
        </w:tc>
        <w:tc>
          <w:tcPr>
            <w:tcW w:w="1418" w:type="dxa"/>
            <w:noWrap/>
            <w:vAlign w:val="center"/>
            <w:hideMark/>
          </w:tcPr>
          <w:p w14:paraId="7CC2DC6E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2</w:t>
            </w:r>
          </w:p>
        </w:tc>
      </w:tr>
      <w:tr w:rsidR="000713C5" w:rsidRPr="003E2B3A" w14:paraId="569E2A4D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4AEF412E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Nodularity ﻿</w:t>
            </w:r>
          </w:p>
        </w:tc>
        <w:tc>
          <w:tcPr>
            <w:tcW w:w="1418" w:type="dxa"/>
            <w:noWrap/>
            <w:vAlign w:val="center"/>
            <w:hideMark/>
          </w:tcPr>
          <w:p w14:paraId="57A456AE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0713C5" w:rsidRPr="003E2B3A" w14:paraId="0FA218D4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0CC9A4B1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None </w:t>
            </w:r>
          </w:p>
        </w:tc>
        <w:tc>
          <w:tcPr>
            <w:tcW w:w="1418" w:type="dxa"/>
            <w:noWrap/>
            <w:vAlign w:val="center"/>
            <w:hideMark/>
          </w:tcPr>
          <w:p w14:paraId="2EBFD02D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0</w:t>
            </w:r>
          </w:p>
        </w:tc>
      </w:tr>
      <w:tr w:rsidR="000713C5" w:rsidRPr="003E2B3A" w14:paraId="0F314AF9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589F459F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Present </w:t>
            </w:r>
          </w:p>
        </w:tc>
        <w:tc>
          <w:tcPr>
            <w:tcW w:w="1418" w:type="dxa"/>
            <w:noWrap/>
            <w:vAlign w:val="center"/>
            <w:hideMark/>
          </w:tcPr>
          <w:p w14:paraId="713EBEF9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3</w:t>
            </w:r>
          </w:p>
        </w:tc>
      </w:tr>
      <w:tr w:rsidR="000713C5" w:rsidRPr="003E2B3A" w14:paraId="72BDB57D" w14:textId="77777777" w:rsidTr="00A86921">
        <w:trPr>
          <w:trHeight w:val="320"/>
        </w:trPr>
        <w:tc>
          <w:tcPr>
            <w:tcW w:w="6658" w:type="dxa"/>
            <w:gridSpan w:val="2"/>
            <w:noWrap/>
            <w:vAlign w:val="center"/>
            <w:hideMark/>
          </w:tcPr>
          <w:p w14:paraId="7115F750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Diffuse redness ﻿</w:t>
            </w:r>
          </w:p>
        </w:tc>
      </w:tr>
      <w:tr w:rsidR="000713C5" w:rsidRPr="003E2B3A" w14:paraId="3E6B1127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72E87F4F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None </w:t>
            </w:r>
          </w:p>
        </w:tc>
        <w:tc>
          <w:tcPr>
            <w:tcW w:w="1418" w:type="dxa"/>
            <w:noWrap/>
            <w:vAlign w:val="center"/>
            <w:hideMark/>
          </w:tcPr>
          <w:p w14:paraId="5C68E020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0</w:t>
            </w:r>
          </w:p>
        </w:tc>
      </w:tr>
      <w:tr w:rsidR="000713C5" w:rsidRPr="003E2B3A" w14:paraId="421F2E8E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2C7DE3BB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Moderate (RAC visible in gastric corpus) </w:t>
            </w:r>
          </w:p>
        </w:tc>
        <w:tc>
          <w:tcPr>
            <w:tcW w:w="1418" w:type="dxa"/>
            <w:noWrap/>
            <w:vAlign w:val="center"/>
            <w:hideMark/>
          </w:tcPr>
          <w:p w14:paraId="7496393F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2</w:t>
            </w:r>
          </w:p>
        </w:tc>
      </w:tr>
      <w:tr w:rsidR="000713C5" w:rsidRPr="003E2B3A" w14:paraId="642F58F6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4149E36A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Severe (RAC disappeared in gastric corpus) </w:t>
            </w:r>
          </w:p>
        </w:tc>
        <w:tc>
          <w:tcPr>
            <w:tcW w:w="1418" w:type="dxa"/>
            <w:noWrap/>
            <w:vAlign w:val="center"/>
            <w:hideMark/>
          </w:tcPr>
          <w:p w14:paraId="4AA62D94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3</w:t>
            </w:r>
          </w:p>
        </w:tc>
      </w:tr>
      <w:tr w:rsidR="000713C5" w:rsidRPr="003E2B3A" w14:paraId="23F0A4BA" w14:textId="77777777" w:rsidTr="00A86921">
        <w:trPr>
          <w:trHeight w:val="320"/>
        </w:trPr>
        <w:tc>
          <w:tcPr>
            <w:tcW w:w="6658" w:type="dxa"/>
            <w:gridSpan w:val="2"/>
            <w:noWrap/>
            <w:vAlign w:val="center"/>
            <w:hideMark/>
          </w:tcPr>
          <w:p w14:paraId="0774B92D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Turbid mucus lake ﻿</w:t>
            </w:r>
          </w:p>
        </w:tc>
      </w:tr>
      <w:tr w:rsidR="000713C5" w:rsidRPr="003E2B3A" w14:paraId="13C5900C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61EC41F2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None </w:t>
            </w:r>
          </w:p>
        </w:tc>
        <w:tc>
          <w:tcPr>
            <w:tcW w:w="1418" w:type="dxa"/>
            <w:noWrap/>
            <w:vAlign w:val="center"/>
            <w:hideMark/>
          </w:tcPr>
          <w:p w14:paraId="3FAABA9B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0</w:t>
            </w:r>
          </w:p>
        </w:tc>
      </w:tr>
      <w:tr w:rsidR="000713C5" w:rsidRPr="003E2B3A" w14:paraId="0F38BE88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1D33D7A1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Present </w:t>
            </w:r>
          </w:p>
        </w:tc>
        <w:tc>
          <w:tcPr>
            <w:tcW w:w="1418" w:type="dxa"/>
            <w:noWrap/>
            <w:vAlign w:val="center"/>
            <w:hideMark/>
          </w:tcPr>
          <w:p w14:paraId="68E408F6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2</w:t>
            </w:r>
          </w:p>
        </w:tc>
      </w:tr>
      <w:tr w:rsidR="000713C5" w:rsidRPr="003E2B3A" w14:paraId="775794C8" w14:textId="77777777" w:rsidTr="00A86921">
        <w:trPr>
          <w:trHeight w:val="320"/>
        </w:trPr>
        <w:tc>
          <w:tcPr>
            <w:tcW w:w="6658" w:type="dxa"/>
            <w:gridSpan w:val="2"/>
            <w:noWrap/>
            <w:vAlign w:val="center"/>
            <w:hideMark/>
          </w:tcPr>
          <w:p w14:paraId="0EF20FDF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Spotty redness ﻿</w:t>
            </w:r>
          </w:p>
        </w:tc>
      </w:tr>
      <w:tr w:rsidR="000713C5" w:rsidRPr="003E2B3A" w14:paraId="6BB743C7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75F3B464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None </w:t>
            </w:r>
          </w:p>
        </w:tc>
        <w:tc>
          <w:tcPr>
            <w:tcW w:w="1418" w:type="dxa"/>
            <w:noWrap/>
            <w:vAlign w:val="center"/>
            <w:hideMark/>
          </w:tcPr>
          <w:p w14:paraId="215C445C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0</w:t>
            </w:r>
          </w:p>
        </w:tc>
      </w:tr>
      <w:tr w:rsidR="000713C5" w:rsidRPr="003E2B3A" w14:paraId="63AB9301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70B018A2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Present </w:t>
            </w:r>
          </w:p>
        </w:tc>
        <w:tc>
          <w:tcPr>
            <w:tcW w:w="1418" w:type="dxa"/>
            <w:noWrap/>
            <w:vAlign w:val="center"/>
            <w:hideMark/>
          </w:tcPr>
          <w:p w14:paraId="2EADFC0F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2</w:t>
            </w:r>
          </w:p>
        </w:tc>
      </w:tr>
      <w:tr w:rsidR="000713C5" w:rsidRPr="003E2B3A" w14:paraId="79BA08A6" w14:textId="77777777" w:rsidTr="00A86921">
        <w:trPr>
          <w:trHeight w:val="320"/>
        </w:trPr>
        <w:tc>
          <w:tcPr>
            <w:tcW w:w="6658" w:type="dxa"/>
            <w:gridSpan w:val="2"/>
            <w:noWrap/>
            <w:vAlign w:val="center"/>
            <w:hideMark/>
          </w:tcPr>
          <w:p w14:paraId="4833791C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RAC positivity ﻿</w:t>
            </w:r>
          </w:p>
        </w:tc>
      </w:tr>
      <w:tr w:rsidR="000713C5" w:rsidRPr="003E2B3A" w14:paraId="517A8D6A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70EAD491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None </w:t>
            </w:r>
          </w:p>
        </w:tc>
        <w:tc>
          <w:tcPr>
            <w:tcW w:w="1418" w:type="dxa"/>
            <w:noWrap/>
            <w:vAlign w:val="center"/>
            <w:hideMark/>
          </w:tcPr>
          <w:p w14:paraId="7BE9C013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0</w:t>
            </w:r>
          </w:p>
        </w:tc>
      </w:tr>
      <w:tr w:rsidR="000713C5" w:rsidRPr="003E2B3A" w14:paraId="1635DB64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659006BA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Present </w:t>
            </w:r>
          </w:p>
        </w:tc>
        <w:tc>
          <w:tcPr>
            <w:tcW w:w="1418" w:type="dxa"/>
            <w:noWrap/>
            <w:vAlign w:val="center"/>
            <w:hideMark/>
          </w:tcPr>
          <w:p w14:paraId="615F0B00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-2</w:t>
            </w:r>
          </w:p>
        </w:tc>
      </w:tr>
      <w:tr w:rsidR="000713C5" w:rsidRPr="003E2B3A" w14:paraId="27F598F7" w14:textId="77777777" w:rsidTr="00A86921">
        <w:trPr>
          <w:trHeight w:val="320"/>
        </w:trPr>
        <w:tc>
          <w:tcPr>
            <w:tcW w:w="6658" w:type="dxa"/>
            <w:gridSpan w:val="2"/>
            <w:noWrap/>
            <w:vAlign w:val="center"/>
            <w:hideMark/>
          </w:tcPr>
          <w:p w14:paraId="2B2E3D62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Fundic gland polyp ﻿</w:t>
            </w:r>
          </w:p>
        </w:tc>
      </w:tr>
      <w:tr w:rsidR="000713C5" w:rsidRPr="003E2B3A" w14:paraId="0F2A7ADF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13FA16B2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None </w:t>
            </w:r>
          </w:p>
        </w:tc>
        <w:tc>
          <w:tcPr>
            <w:tcW w:w="1418" w:type="dxa"/>
            <w:noWrap/>
            <w:vAlign w:val="center"/>
            <w:hideMark/>
          </w:tcPr>
          <w:p w14:paraId="7C4571C5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0</w:t>
            </w:r>
          </w:p>
        </w:tc>
      </w:tr>
      <w:tr w:rsidR="000713C5" w:rsidRPr="003E2B3A" w14:paraId="7CF310E9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6BB86A7E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Present </w:t>
            </w:r>
          </w:p>
        </w:tc>
        <w:tc>
          <w:tcPr>
            <w:tcW w:w="1418" w:type="dxa"/>
            <w:noWrap/>
            <w:vAlign w:val="center"/>
            <w:hideMark/>
          </w:tcPr>
          <w:p w14:paraId="1CDA476E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-2</w:t>
            </w:r>
          </w:p>
        </w:tc>
      </w:tr>
      <w:tr w:rsidR="000713C5" w:rsidRPr="003E2B3A" w14:paraId="22575C5C" w14:textId="77777777" w:rsidTr="00A86921">
        <w:trPr>
          <w:trHeight w:val="320"/>
        </w:trPr>
        <w:tc>
          <w:tcPr>
            <w:tcW w:w="5240" w:type="dxa"/>
            <w:noWrap/>
            <w:vAlign w:val="center"/>
            <w:hideMark/>
          </w:tcPr>
          <w:p w14:paraId="13DCC591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>Total Score</w:t>
            </w:r>
          </w:p>
        </w:tc>
        <w:tc>
          <w:tcPr>
            <w:tcW w:w="1418" w:type="dxa"/>
            <w:noWrap/>
            <w:vAlign w:val="center"/>
            <w:hideMark/>
          </w:tcPr>
          <w:p w14:paraId="1793F62A" w14:textId="77777777" w:rsidR="000713C5" w:rsidRPr="003E2B3A" w:rsidRDefault="000713C5" w:rsidP="00A86921">
            <w:pPr>
              <w:spacing w:line="360" w:lineRule="auto"/>
              <w:rPr>
                <w:rFonts w:ascii="Calibri" w:hAnsi="Calibri" w:cs="Calibri"/>
                <w:sz w:val="24"/>
              </w:rPr>
            </w:pPr>
            <w:r w:rsidRPr="003E2B3A">
              <w:rPr>
                <w:rFonts w:ascii="Calibri" w:hAnsi="Calibri" w:cs="Calibri"/>
                <w:sz w:val="24"/>
              </w:rPr>
              <w:t xml:space="preserve"> -4 to 14</w:t>
            </w:r>
          </w:p>
        </w:tc>
      </w:tr>
    </w:tbl>
    <w:p w14:paraId="25DA519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3C5"/>
    <w:rsid w:val="000713C5"/>
    <w:rsid w:val="000C4033"/>
    <w:rsid w:val="003D3A56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2F5FC"/>
  <w15:chartTrackingRefBased/>
  <w15:docId w15:val="{93CDC32D-3DE6-460F-B1D7-CD68550AE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3C5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13C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3C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3C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3C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3C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3C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3C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3C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3C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3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13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3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3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3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3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3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3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3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3C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1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3C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13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3C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13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3C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13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3C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3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3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506</Characters>
  <Application>Microsoft Office Word</Application>
  <DocSecurity>0</DocSecurity>
  <Lines>9</Lines>
  <Paragraphs>4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2025-12-18T08:27:00Z</dcterms:created>
  <dcterms:modified xsi:type="dcterms:W3CDTF">2025-12-18T08:27:00Z</dcterms:modified>
</cp:coreProperties>
</file>