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634" w:rsidRPr="00604E29" w:rsidRDefault="00640634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  <w:r w:rsidRPr="00604E29"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  <w:t>Supplementary Materials</w:t>
      </w:r>
    </w:p>
    <w:p w:rsidR="00531CBD" w:rsidRDefault="00531CBD">
      <w:pPr>
        <w:rPr>
          <w:rFonts w:ascii="Times New Roman" w:hAnsi="Times New Roman" w:cs="Times New Roman"/>
          <w:b/>
          <w:color w:val="000000" w:themeColor="text1"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lang w:val="en-GB"/>
        </w:rPr>
        <w:t>Results</w:t>
      </w:r>
    </w:p>
    <w:p w:rsidR="008B2893" w:rsidRPr="009D0534" w:rsidRDefault="008B2893">
      <w:pPr>
        <w:rPr>
          <w:rFonts w:ascii="Times New Roman" w:hAnsi="Times New Roman" w:cs="Times New Roman"/>
          <w:b/>
          <w:color w:val="000000" w:themeColor="text1"/>
          <w:sz w:val="26"/>
          <w:szCs w:val="26"/>
          <w:lang w:val="en-GB"/>
        </w:rPr>
      </w:pPr>
      <w:r w:rsidRPr="009D0534">
        <w:rPr>
          <w:rFonts w:ascii="Times New Roman" w:hAnsi="Times New Roman" w:cs="Times New Roman"/>
          <w:b/>
          <w:color w:val="000000" w:themeColor="text1"/>
          <w:sz w:val="26"/>
          <w:szCs w:val="26"/>
          <w:lang w:val="en-GB"/>
        </w:rPr>
        <w:t>GLM Random Effect Group Analysis Results</w:t>
      </w:r>
    </w:p>
    <w:p w:rsidR="008B2893" w:rsidRDefault="009D0534">
      <w:pPr>
        <w:rPr>
          <w:rFonts w:ascii="Times New Roman" w:hAnsi="Times New Roman" w:cs="Times New Roman"/>
          <w:b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lang w:val="en-GB"/>
        </w:rPr>
        <w:t>Healthy Control S</w:t>
      </w:r>
      <w:r w:rsidR="008B2893">
        <w:rPr>
          <w:rFonts w:ascii="Times New Roman" w:hAnsi="Times New Roman" w:cs="Times New Roman"/>
          <w:b/>
          <w:color w:val="000000" w:themeColor="text1"/>
          <w:lang w:val="en-GB"/>
        </w:rPr>
        <w:t>ubje</w:t>
      </w:r>
      <w:r>
        <w:rPr>
          <w:rFonts w:ascii="Times New Roman" w:hAnsi="Times New Roman" w:cs="Times New Roman"/>
          <w:b/>
          <w:color w:val="000000" w:themeColor="text1"/>
          <w:lang w:val="en-GB"/>
        </w:rPr>
        <w:t>c</w:t>
      </w:r>
      <w:r w:rsidR="008B2893">
        <w:rPr>
          <w:rFonts w:ascii="Times New Roman" w:hAnsi="Times New Roman" w:cs="Times New Roman"/>
          <w:b/>
          <w:color w:val="000000" w:themeColor="text1"/>
          <w:lang w:val="en-GB"/>
        </w:rPr>
        <w:t>ts</w:t>
      </w:r>
    </w:p>
    <w:p w:rsidR="008B2893" w:rsidRDefault="008B2893" w:rsidP="008B2893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 w:rsidRPr="00CE7226">
        <w:rPr>
          <w:rFonts w:ascii="Times New Roman" w:eastAsiaTheme="majorEastAsia" w:hAnsi="Times New Roman" w:cs="Times New Roman"/>
          <w:color w:val="000000" w:themeColor="text1"/>
          <w:lang w:val="en-GB"/>
        </w:rPr>
        <w:t>At the group level, the neural activations for the positive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emotions</w:t>
      </w:r>
      <w:r w:rsidRPr="00CE7226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contrast were mainly located in bilateral middle and inferior occipital cortices, bilateral fusiform gyri, bilateral inferior frontal cortices (pars </w:t>
      </w:r>
      <w:proofErr w:type="spellStart"/>
      <w:r w:rsidRPr="00CE7226">
        <w:rPr>
          <w:rFonts w:ascii="Times New Roman" w:eastAsiaTheme="majorEastAsia" w:hAnsi="Times New Roman" w:cs="Times New Roman"/>
          <w:color w:val="000000" w:themeColor="text1"/>
          <w:lang w:val="en-GB"/>
        </w:rPr>
        <w:t>triangularis</w:t>
      </w:r>
      <w:proofErr w:type="spellEnd"/>
      <w:r w:rsidRPr="00CE7226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, and </w:t>
      </w:r>
      <w:proofErr w:type="spellStart"/>
      <w:r w:rsidRPr="00CE7226">
        <w:rPr>
          <w:rFonts w:ascii="Times New Roman" w:eastAsiaTheme="majorEastAsia" w:hAnsi="Times New Roman" w:cs="Times New Roman"/>
          <w:color w:val="000000" w:themeColor="text1"/>
          <w:lang w:val="en-GB"/>
        </w:rPr>
        <w:t>opercularis</w:t>
      </w:r>
      <w:proofErr w:type="spellEnd"/>
      <w:r w:rsidRPr="00CE7226">
        <w:rPr>
          <w:rFonts w:ascii="Times New Roman" w:eastAsiaTheme="majorEastAsia" w:hAnsi="Times New Roman" w:cs="Times New Roman"/>
          <w:color w:val="000000" w:themeColor="text1"/>
          <w:lang w:val="en-GB"/>
        </w:rPr>
        <w:t>), bilateral middle temporal cortices, bilateral thalamus, left precentral cortex. The negative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emotions</w:t>
      </w:r>
      <w:r w:rsidRPr="00CE7226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contrast showed wider neural activation also comprising the right inferior temporal cortex.</w:t>
      </w:r>
    </w:p>
    <w:p w:rsidR="00FD05A5" w:rsidRDefault="00FD5E9F" w:rsidP="00FD05A5">
      <w:pPr>
        <w:pStyle w:val="Titolo4"/>
        <w:spacing w:after="240"/>
        <w:jc w:val="both"/>
        <w:rPr>
          <w:rFonts w:ascii="Times New Roman" w:eastAsiaTheme="minorHAnsi" w:hAnsi="Times New Roman" w:cs="Times New Roman"/>
          <w:b/>
          <w:i w:val="0"/>
          <w:iCs w:val="0"/>
          <w:color w:val="auto"/>
          <w:lang w:val="en-GB"/>
        </w:rPr>
      </w:pPr>
      <w:r>
        <w:rPr>
          <w:rFonts w:ascii="Times New Roman" w:eastAsiaTheme="minorHAnsi" w:hAnsi="Times New Roman" w:cs="Times New Roman"/>
          <w:b/>
          <w:i w:val="0"/>
          <w:iCs w:val="0"/>
          <w:color w:val="auto"/>
          <w:lang w:val="en-GB"/>
        </w:rPr>
        <w:t>People</w:t>
      </w:r>
      <w:r w:rsidR="00FD05A5">
        <w:rPr>
          <w:rFonts w:ascii="Times New Roman" w:eastAsiaTheme="minorHAnsi" w:hAnsi="Times New Roman" w:cs="Times New Roman"/>
          <w:b/>
          <w:i w:val="0"/>
          <w:iCs w:val="0"/>
          <w:color w:val="auto"/>
          <w:lang w:val="en-GB"/>
        </w:rPr>
        <w:t xml:space="preserve"> with Multiple Sclerosis</w:t>
      </w:r>
    </w:p>
    <w:p w:rsidR="00FD05A5" w:rsidRDefault="00FD05A5" w:rsidP="009D0534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 w:rsidRPr="00F03B7A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No </w:t>
      </w:r>
      <w:proofErr w:type="spellStart"/>
      <w:r w:rsidRPr="00F03B7A">
        <w:rPr>
          <w:rFonts w:ascii="Times New Roman" w:eastAsiaTheme="majorEastAsia" w:hAnsi="Times New Roman" w:cs="Times New Roman"/>
          <w:color w:val="000000" w:themeColor="text1"/>
          <w:lang w:val="en-GB"/>
        </w:rPr>
        <w:t>suprathreshold</w:t>
      </w:r>
      <w:proofErr w:type="spellEnd"/>
      <w:r w:rsidRPr="00F03B7A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(</w:t>
      </w:r>
      <w:proofErr w:type="spellStart"/>
      <w:r w:rsidRPr="00F03B7A">
        <w:rPr>
          <w:rFonts w:ascii="Times New Roman" w:eastAsiaTheme="majorEastAsia" w:hAnsi="Times New Roman" w:cs="Times New Roman"/>
          <w:color w:val="000000" w:themeColor="text1"/>
          <w:lang w:val="en-GB"/>
        </w:rPr>
        <w:t>p</w:t>
      </w:r>
      <w:r w:rsidRPr="00892373">
        <w:rPr>
          <w:rFonts w:ascii="Times New Roman" w:eastAsiaTheme="majorEastAsia" w:hAnsi="Times New Roman" w:cs="Times New Roman"/>
          <w:color w:val="000000" w:themeColor="text1"/>
          <w:vertAlign w:val="subscript"/>
          <w:lang w:val="en-GB"/>
        </w:rPr>
        <w:t>FWE</w:t>
      </w:r>
      <w:proofErr w:type="spellEnd"/>
      <w:r w:rsidRPr="00F03B7A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&lt;0.05) neural activity was observed for </w:t>
      </w:r>
      <w:proofErr w:type="spellStart"/>
      <w:r w:rsidRPr="00F03B7A">
        <w:rPr>
          <w:rFonts w:ascii="Times New Roman" w:eastAsiaTheme="majorEastAsia" w:hAnsi="Times New Roman" w:cs="Times New Roman"/>
          <w:color w:val="000000" w:themeColor="text1"/>
          <w:lang w:val="en-GB"/>
        </w:rPr>
        <w:t>pwMS</w:t>
      </w:r>
      <w:proofErr w:type="spellEnd"/>
      <w:r w:rsidRPr="00F03B7A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considering the acquisition performed on the whole sampl</w:t>
      </w:r>
      <w:r w:rsidR="009D0534">
        <w:rPr>
          <w:rFonts w:ascii="Times New Roman" w:eastAsiaTheme="majorEastAsia" w:hAnsi="Times New Roman" w:cs="Times New Roman"/>
          <w:color w:val="000000" w:themeColor="text1"/>
          <w:lang w:val="en-GB"/>
        </w:rPr>
        <w:t>e preceding the EMDR treatment.</w:t>
      </w:r>
    </w:p>
    <w:p w:rsidR="009D0534" w:rsidRDefault="009D0534" w:rsidP="009D0534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</w:p>
    <w:p w:rsidR="00C42887" w:rsidRDefault="00C42887">
      <w:pPr>
        <w:rPr>
          <w:rFonts w:ascii="Times New Roman" w:hAnsi="Times New Roman" w:cs="Times New Roman"/>
          <w:b/>
          <w:color w:val="000000" w:themeColor="text1"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lang w:val="en-GB"/>
        </w:rPr>
        <w:br w:type="page"/>
      </w:r>
    </w:p>
    <w:p w:rsidR="00FD05A5" w:rsidRPr="009D0534" w:rsidRDefault="00FD05A5" w:rsidP="00FD05A5">
      <w:pPr>
        <w:rPr>
          <w:rFonts w:ascii="Times New Roman" w:hAnsi="Times New Roman" w:cs="Times New Roman"/>
          <w:b/>
          <w:color w:val="000000" w:themeColor="text1"/>
          <w:sz w:val="26"/>
          <w:szCs w:val="26"/>
          <w:lang w:val="en-GB"/>
        </w:rPr>
      </w:pPr>
      <w:r w:rsidRPr="009D0534">
        <w:rPr>
          <w:rFonts w:ascii="Times New Roman" w:hAnsi="Times New Roman" w:cs="Times New Roman"/>
          <w:b/>
          <w:color w:val="000000" w:themeColor="text1"/>
          <w:sz w:val="26"/>
          <w:szCs w:val="26"/>
          <w:lang w:val="en-GB"/>
        </w:rPr>
        <w:lastRenderedPageBreak/>
        <w:t>Threshold-weighted Overlap Maps Results</w:t>
      </w:r>
    </w:p>
    <w:p w:rsidR="00E87B10" w:rsidRDefault="00E87B10" w:rsidP="00E87B10">
      <w:pPr>
        <w:rPr>
          <w:rFonts w:ascii="Times New Roman" w:hAnsi="Times New Roman" w:cs="Times New Roman"/>
          <w:b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lang w:val="en-GB"/>
        </w:rPr>
        <w:t>Healthy Control Subjects</w:t>
      </w:r>
    </w:p>
    <w:p w:rsidR="00C514D6" w:rsidRPr="00C514D6" w:rsidRDefault="00C514D6" w:rsidP="00C514D6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 w:rsidRPr="00EF7886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The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w</m:t>
            </m:r>
          </m:sub>
        </m:sSub>
      </m:oMath>
      <w:r w:rsidRPr="00EF7886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at the 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>1</w:t>
      </w:r>
      <w:r w:rsidRPr="004B70ED">
        <w:rPr>
          <w:rFonts w:ascii="Times New Roman" w:eastAsiaTheme="majorEastAsia" w:hAnsi="Times New Roman" w:cs="Times New Roman"/>
          <w:color w:val="000000" w:themeColor="text1"/>
          <w:vertAlign w:val="superscript"/>
          <w:lang w:val="en-GB"/>
        </w:rPr>
        <w:t>st</w:t>
      </w:r>
      <w:r w:rsidRPr="00EF7886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resulted in 0.74 peak consistency for positive 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>emotions</w:t>
      </w:r>
      <w:r w:rsidRPr="00EF7886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contrast. The r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>esulting consistency peak value</w:t>
      </w:r>
      <w:r w:rsidRPr="00EF7886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for the 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>2</w:t>
      </w:r>
      <w:r w:rsidRPr="004B70ED">
        <w:rPr>
          <w:rFonts w:ascii="Times New Roman" w:eastAsiaTheme="majorEastAsia" w:hAnsi="Times New Roman" w:cs="Times New Roman"/>
          <w:color w:val="000000" w:themeColor="text1"/>
          <w:vertAlign w:val="superscript"/>
          <w:lang w:val="en-GB"/>
        </w:rPr>
        <w:t>nd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was </w:t>
      </w:r>
      <w:r w:rsidR="00C656BA">
        <w:rPr>
          <w:rFonts w:ascii="Times New Roman" w:eastAsiaTheme="majorEastAsia" w:hAnsi="Times New Roman" w:cs="Times New Roman"/>
          <w:color w:val="000000" w:themeColor="text1"/>
          <w:lang w:val="en-GB"/>
        </w:rPr>
        <w:t>0.64</w:t>
      </w:r>
      <w:r w:rsidRPr="00EF7886">
        <w:rPr>
          <w:rFonts w:ascii="Times New Roman" w:eastAsiaTheme="majorEastAsia" w:hAnsi="Times New Roman" w:cs="Times New Roman"/>
          <w:color w:val="000000" w:themeColor="text1"/>
          <w:lang w:val="en-GB"/>
        </w:rPr>
        <w:t>.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</w:t>
      </w:r>
    </w:p>
    <w:p w:rsidR="008B2893" w:rsidRDefault="008B2893" w:rsidP="008B2893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Figure S1 shows the comparison between GLM group statistics and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w</m:t>
            </m:r>
          </m:sub>
        </m:sSub>
      </m:oMath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compared to the GLM standard group results for the 1</w:t>
      </w:r>
      <w:r w:rsidRPr="003D0A96">
        <w:rPr>
          <w:rFonts w:ascii="Times New Roman" w:eastAsiaTheme="majorEastAsia" w:hAnsi="Times New Roman" w:cs="Times New Roman"/>
          <w:color w:val="000000" w:themeColor="text1"/>
          <w:vertAlign w:val="superscript"/>
          <w:lang w:val="en-GB"/>
        </w:rPr>
        <w:t>st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scan of negative emotion contrast.</w:t>
      </w:r>
    </w:p>
    <w:p w:rsidR="008B2893" w:rsidRDefault="008B2893" w:rsidP="008B2893">
      <w:pPr>
        <w:spacing w:line="360" w:lineRule="auto"/>
        <w:jc w:val="center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>
        <w:rPr>
          <w:rFonts w:ascii="Times New Roman" w:eastAsiaTheme="majorEastAsia" w:hAnsi="Times New Roman" w:cs="Times New Roman"/>
          <w:noProof/>
          <w:color w:val="000000" w:themeColor="text1"/>
          <w:lang w:val="en-GB" w:eastAsia="en-GB"/>
        </w:rPr>
        <w:drawing>
          <wp:inline distT="0" distB="0" distL="0" distR="0" wp14:anchorId="2C0ECCA5" wp14:editId="4ECD9BA0">
            <wp:extent cx="4798771" cy="3960873"/>
            <wp:effectExtent l="0" t="0" r="1905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27" cy="39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AA" w:rsidRDefault="008B2893" w:rsidP="008B2893">
      <w:pPr>
        <w:spacing w:line="360" w:lineRule="auto"/>
        <w:jc w:val="both"/>
        <w:rPr>
          <w:rFonts w:ascii="Times New Roman" w:hAnsi="Times New Roman" w:cs="Times New Roman"/>
          <w:iCs/>
          <w:sz w:val="18"/>
          <w:szCs w:val="18"/>
          <w:lang w:val="en-GB"/>
        </w:rPr>
      </w:pPr>
      <w:r w:rsidRPr="00B377C8"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Figure </w:t>
      </w:r>
      <w:r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S1. 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>Mean group effects spatial maps (top-panel) derived from GLM standard statistic (</w:t>
      </w:r>
      <w:proofErr w:type="spellStart"/>
      <w:r>
        <w:rPr>
          <w:rFonts w:ascii="Times New Roman" w:hAnsi="Times New Roman" w:cs="Times New Roman"/>
          <w:iCs/>
          <w:sz w:val="18"/>
          <w:szCs w:val="18"/>
          <w:lang w:val="en-GB"/>
        </w:rPr>
        <w:t>p</w:t>
      </w:r>
      <w:r w:rsidRPr="00F753DB">
        <w:rPr>
          <w:rFonts w:ascii="Times New Roman" w:hAnsi="Times New Roman" w:cs="Times New Roman"/>
          <w:iCs/>
          <w:sz w:val="18"/>
          <w:szCs w:val="18"/>
          <w:vertAlign w:val="subscript"/>
          <w:lang w:val="en-GB"/>
        </w:rPr>
        <w:t>FWE</w:t>
      </w:r>
      <w:proofErr w:type="spellEnd"/>
      <w:r>
        <w:rPr>
          <w:rFonts w:ascii="Times New Roman" w:hAnsi="Times New Roman" w:cs="Times New Roman"/>
          <w:iCs/>
          <w:sz w:val="18"/>
          <w:szCs w:val="18"/>
          <w:lang w:val="en-GB"/>
        </w:rPr>
        <w:t>&lt;0.05) and consistency maps (bottom-panel) threshold weighted overlap maps (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w</m:t>
            </m:r>
          </m:sub>
        </m:sSub>
      </m:oMath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) derived according to 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fldChar w:fldCharType="begin"/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instrText xml:space="preserve"> ADDIN EN.CITE &lt;EndNote&gt;&lt;Cite&gt;&lt;Author&gt;Seghier&lt;/Author&gt;&lt;Year&gt;2016&lt;/Year&gt;&lt;IDText&gt;Visualising inter-subject variability in fMRI using threshold-weighted overlap maps&lt;/IDText&gt;&lt;DisplayText&gt;(Seghier &amp;amp; Price, 2016)&lt;/DisplayText&gt;&lt;record&gt;&lt;dates&gt;&lt;pub-dates&gt;&lt;date&gt;Feb 5&lt;/date&gt;&lt;/pub-dates&gt;&lt;year&gt;2016&lt;/year&gt;&lt;/dates&gt;&lt;keywords&gt;&lt;keyword&gt;Adult&lt;/keyword&gt;&lt;keyword&gt;Brain/*diagnostic imaging&lt;/keyword&gt;&lt;keyword&gt;*Brain Mapping&lt;/keyword&gt;&lt;keyword&gt;Female&lt;/keyword&gt;&lt;keyword&gt;Hand/physiology&lt;/keyword&gt;&lt;keyword&gt;Healthy Volunteers&lt;/keyword&gt;&lt;keyword&gt;Humans&lt;/keyword&gt;&lt;keyword&gt;*Magnetic Resonance Imaging&lt;/keyword&gt;&lt;keyword&gt;Male&lt;/keyword&gt;&lt;keyword&gt;Middle Aged&lt;/keyword&gt;&lt;keyword&gt;Movement&lt;/keyword&gt;&lt;/keywords&gt;&lt;isbn&gt;2045-2322&lt;/isbn&gt;&lt;custom2&gt;PMC4742862&lt;/custom2&gt;&lt;titles&gt;&lt;title&gt;Visualising inter-subject variability in fMRI using threshold-weighted overlap maps&lt;/title&gt;&lt;secondary-title&gt;Sci Rep&lt;/secondary-title&gt;&lt;/titles&gt;&lt;pages&gt;20170&lt;/pages&gt;&lt;contributors&gt;&lt;authors&gt;&lt;author&gt;Seghier, M. L.&lt;/author&gt;&lt;author&gt;Price, C. J.&lt;/author&gt;&lt;/authors&gt;&lt;/contributors&gt;&lt;edition&gt;20160205&lt;/edition&gt;&lt;language&gt;eng&lt;/language&gt;&lt;added-date format="utc"&gt;1708690306&lt;/added-date&gt;&lt;ref-type name="Journal Article"&gt;17&lt;/ref-type&gt;&lt;auth-address&gt;Wellcome Trust Centre for Neuroimaging, Institute of Neurology, UCL, London UK.&amp;#xD;Cognitive Neuroimaging Unit, Emirates College for Advanced Education (ECAE), P.O Box 126662, Abu Dhabi, UAE.&lt;/auth-address&gt;&lt;remote-database-provider&gt;NLM&lt;/remote-database-provider&gt;&lt;rec-number&gt;339&lt;/rec-number&gt;&lt;last-updated-date format="utc"&gt;1708690306&lt;/last-updated-date&gt;&lt;accession-num&gt;26846561&lt;/accession-num&gt;&lt;electronic-resource-num&gt;10.1038/srep20170&lt;/electronic-resource-num&gt;&lt;volume&gt;6&lt;/volume&gt;&lt;/record&gt;&lt;/Cite&gt;&lt;/EndNote&gt;</w:instrTex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fldChar w:fldCharType="separate"/>
      </w:r>
      <w:r>
        <w:rPr>
          <w:rFonts w:ascii="Times New Roman" w:hAnsi="Times New Roman" w:cs="Times New Roman"/>
          <w:iCs/>
          <w:noProof/>
          <w:sz w:val="18"/>
          <w:szCs w:val="18"/>
          <w:lang w:val="en-GB"/>
        </w:rPr>
        <w:t>(Seghier &amp; Price, 2016)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fldChar w:fldCharType="end"/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for the positive stimuli contrast of the healthy control group. The maps are color-coded according to the t-values and consistency values for the GLM derived maps and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w</m:t>
            </m:r>
          </m:sub>
        </m:sSub>
      </m:oMath>
      <w:r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, </w:t>
      </w:r>
      <w:r w:rsidRPr="00653F33">
        <w:rPr>
          <w:rFonts w:ascii="Times New Roman" w:hAnsi="Times New Roman" w:cs="Times New Roman"/>
          <w:iCs/>
          <w:sz w:val="18"/>
          <w:szCs w:val="18"/>
          <w:lang w:val="en-GB"/>
        </w:rPr>
        <w:t>respectively.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Main differences between the two maps are pointed by white arrows.</w:t>
      </w:r>
    </w:p>
    <w:p w:rsidR="00B4409D" w:rsidRDefault="00B4409D" w:rsidP="008B2893">
      <w:pPr>
        <w:spacing w:line="360" w:lineRule="auto"/>
        <w:jc w:val="both"/>
        <w:rPr>
          <w:rFonts w:ascii="Times New Roman" w:hAnsi="Times New Roman" w:cs="Times New Roman"/>
          <w:iCs/>
          <w:sz w:val="18"/>
          <w:szCs w:val="18"/>
          <w:lang w:val="en-GB"/>
        </w:rPr>
      </w:pPr>
    </w:p>
    <w:p w:rsidR="00B4409D" w:rsidRDefault="00B4409D" w:rsidP="00B4409D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</w:p>
    <w:p w:rsidR="00B4409D" w:rsidRDefault="00B4409D" w:rsidP="00B4409D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>Table S</w:t>
      </w:r>
      <w:r w:rsidR="00DC06AD">
        <w:rPr>
          <w:rFonts w:ascii="Times New Roman" w:eastAsiaTheme="majorEastAsia" w:hAnsi="Times New Roman" w:cs="Times New Roman"/>
          <w:color w:val="000000" w:themeColor="text1"/>
          <w:lang w:val="en-GB"/>
        </w:rPr>
        <w:t>1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reports the delta values measuring the difference between the 1</w:t>
      </w:r>
      <w:r w:rsidRPr="00AD52D8">
        <w:rPr>
          <w:rFonts w:ascii="Times New Roman" w:eastAsiaTheme="majorEastAsia" w:hAnsi="Times New Roman" w:cs="Times New Roman"/>
          <w:color w:val="000000" w:themeColor="text1"/>
          <w:vertAlign w:val="superscript"/>
          <w:lang w:val="en-GB"/>
        </w:rPr>
        <w:t>st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and 2</w:t>
      </w:r>
      <w:r w:rsidRPr="00AD52D8">
        <w:rPr>
          <w:rFonts w:ascii="Times New Roman" w:eastAsiaTheme="majorEastAsia" w:hAnsi="Times New Roman" w:cs="Times New Roman"/>
          <w:color w:val="000000" w:themeColor="text1"/>
          <w:vertAlign w:val="superscript"/>
          <w:lang w:val="en-GB"/>
        </w:rPr>
        <w:t>nd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in peak and average consistency for each ROI for positive and negative stimuli respectively.</w:t>
      </w:r>
    </w:p>
    <w:p w:rsidR="00B4409D" w:rsidRDefault="00B4409D" w:rsidP="008B2893">
      <w:pPr>
        <w:spacing w:line="360" w:lineRule="auto"/>
        <w:jc w:val="both"/>
        <w:rPr>
          <w:rFonts w:ascii="Times New Roman" w:hAnsi="Times New Roman" w:cs="Times New Roman"/>
          <w:iCs/>
          <w:sz w:val="18"/>
          <w:szCs w:val="18"/>
          <w:lang w:val="en-GB"/>
        </w:rPr>
      </w:pPr>
      <w:r w:rsidRPr="00F304F2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 xml:space="preserve">Table </w:t>
      </w:r>
      <w:r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>S</w:t>
      </w:r>
      <w:r w:rsidR="00DC06AD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>1</w:t>
      </w:r>
      <w:r w:rsidRPr="00F304F2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>.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Peak and Average Consistency values obtained from the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w</m:t>
            </m:r>
          </m:sub>
        </m:sSub>
      </m:oMath>
      <w:r w:rsidRPr="00AD52D8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of the positive stimuli in HC group are reported. The delta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values</w:t>
      </w:r>
      <w:r w:rsidRPr="00AD52D8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computed as differences between 1</w:t>
      </w:r>
      <w:r w:rsidRPr="00AD52D8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  <w:lang w:val="en-GB"/>
        </w:rPr>
        <w:t>st</w:t>
      </w:r>
      <w:r w:rsidRPr="00AD52D8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and 2</w:t>
      </w:r>
      <w:r w:rsidRPr="00AD52D8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  <w:lang w:val="en-GB"/>
        </w:rPr>
        <w:t>nd</w:t>
      </w:r>
      <w:r w:rsidRPr="00AD52D8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scan are also reported for peak and average consistency. Delta values highlighted in bold refers to differences equal or above the 75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°</w:t>
      </w:r>
      <w:r w:rsidRPr="00AD52D8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percentile.</w:t>
      </w:r>
    </w:p>
    <w:tbl>
      <w:tblPr>
        <w:tblStyle w:val="Grigliatabella"/>
        <w:tblW w:w="9298" w:type="dxa"/>
        <w:tblLook w:val="04A0" w:firstRow="1" w:lastRow="0" w:firstColumn="1" w:lastColumn="0" w:noHBand="0" w:noVBand="1"/>
      </w:tblPr>
      <w:tblGrid>
        <w:gridCol w:w="1728"/>
        <w:gridCol w:w="816"/>
        <w:gridCol w:w="1177"/>
        <w:gridCol w:w="1177"/>
        <w:gridCol w:w="1177"/>
        <w:gridCol w:w="1177"/>
        <w:gridCol w:w="1177"/>
        <w:gridCol w:w="1177"/>
      </w:tblGrid>
      <w:tr w:rsidR="00B4409D" w:rsidRPr="003D5C80" w:rsidTr="00B6702B">
        <w:tc>
          <w:tcPr>
            <w:tcW w:w="191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ROIs Labels</w:t>
            </w:r>
          </w:p>
        </w:tc>
        <w:tc>
          <w:tcPr>
            <w:tcW w:w="80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ROIs Number</w:t>
            </w:r>
          </w:p>
        </w:tc>
        <w:tc>
          <w:tcPr>
            <w:tcW w:w="10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Peak Consistency 1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vertAlign w:val="superscript"/>
                <w:lang w:val="en-GB"/>
              </w:rPr>
              <w:t>st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Scan</w:t>
            </w:r>
          </w:p>
        </w:tc>
        <w:tc>
          <w:tcPr>
            <w:tcW w:w="10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Peak Consistency 2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vertAlign w:val="superscript"/>
                <w:lang w:val="en-GB"/>
              </w:rPr>
              <w:t>nd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Scan</w:t>
            </w:r>
          </w:p>
        </w:tc>
        <w:tc>
          <w:tcPr>
            <w:tcW w:w="10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Delta Peak Consistency (1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vertAlign w:val="superscript"/>
                <w:lang w:val="en-GB"/>
              </w:rPr>
              <w:t>st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Scan – 2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vertAlign w:val="superscript"/>
                <w:lang w:val="en-GB"/>
              </w:rPr>
              <w:t>nd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Scan)</w:t>
            </w:r>
          </w:p>
        </w:tc>
        <w:tc>
          <w:tcPr>
            <w:tcW w:w="10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Average Consistency 1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vertAlign w:val="superscript"/>
                <w:lang w:val="en-GB"/>
              </w:rPr>
              <w:t>st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Scan</w:t>
            </w:r>
          </w:p>
        </w:tc>
        <w:tc>
          <w:tcPr>
            <w:tcW w:w="10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Average Consistency 2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vertAlign w:val="superscript"/>
                <w:lang w:val="en-GB"/>
              </w:rPr>
              <w:t>nd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Scan</w:t>
            </w:r>
          </w:p>
        </w:tc>
        <w:tc>
          <w:tcPr>
            <w:tcW w:w="10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Delta Average Consistency (1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vertAlign w:val="superscript"/>
                <w:lang w:val="en-GB"/>
              </w:rPr>
              <w:t>st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Scan – 2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vertAlign w:val="superscript"/>
                <w:lang w:val="en-GB"/>
              </w:rPr>
              <w:t>nd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Scan)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Frontal_Inf_Oper_L</w:t>
            </w:r>
            <w:proofErr w:type="spellEnd"/>
          </w:p>
        </w:tc>
        <w:tc>
          <w:tcPr>
            <w:tcW w:w="806" w:type="dxa"/>
            <w:tcBorders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096" w:type="dxa"/>
            <w:tcBorders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0.29</w:t>
            </w:r>
          </w:p>
        </w:tc>
        <w:tc>
          <w:tcPr>
            <w:tcW w:w="1096" w:type="dxa"/>
            <w:tcBorders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096" w:type="dxa"/>
            <w:tcBorders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  <w:tc>
          <w:tcPr>
            <w:tcW w:w="1096" w:type="dxa"/>
            <w:tcBorders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096" w:type="dxa"/>
            <w:tcBorders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096" w:type="dxa"/>
            <w:tcBorders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0.03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Frontal_Inf_Orb_L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-0.04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Frontal_Inf_Tri_L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0.01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Frontal_Sup_Medial_L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0.00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Insula_L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0.02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Parietal_Inf_L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Precuneus_L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0.01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Fusiform_L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0.62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0.45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0.17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Hippocampus_L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0.01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ParaHippocampal_L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0.01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Temporal_Mid_L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0.63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0.47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0.00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Cuneus_L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Occipital_Inf_L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0.46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Occipital_Mid_L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0.65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Amygdala_L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0.02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Thal_L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Frontal_Inf_Oper_R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0.03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Frontal_Inf_Orb_R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0.00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Frontal_Inf_Tri_R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0.02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Frontal_Sup_Medial_R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-0.01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Insula_R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0.02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Parietal_Inf_R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Precuneus_R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Fusiform_R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0.69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Hippocampus_R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0.02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ParaHippocampal_R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0.01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Temporal_Mid_R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0.73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0.64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0.00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Cuneus_R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0.17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Occipital_Inf_R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0.73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0.15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0.47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Occipital_Mid_R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0.74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Amygdala_R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31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0.02</w:t>
            </w:r>
          </w:p>
        </w:tc>
      </w:tr>
      <w:tr w:rsidR="00B4409D" w:rsidRPr="000037F4" w:rsidTr="00B6702B">
        <w:trPr>
          <w:trHeight w:val="283"/>
        </w:trPr>
        <w:tc>
          <w:tcPr>
            <w:tcW w:w="191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Thal_R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32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0.31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0.17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B4409D" w:rsidRPr="00B67D78" w:rsidRDefault="00B4409D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0.03</w:t>
            </w:r>
          </w:p>
        </w:tc>
      </w:tr>
    </w:tbl>
    <w:p w:rsidR="00B4409D" w:rsidRDefault="00B4409D" w:rsidP="008B2893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</w:pPr>
    </w:p>
    <w:p w:rsidR="0090193E" w:rsidRDefault="0090193E" w:rsidP="008B2893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</w:pPr>
    </w:p>
    <w:p w:rsidR="0090193E" w:rsidRDefault="0090193E" w:rsidP="008B2893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</w:pPr>
    </w:p>
    <w:p w:rsidR="0090193E" w:rsidRPr="00626DFC" w:rsidRDefault="0090193E" w:rsidP="0090193E">
      <w:pPr>
        <w:pStyle w:val="NormaleWeb"/>
        <w:spacing w:line="360" w:lineRule="auto"/>
        <w:jc w:val="both"/>
      </w:pPr>
      <w:r w:rsidRPr="00CA33C2">
        <w:rPr>
          <w:rFonts w:eastAsiaTheme="majorEastAsia"/>
          <w:color w:val="000000" w:themeColor="text1"/>
          <w:sz w:val="22"/>
          <w:szCs w:val="22"/>
        </w:rPr>
        <w:t xml:space="preserve">Figure </w:t>
      </w:r>
      <w:r>
        <w:rPr>
          <w:rFonts w:eastAsiaTheme="majorEastAsia"/>
          <w:color w:val="000000" w:themeColor="text1"/>
          <w:sz w:val="22"/>
          <w:szCs w:val="22"/>
        </w:rPr>
        <w:t>S2</w:t>
      </w:r>
      <w:r w:rsidRPr="00CA33C2">
        <w:rPr>
          <w:rFonts w:eastAsiaTheme="majorEastAsia"/>
          <w:color w:val="000000" w:themeColor="text1"/>
          <w:sz w:val="22"/>
          <w:szCs w:val="22"/>
        </w:rPr>
        <w:t xml:space="preserve"> represent</w:t>
      </w:r>
      <w:r>
        <w:rPr>
          <w:rFonts w:eastAsiaTheme="majorEastAsia"/>
          <w:color w:val="000000" w:themeColor="text1"/>
          <w:sz w:val="22"/>
          <w:szCs w:val="22"/>
        </w:rPr>
        <w:t>s</w:t>
      </w:r>
      <w:r w:rsidRPr="00CA33C2">
        <w:rPr>
          <w:rFonts w:eastAsiaTheme="majorEastAsia"/>
          <w:color w:val="000000" w:themeColor="text1"/>
          <w:sz w:val="22"/>
          <w:szCs w:val="22"/>
        </w:rPr>
        <w:t xml:space="preserve"> the bar charts of ROIs showing differences </w:t>
      </w:r>
      <w:r w:rsidR="00B6702B">
        <w:rPr>
          <w:rFonts w:eastAsiaTheme="majorEastAsia"/>
          <w:color w:val="000000" w:themeColor="text1"/>
          <w:sz w:val="22"/>
          <w:szCs w:val="22"/>
        </w:rPr>
        <w:t>above</w:t>
      </w:r>
      <w:r w:rsidRPr="00CA33C2">
        <w:rPr>
          <w:rFonts w:eastAsiaTheme="majorEastAsia"/>
          <w:color w:val="000000" w:themeColor="text1"/>
          <w:sz w:val="22"/>
          <w:szCs w:val="22"/>
        </w:rPr>
        <w:t xml:space="preserve"> the 75° percentile considering peak and mean values derived from the </w:t>
      </w:r>
      <m:oMath>
        <m:sSub>
          <m:sSubPr>
            <m:ctrlPr>
              <w:rPr>
                <w:rFonts w:ascii="Cambria Math" w:eastAsiaTheme="majorEastAsia" w:hAnsi="Cambria Math"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eastAsiaTheme="majorEastAsia" w:hAnsi="Cambria Math"/>
                <w:color w:val="000000" w:themeColor="text1"/>
                <w:sz w:val="22"/>
                <w:szCs w:val="22"/>
              </w:rPr>
              <m:t>OM</m:t>
            </m:r>
          </m:e>
          <m:sub>
            <m:r>
              <w:rPr>
                <w:rFonts w:ascii="Cambria Math" w:eastAsiaTheme="majorEastAsia" w:hAnsi="Cambria Math"/>
                <w:color w:val="000000" w:themeColor="text1"/>
                <w:sz w:val="22"/>
                <w:szCs w:val="22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/>
                <w:color w:val="000000" w:themeColor="text1"/>
                <w:sz w:val="22"/>
                <w:szCs w:val="22"/>
              </w:rPr>
              <m:t>-</m:t>
            </m:r>
            <m:r>
              <w:rPr>
                <w:rFonts w:ascii="Cambria Math" w:eastAsiaTheme="majorEastAsia" w:hAnsi="Cambria Math"/>
                <w:color w:val="000000" w:themeColor="text1"/>
                <w:sz w:val="22"/>
                <w:szCs w:val="22"/>
              </w:rPr>
              <m:t>w</m:t>
            </m:r>
          </m:sub>
        </m:sSub>
      </m:oMath>
      <w:r w:rsidRPr="00CA33C2">
        <w:rPr>
          <w:rFonts w:eastAsiaTheme="majorEastAsia"/>
          <w:color w:val="000000" w:themeColor="text1"/>
          <w:sz w:val="22"/>
          <w:szCs w:val="22"/>
        </w:rPr>
        <w:t xml:space="preserve"> </w:t>
      </w:r>
      <w:r>
        <w:rPr>
          <w:rFonts w:eastAsiaTheme="majorEastAsia"/>
          <w:color w:val="000000" w:themeColor="text1"/>
          <w:sz w:val="22"/>
          <w:szCs w:val="22"/>
        </w:rPr>
        <w:t>of the positive emotion</w:t>
      </w:r>
      <w:r w:rsidRPr="00CA33C2">
        <w:rPr>
          <w:rFonts w:eastAsiaTheme="majorEastAsia"/>
          <w:color w:val="000000" w:themeColor="text1"/>
          <w:sz w:val="22"/>
          <w:szCs w:val="22"/>
        </w:rPr>
        <w:t xml:space="preserve"> contrast in the </w:t>
      </w:r>
      <w:r>
        <w:rPr>
          <w:rFonts w:eastAsiaTheme="majorEastAsia"/>
          <w:color w:val="000000" w:themeColor="text1"/>
          <w:sz w:val="22"/>
          <w:szCs w:val="22"/>
        </w:rPr>
        <w:t>1</w:t>
      </w:r>
      <w:r w:rsidRPr="0090193E">
        <w:rPr>
          <w:rFonts w:eastAsiaTheme="majorEastAsia"/>
          <w:color w:val="000000" w:themeColor="text1"/>
          <w:sz w:val="22"/>
          <w:szCs w:val="22"/>
          <w:vertAlign w:val="superscript"/>
        </w:rPr>
        <w:t>st</w:t>
      </w:r>
      <w:r w:rsidRPr="00CA33C2">
        <w:rPr>
          <w:rFonts w:eastAsiaTheme="majorEastAsia"/>
          <w:color w:val="000000" w:themeColor="text1"/>
          <w:sz w:val="22"/>
          <w:szCs w:val="22"/>
        </w:rPr>
        <w:t xml:space="preserve"> and in the </w:t>
      </w:r>
      <w:r>
        <w:rPr>
          <w:rFonts w:eastAsiaTheme="majorEastAsia"/>
          <w:color w:val="000000" w:themeColor="text1"/>
          <w:sz w:val="22"/>
          <w:szCs w:val="22"/>
        </w:rPr>
        <w:t>2</w:t>
      </w:r>
      <w:r w:rsidRPr="0090193E">
        <w:rPr>
          <w:rFonts w:eastAsiaTheme="majorEastAsia"/>
          <w:color w:val="000000" w:themeColor="text1"/>
          <w:sz w:val="22"/>
          <w:szCs w:val="22"/>
          <w:vertAlign w:val="superscript"/>
        </w:rPr>
        <w:t>nd</w:t>
      </w:r>
      <w:r w:rsidRPr="00CA33C2">
        <w:rPr>
          <w:rFonts w:eastAsiaTheme="majorEastAsia"/>
          <w:color w:val="000000" w:themeColor="text1"/>
          <w:sz w:val="22"/>
          <w:szCs w:val="22"/>
        </w:rPr>
        <w:t xml:space="preserve"> scans in the control group.</w:t>
      </w:r>
      <w:r>
        <w:rPr>
          <w:noProof/>
        </w:rPr>
        <w:drawing>
          <wp:inline distT="0" distB="0" distL="0" distR="0" wp14:anchorId="6177F5E8" wp14:editId="5221AEDB">
            <wp:extent cx="5731510" cy="1790065"/>
            <wp:effectExtent l="0" t="0" r="254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c_positive_histograms_v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3E" w:rsidRDefault="0090193E" w:rsidP="0090193E">
      <w:pPr>
        <w:spacing w:line="360" w:lineRule="auto"/>
        <w:jc w:val="both"/>
        <w:rPr>
          <w:rFonts w:ascii="Times New Roman" w:hAnsi="Times New Roman" w:cs="Times New Roman"/>
          <w:iCs/>
          <w:sz w:val="18"/>
          <w:szCs w:val="18"/>
          <w:lang w:val="en-GB"/>
        </w:rPr>
      </w:pPr>
      <w:r w:rsidRPr="00B377C8"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Figure </w:t>
      </w:r>
      <w:r w:rsidR="009E20AD">
        <w:rPr>
          <w:rFonts w:ascii="Times New Roman" w:hAnsi="Times New Roman" w:cs="Times New Roman"/>
          <w:b/>
          <w:iCs/>
          <w:sz w:val="18"/>
          <w:szCs w:val="18"/>
          <w:lang w:val="en-GB"/>
        </w:rPr>
        <w:t>S2</w:t>
      </w:r>
      <w:r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. 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>The bar charts</w:t>
      </w:r>
      <w:r w:rsidRPr="0089210F"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represent the consistency peak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(left panel) and average (right panel)</w:t>
      </w:r>
      <w:r w:rsidRPr="0089210F"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values 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extracted from the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w</m:t>
            </m:r>
          </m:sub>
        </m:sSub>
      </m:oMath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map of positive stimuli for each ROIs of the 1</w:t>
      </w:r>
      <w:r w:rsidRPr="0089210F">
        <w:rPr>
          <w:rFonts w:ascii="Times New Roman" w:hAnsi="Times New Roman" w:cs="Times New Roman"/>
          <w:iCs/>
          <w:sz w:val="18"/>
          <w:szCs w:val="18"/>
          <w:vertAlign w:val="superscript"/>
          <w:lang w:val="en-GB"/>
        </w:rPr>
        <w:t>st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and 2</w:t>
      </w:r>
      <w:r w:rsidRPr="0089210F">
        <w:rPr>
          <w:rFonts w:ascii="Times New Roman" w:hAnsi="Times New Roman" w:cs="Times New Roman"/>
          <w:iCs/>
          <w:sz w:val="18"/>
          <w:szCs w:val="18"/>
          <w:vertAlign w:val="superscript"/>
          <w:lang w:val="en-GB"/>
        </w:rPr>
        <w:t>nd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scans of the healthy control group. Legend: L = Left; R = Right; Mid = Middle; </w:t>
      </w:r>
      <w:proofErr w:type="spellStart"/>
      <w:r>
        <w:rPr>
          <w:rFonts w:ascii="Times New Roman" w:hAnsi="Times New Roman" w:cs="Times New Roman"/>
          <w:iCs/>
          <w:sz w:val="18"/>
          <w:szCs w:val="18"/>
          <w:lang w:val="en-GB"/>
        </w:rPr>
        <w:t>Inf</w:t>
      </w:r>
      <w:proofErr w:type="spellEnd"/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= Inferior; </w:t>
      </w:r>
      <w:proofErr w:type="spellStart"/>
      <w:r>
        <w:rPr>
          <w:rFonts w:ascii="Times New Roman" w:hAnsi="Times New Roman" w:cs="Times New Roman"/>
          <w:iCs/>
          <w:sz w:val="18"/>
          <w:szCs w:val="18"/>
          <w:lang w:val="en-GB"/>
        </w:rPr>
        <w:t>Thal</w:t>
      </w:r>
      <w:proofErr w:type="spellEnd"/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= Thalamus.</w:t>
      </w:r>
    </w:p>
    <w:p w:rsidR="00FD5E9F" w:rsidRDefault="00FD5E9F" w:rsidP="00FD5E9F">
      <w:pPr>
        <w:pStyle w:val="Titolo4"/>
        <w:spacing w:after="240"/>
        <w:jc w:val="both"/>
        <w:rPr>
          <w:rFonts w:ascii="Times New Roman" w:eastAsiaTheme="minorHAnsi" w:hAnsi="Times New Roman" w:cs="Times New Roman"/>
          <w:b/>
          <w:i w:val="0"/>
          <w:iCs w:val="0"/>
          <w:color w:val="auto"/>
          <w:lang w:val="en-GB"/>
        </w:rPr>
      </w:pPr>
      <w:r>
        <w:rPr>
          <w:rFonts w:ascii="Times New Roman" w:eastAsiaTheme="minorHAnsi" w:hAnsi="Times New Roman" w:cs="Times New Roman"/>
          <w:b/>
          <w:i w:val="0"/>
          <w:iCs w:val="0"/>
          <w:color w:val="auto"/>
          <w:lang w:val="en-GB"/>
        </w:rPr>
        <w:t>People with Multiple Sclerosis</w:t>
      </w:r>
    </w:p>
    <w:p w:rsidR="00D62D71" w:rsidRPr="00D62D71" w:rsidRDefault="00D62D71" w:rsidP="00D62D71">
      <w:pPr>
        <w:spacing w:line="360" w:lineRule="auto"/>
        <w:jc w:val="both"/>
        <w:rPr>
          <w:lang w:val="en-GB"/>
        </w:rPr>
      </w:pPr>
      <w:r w:rsidRPr="00BB589E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The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w</m:t>
            </m:r>
          </m:sub>
        </m:sSub>
      </m:oMath>
      <w:r w:rsidRPr="00BB589E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pre-rehabilitation resulted in 0.59 peak consistency for positive 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>emotion</w:t>
      </w:r>
      <w:r w:rsidRPr="00BB589E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contrast. The resulting consistency peak value post-rehabilitation w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>as 0.78.</w:t>
      </w:r>
    </w:p>
    <w:p w:rsidR="00255027" w:rsidRDefault="00255027" w:rsidP="00255027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Figure S3 shows the comparison between GLM group statistics and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w</m:t>
            </m:r>
          </m:sub>
        </m:sSub>
      </m:oMath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compared to the GLM standard group results for the pre-rehabilitation</w:t>
      </w:r>
      <w:r w:rsidR="00CA04BA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scan of positive stimuli 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>contrast.</w:t>
      </w:r>
    </w:p>
    <w:p w:rsidR="00255027" w:rsidRDefault="00255027" w:rsidP="00255027">
      <w:pPr>
        <w:spacing w:line="360" w:lineRule="auto"/>
        <w:jc w:val="center"/>
        <w:rPr>
          <w:rFonts w:ascii="Times New Roman" w:hAnsi="Times New Roman" w:cs="Times New Roman"/>
          <w:iCs/>
          <w:sz w:val="18"/>
          <w:szCs w:val="18"/>
          <w:lang w:val="en-GB"/>
        </w:rPr>
      </w:pPr>
      <w:r>
        <w:rPr>
          <w:rFonts w:ascii="Times New Roman" w:eastAsiaTheme="majorEastAsia" w:hAnsi="Times New Roman" w:cs="Times New Roman"/>
          <w:noProof/>
          <w:color w:val="000000" w:themeColor="text1"/>
          <w:lang w:val="en-GB" w:eastAsia="en-GB"/>
        </w:rPr>
        <w:drawing>
          <wp:inline distT="0" distB="0" distL="0" distR="0" wp14:anchorId="619FAAA3" wp14:editId="4562103F">
            <wp:extent cx="4797069" cy="3960000"/>
            <wp:effectExtent l="0" t="0" r="3810" b="254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_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0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027" w:rsidRPr="00B377C8" w:rsidRDefault="00255027" w:rsidP="00255027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</w:pPr>
      <w:r w:rsidRPr="00B377C8"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Figure </w:t>
      </w:r>
      <w:r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S3. </w:t>
      </w:r>
      <w:r w:rsidRPr="00F753DB">
        <w:rPr>
          <w:rFonts w:ascii="Times New Roman" w:hAnsi="Times New Roman" w:cs="Times New Roman"/>
          <w:iCs/>
          <w:sz w:val="18"/>
          <w:szCs w:val="18"/>
          <w:lang w:val="en-GB"/>
        </w:rPr>
        <w:t xml:space="preserve">Comparison 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>between</w:t>
      </w:r>
      <w:r w:rsidRPr="00F753DB"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>mean group effects spatial maps (top-panel) derived from GLM standard statistic (</w:t>
      </w:r>
      <w:proofErr w:type="spellStart"/>
      <w:r>
        <w:rPr>
          <w:rFonts w:ascii="Times New Roman" w:hAnsi="Times New Roman" w:cs="Times New Roman"/>
          <w:iCs/>
          <w:sz w:val="18"/>
          <w:szCs w:val="18"/>
          <w:lang w:val="en-GB"/>
        </w:rPr>
        <w:t>p</w:t>
      </w:r>
      <w:r w:rsidRPr="00F753DB">
        <w:rPr>
          <w:rFonts w:ascii="Times New Roman" w:hAnsi="Times New Roman" w:cs="Times New Roman"/>
          <w:iCs/>
          <w:sz w:val="18"/>
          <w:szCs w:val="18"/>
          <w:vertAlign w:val="subscript"/>
          <w:lang w:val="en-GB"/>
        </w:rPr>
        <w:t>FWE</w:t>
      </w:r>
      <w:proofErr w:type="spellEnd"/>
      <w:r>
        <w:rPr>
          <w:rFonts w:ascii="Times New Roman" w:hAnsi="Times New Roman" w:cs="Times New Roman"/>
          <w:iCs/>
          <w:sz w:val="18"/>
          <w:szCs w:val="18"/>
          <w:lang w:val="en-GB"/>
        </w:rPr>
        <w:t>&lt;0.05) and consistency maps (bottom-panel) threshold weighted overlap maps (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w</m:t>
            </m:r>
          </m:sub>
        </m:sSub>
      </m:oMath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) derived according to 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fldChar w:fldCharType="begin"/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instrText xml:space="preserve"> ADDIN EN.CITE &lt;EndNote&gt;&lt;Cite&gt;&lt;Author&gt;Seghier&lt;/Author&gt;&lt;Year&gt;2016&lt;/Year&gt;&lt;IDText&gt;Visualising inter-subject variability in fMRI using threshold-weighted overlap maps&lt;/IDText&gt;&lt;DisplayText&gt;(Seghier &amp;amp; Price, 2016)&lt;/DisplayText&gt;&lt;record&gt;&lt;dates&gt;&lt;pub-dates&gt;&lt;date&gt;Feb 5&lt;/date&gt;&lt;/pub-dates&gt;&lt;year&gt;2016&lt;/year&gt;&lt;/dates&gt;&lt;keywords&gt;&lt;keyword&gt;Adult&lt;/keyword&gt;&lt;keyword&gt;Brain/*diagnostic imaging&lt;/keyword&gt;&lt;keyword&gt;*Brain Mapping&lt;/keyword&gt;&lt;keyword&gt;Female&lt;/keyword&gt;&lt;keyword&gt;Hand/physiology&lt;/keyword&gt;&lt;keyword&gt;Healthy Volunteers&lt;/keyword&gt;&lt;keyword&gt;Humans&lt;/keyword&gt;&lt;keyword&gt;*Magnetic Resonance Imaging&lt;/keyword&gt;&lt;keyword&gt;Male&lt;/keyword&gt;&lt;keyword&gt;Middle Aged&lt;/keyword&gt;&lt;keyword&gt;Movement&lt;/keyword&gt;&lt;/keywords&gt;&lt;isbn&gt;2045-2322&lt;/isbn&gt;&lt;custom2&gt;PMC4742862&lt;/custom2&gt;&lt;titles&gt;&lt;title&gt;Visualising inter-subject variability in fMRI using threshold-weighted overlap maps&lt;/title&gt;&lt;secondary-title&gt;Sci Rep&lt;/secondary-title&gt;&lt;/titles&gt;&lt;pages&gt;20170&lt;/pages&gt;&lt;contributors&gt;&lt;authors&gt;&lt;author&gt;Seghier, M. L.&lt;/author&gt;&lt;author&gt;Price, C. J.&lt;/author&gt;&lt;/authors&gt;&lt;/contributors&gt;&lt;edition&gt;20160205&lt;/edition&gt;&lt;language&gt;eng&lt;/language&gt;&lt;added-date format="utc"&gt;1708690306&lt;/added-date&gt;&lt;ref-type name="Journal Article"&gt;17&lt;/ref-type&gt;&lt;auth-address&gt;Wellcome Trust Centre for Neuroimaging, Institute of Neurology, UCL, London UK.&amp;#xD;Cognitive Neuroimaging Unit, Emirates College for Advanced Education (ECAE), P.O Box 126662, Abu Dhabi, UAE.&lt;/auth-address&gt;&lt;remote-database-provider&gt;NLM&lt;/remote-database-provider&gt;&lt;rec-number&gt;339&lt;/rec-number&gt;&lt;last-updated-date format="utc"&gt;1708690306&lt;/last-updated-date&gt;&lt;accession-num&gt;26846561&lt;/accession-num&gt;&lt;electronic-resource-num&gt;10.1038/srep20170&lt;/electronic-resource-num&gt;&lt;volume&gt;6&lt;/volume&gt;&lt;/record&gt;&lt;/Cite&gt;&lt;/EndNote&gt;</w:instrTex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fldChar w:fldCharType="separate"/>
      </w:r>
      <w:r>
        <w:rPr>
          <w:rFonts w:ascii="Times New Roman" w:hAnsi="Times New Roman" w:cs="Times New Roman"/>
          <w:iCs/>
          <w:noProof/>
          <w:sz w:val="18"/>
          <w:szCs w:val="18"/>
          <w:lang w:val="en-GB"/>
        </w:rPr>
        <w:t>(Seghier &amp; Price, 2016)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fldChar w:fldCharType="end"/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for the positive stimuli contrast of the multiple sclerosis cohort. The maps are color-coded according to the t-values and consistency values for the GLM derived maps and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w</m:t>
            </m:r>
          </m:sub>
        </m:sSub>
      </m:oMath>
      <w:r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</w:t>
      </w:r>
      <w:r w:rsidRPr="00653F33">
        <w:rPr>
          <w:rFonts w:ascii="Times New Roman" w:hAnsi="Times New Roman" w:cs="Times New Roman"/>
          <w:iCs/>
          <w:sz w:val="18"/>
          <w:szCs w:val="18"/>
          <w:lang w:val="en-GB"/>
        </w:rPr>
        <w:t>respectively.</w:t>
      </w:r>
    </w:p>
    <w:p w:rsidR="000647AA" w:rsidRDefault="000647AA" w:rsidP="000647AA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 w:rsidRPr="00F304F2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 xml:space="preserve">Table </w:t>
      </w:r>
      <w:r w:rsidR="00E806D9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>S</w:t>
      </w:r>
      <w:r w:rsidR="005E6DA3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>2</w:t>
      </w:r>
      <w:r w:rsidRPr="00F304F2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>.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Peak and Average Consistency values obtained from the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w</m:t>
            </m:r>
          </m:sub>
        </m:sSub>
      </m:oMath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</w:t>
      </w:r>
      <w:r w:rsidRPr="0019782A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of the positive stimuli in 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MS</w:t>
      </w:r>
      <w:r w:rsidRPr="0019782A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group are reported. The delta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values</w:t>
      </w:r>
      <w:r w:rsidRPr="0019782A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computed as differences between 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pre</w:t>
      </w:r>
      <w:r w:rsidRPr="0019782A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and 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post</w:t>
      </w:r>
      <w:r w:rsidRPr="0019782A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scan are also reported for peak and average consistency. Delta values highlighted in bold refers to differences equal or above the 75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°</w:t>
      </w:r>
      <w:r w:rsidRPr="0019782A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percentile.</w:t>
      </w:r>
    </w:p>
    <w:tbl>
      <w:tblPr>
        <w:tblStyle w:val="Grigliatabella"/>
        <w:tblW w:w="9606" w:type="dxa"/>
        <w:tblLook w:val="04A0" w:firstRow="1" w:lastRow="0" w:firstColumn="1" w:lastColumn="0" w:noHBand="0" w:noVBand="1"/>
      </w:tblPr>
      <w:tblGrid>
        <w:gridCol w:w="1728"/>
        <w:gridCol w:w="816"/>
        <w:gridCol w:w="1177"/>
        <w:gridCol w:w="1177"/>
        <w:gridCol w:w="1177"/>
        <w:gridCol w:w="1177"/>
        <w:gridCol w:w="1177"/>
        <w:gridCol w:w="1177"/>
      </w:tblGrid>
      <w:tr w:rsidR="000647AA" w:rsidRPr="00B80B10" w:rsidTr="00B6702B">
        <w:tc>
          <w:tcPr>
            <w:tcW w:w="17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ROIs Labels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ROIs Number</w:t>
            </w:r>
          </w:p>
        </w:tc>
        <w:tc>
          <w:tcPr>
            <w:tcW w:w="11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Peak Consistency 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Scan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pre</w:t>
            </w:r>
          </w:p>
        </w:tc>
        <w:tc>
          <w:tcPr>
            <w:tcW w:w="11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Peak Consistency 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Scan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post</w:t>
            </w:r>
          </w:p>
        </w:tc>
        <w:tc>
          <w:tcPr>
            <w:tcW w:w="11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D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elta Peak Consistency (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Scan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pre – 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Scan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post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11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Average Consistency 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Scan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pre</w:t>
            </w:r>
          </w:p>
        </w:tc>
        <w:tc>
          <w:tcPr>
            <w:tcW w:w="11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Average Consistency 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Scan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post</w:t>
            </w:r>
          </w:p>
        </w:tc>
        <w:tc>
          <w:tcPr>
            <w:tcW w:w="11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D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elta Average Consistency (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Scan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pre – 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Scan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post</w:t>
            </w:r>
            <w:r w:rsidRPr="00B67D78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Frontal_Inf_Oper_L</w:t>
            </w:r>
            <w:proofErr w:type="spellEnd"/>
          </w:p>
        </w:tc>
        <w:tc>
          <w:tcPr>
            <w:tcW w:w="816" w:type="dxa"/>
            <w:tcBorders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0.38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0.28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0.01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Frontal_Inf_Orb_L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Frontal_Inf_Tri_L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Frontal_Sup_Medial_L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-0.04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Insula_L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Parietal_Inf_L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-0.01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Precuneus_L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-0.08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Fusiform_L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-0.10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Hippocampus_L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-0.05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ParaHippocampal_L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Temporal_Mid_L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0.42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-0.05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Cuneus_L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-0.06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Occipital_Inf_L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-0.18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Occipital_Mid_L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0.63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-0.13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Amygdala_L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-0.03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Thal_L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Frontal_Inf_Oper_R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0.01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Frontal_Inf_Orb_R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-0.01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Frontal_Inf_Tri_R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19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Frontal_Sup_Medial_R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Insula_R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-0.03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Parietal_Inf_R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0.41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0.00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Precuneus_R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-0.04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Fusiform_R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-0.08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Hippocampus_R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-0.06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ParaHippocampal_R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-0.02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Temporal_Mid_R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0.78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-0.04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Cuneus_R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0.45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-0.14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Occipital_Inf_R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29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0.74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-0.24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-0.19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Occipital_Mid_R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30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0.55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0.72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-0.18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0.30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-0.11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Amygdala_R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31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-0.06</w:t>
            </w:r>
          </w:p>
        </w:tc>
      </w:tr>
      <w:tr w:rsidR="000647AA" w:rsidRPr="000037F4" w:rsidTr="00B6702B">
        <w:trPr>
          <w:trHeight w:val="283"/>
        </w:trPr>
        <w:tc>
          <w:tcPr>
            <w:tcW w:w="1728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Thal_R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B67D78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32</w:t>
            </w:r>
          </w:p>
        </w:tc>
        <w:tc>
          <w:tcPr>
            <w:tcW w:w="117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0.11</w:t>
            </w:r>
          </w:p>
        </w:tc>
        <w:tc>
          <w:tcPr>
            <w:tcW w:w="117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0.23</w:t>
            </w:r>
          </w:p>
        </w:tc>
        <w:tc>
          <w:tcPr>
            <w:tcW w:w="117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647AA" w:rsidRPr="00974F9A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-0.12</w:t>
            </w:r>
          </w:p>
        </w:tc>
        <w:tc>
          <w:tcPr>
            <w:tcW w:w="117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0.04</w:t>
            </w:r>
          </w:p>
        </w:tc>
        <w:tc>
          <w:tcPr>
            <w:tcW w:w="117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0.06</w:t>
            </w:r>
          </w:p>
        </w:tc>
        <w:tc>
          <w:tcPr>
            <w:tcW w:w="117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0647AA" w:rsidRPr="00B67D78" w:rsidRDefault="000647AA" w:rsidP="00B6702B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 w:rsidRPr="00974F9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-0.01</w:t>
            </w:r>
          </w:p>
        </w:tc>
      </w:tr>
    </w:tbl>
    <w:p w:rsidR="0090193E" w:rsidRPr="00F753DB" w:rsidRDefault="0090193E" w:rsidP="008B2893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</w:pPr>
    </w:p>
    <w:p w:rsidR="008B2893" w:rsidRDefault="008B2893" w:rsidP="008B2893">
      <w:pPr>
        <w:spacing w:line="360" w:lineRule="auto"/>
        <w:jc w:val="center"/>
        <w:rPr>
          <w:rFonts w:ascii="Times New Roman" w:eastAsiaTheme="majorEastAsia" w:hAnsi="Times New Roman" w:cs="Times New Roman"/>
          <w:color w:val="000000" w:themeColor="text1"/>
          <w:lang w:val="en-GB"/>
        </w:rPr>
      </w:pPr>
    </w:p>
    <w:p w:rsidR="000647AA" w:rsidRDefault="000647AA" w:rsidP="000647AA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>
        <w:rPr>
          <w:rFonts w:ascii="Times New Roman" w:eastAsiaTheme="majorEastAsia" w:hAnsi="Times New Roman" w:cs="Times New Roman"/>
          <w:noProof/>
          <w:color w:val="000000" w:themeColor="text1"/>
          <w:lang w:val="en-GB" w:eastAsia="en-GB"/>
        </w:rPr>
        <w:drawing>
          <wp:inline distT="0" distB="0" distL="0" distR="0" wp14:anchorId="06B359AC" wp14:editId="2983C48C">
            <wp:extent cx="5731510" cy="1790065"/>
            <wp:effectExtent l="0" t="0" r="254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_positive_histograms_v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AA" w:rsidRDefault="000647AA" w:rsidP="000647AA">
      <w:pPr>
        <w:spacing w:line="360" w:lineRule="auto"/>
        <w:jc w:val="both"/>
        <w:rPr>
          <w:rFonts w:ascii="Times New Roman" w:hAnsi="Times New Roman" w:cs="Times New Roman"/>
          <w:iCs/>
          <w:sz w:val="18"/>
          <w:szCs w:val="18"/>
          <w:lang w:val="en-GB"/>
        </w:rPr>
      </w:pPr>
      <w:r w:rsidRPr="00B377C8"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Figure </w:t>
      </w:r>
      <w:r w:rsidR="00A73D4D">
        <w:rPr>
          <w:rFonts w:ascii="Times New Roman" w:hAnsi="Times New Roman" w:cs="Times New Roman"/>
          <w:b/>
          <w:iCs/>
          <w:sz w:val="18"/>
          <w:szCs w:val="18"/>
          <w:lang w:val="en-GB"/>
        </w:rPr>
        <w:t>S4</w:t>
      </w:r>
      <w:r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. 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>The bar charts</w:t>
      </w:r>
      <w:r w:rsidRPr="0089210F"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represent the consistency peak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(left panel) and average (right panel)</w:t>
      </w:r>
      <w:r w:rsidRPr="0089210F"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values 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extracted from the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w</m:t>
            </m:r>
          </m:sub>
        </m:sSub>
      </m:oMath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map of positive stimuli for each ROIs of the pre and post-rehabilitation scans of the </w:t>
      </w:r>
      <w:proofErr w:type="spellStart"/>
      <w:r>
        <w:rPr>
          <w:rFonts w:ascii="Times New Roman" w:hAnsi="Times New Roman" w:cs="Times New Roman"/>
          <w:iCs/>
          <w:sz w:val="18"/>
          <w:szCs w:val="18"/>
          <w:lang w:val="en-GB"/>
        </w:rPr>
        <w:t>pwMS</w:t>
      </w:r>
      <w:proofErr w:type="spellEnd"/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. Legend: L = Left; R = Right; Mid = Middle; </w:t>
      </w:r>
      <w:proofErr w:type="spellStart"/>
      <w:r>
        <w:rPr>
          <w:rFonts w:ascii="Times New Roman" w:hAnsi="Times New Roman" w:cs="Times New Roman"/>
          <w:iCs/>
          <w:sz w:val="18"/>
          <w:szCs w:val="18"/>
          <w:lang w:val="en-GB"/>
        </w:rPr>
        <w:t>Inf</w:t>
      </w:r>
      <w:proofErr w:type="spellEnd"/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= Inferior; </w:t>
      </w:r>
      <w:proofErr w:type="spellStart"/>
      <w:r>
        <w:rPr>
          <w:rFonts w:ascii="Times New Roman" w:hAnsi="Times New Roman" w:cs="Times New Roman"/>
          <w:iCs/>
          <w:sz w:val="18"/>
          <w:szCs w:val="18"/>
          <w:lang w:val="en-GB"/>
        </w:rPr>
        <w:t>Thal</w:t>
      </w:r>
      <w:proofErr w:type="spellEnd"/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= Thalamus.</w:t>
      </w:r>
    </w:p>
    <w:p w:rsidR="00A73D4D" w:rsidRDefault="00A73D4D" w:rsidP="00A73D4D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 w:rsidRPr="00BB589E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The comparison of the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lang w:val="en-GB"/>
              </w:rPr>
              <m:t>w</m:t>
            </m:r>
          </m:sub>
        </m:sSub>
      </m:oMath>
      <w:r w:rsidRPr="00BB589E">
        <w:rPr>
          <w:rFonts w:ascii="Times New Roman" w:eastAsiaTheme="majorEastAsia" w:hAnsi="Times New Roman" w:cs="Times New Roman"/>
          <w:color w:val="000000" w:themeColor="text1"/>
          <w:lang w:val="en-GB"/>
        </w:rPr>
        <w:t>, namely the spatial maps measuring consistency independently from the statistical thresholds pre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>-</w:t>
      </w:r>
      <w:r w:rsidRPr="00BB589E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and post-rehabilitation for the MS group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is</w:t>
      </w:r>
      <w:r w:rsidRPr="00BB589E"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reported in </w:t>
      </w:r>
      <w:r w:rsidRPr="00F256F4">
        <w:rPr>
          <w:rFonts w:ascii="Times New Roman" w:eastAsiaTheme="majorEastAsia" w:hAnsi="Times New Roman" w:cs="Times New Roman"/>
          <w:color w:val="000000" w:themeColor="text1"/>
          <w:lang w:val="en-GB"/>
        </w:rPr>
        <w:t>Figure</w:t>
      </w:r>
      <w:r>
        <w:rPr>
          <w:rFonts w:ascii="Times New Roman" w:eastAsiaTheme="majorEastAsia" w:hAnsi="Times New Roman" w:cs="Times New Roman"/>
          <w:color w:val="000000" w:themeColor="text1"/>
          <w:lang w:val="en-GB"/>
        </w:rPr>
        <w:t xml:space="preserve"> S5</w:t>
      </w:r>
      <w:r w:rsidRPr="00BB589E">
        <w:rPr>
          <w:rFonts w:ascii="Times New Roman" w:eastAsiaTheme="majorEastAsia" w:hAnsi="Times New Roman" w:cs="Times New Roman"/>
          <w:color w:val="000000" w:themeColor="text1"/>
          <w:lang w:val="en-GB"/>
        </w:rPr>
        <w:t>.</w:t>
      </w:r>
    </w:p>
    <w:p w:rsidR="00A73D4D" w:rsidRDefault="00A73D4D" w:rsidP="00A73D4D">
      <w:pPr>
        <w:spacing w:line="360" w:lineRule="auto"/>
        <w:jc w:val="both"/>
        <w:rPr>
          <w:rFonts w:ascii="Times New Roman" w:hAnsi="Times New Roman" w:cs="Times New Roman"/>
          <w:b/>
          <w:iCs/>
          <w:sz w:val="18"/>
          <w:szCs w:val="18"/>
          <w:lang w:val="en-GB"/>
        </w:rPr>
      </w:pPr>
      <w:bookmarkStart w:id="0" w:name="_GoBack"/>
      <w:r>
        <w:rPr>
          <w:rFonts w:ascii="Times New Roman" w:hAnsi="Times New Roman" w:cs="Times New Roman"/>
          <w:b/>
          <w:iCs/>
          <w:noProof/>
          <w:sz w:val="18"/>
          <w:szCs w:val="18"/>
          <w:lang w:val="en-GB" w:eastAsia="en-GB"/>
        </w:rPr>
        <w:drawing>
          <wp:inline distT="0" distB="0" distL="0" distR="0" wp14:anchorId="64B55596" wp14:editId="1BA14EBC">
            <wp:extent cx="5731510" cy="2411730"/>
            <wp:effectExtent l="0" t="0" r="254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_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3D4D" w:rsidRDefault="00A73D4D" w:rsidP="00A73D4D">
      <w:pPr>
        <w:spacing w:line="360" w:lineRule="auto"/>
        <w:jc w:val="both"/>
        <w:rPr>
          <w:rFonts w:ascii="Times New Roman" w:hAnsi="Times New Roman" w:cs="Times New Roman"/>
          <w:iCs/>
          <w:sz w:val="18"/>
          <w:szCs w:val="18"/>
          <w:lang w:val="en-GB"/>
        </w:rPr>
      </w:pPr>
      <w:r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Figure S5. </w:t>
      </w:r>
      <w:r w:rsidRPr="00297C20">
        <w:rPr>
          <w:rFonts w:ascii="Times New Roman" w:hAnsi="Times New Roman" w:cs="Times New Roman"/>
          <w:iCs/>
          <w:sz w:val="18"/>
          <w:szCs w:val="18"/>
          <w:lang w:val="en-GB"/>
        </w:rPr>
        <w:t>Comparison between</w:t>
      </w:r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pre (top-panel) and post (bottom-panel) rehabilitation </w:t>
      </w:r>
      <m:oMath>
        <m:sSub>
          <m:sSubPr>
            <m:ctrl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</m:ctrlPr>
          </m:sSubPr>
          <m:e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OM</m:t>
            </m:r>
          </m:e>
          <m:sub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th</m:t>
            </m:r>
            <m:r>
              <m:rPr>
                <m:sty m:val="p"/>
              </m:r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-</m:t>
            </m:r>
            <m: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w</m:t>
            </m:r>
          </m:sub>
        </m:sSub>
      </m:oMath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consistency maps derived for positive (left) and negative (right) stimuli contrasts in the </w:t>
      </w:r>
      <w:proofErr w:type="spellStart"/>
      <w:r>
        <w:rPr>
          <w:rFonts w:ascii="Times New Roman" w:hAnsi="Times New Roman" w:cs="Times New Roman"/>
          <w:iCs/>
          <w:sz w:val="18"/>
          <w:szCs w:val="18"/>
          <w:lang w:val="en-GB"/>
        </w:rPr>
        <w:t>pwMS</w:t>
      </w:r>
      <w:proofErr w:type="spellEnd"/>
      <w:r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group.</w:t>
      </w:r>
    </w:p>
    <w:p w:rsidR="00E5133A" w:rsidRDefault="00E5133A">
      <w:pPr>
        <w:rPr>
          <w:rFonts w:ascii="Times New Roman" w:hAnsi="Times New Roman" w:cs="Times New Roman"/>
          <w:iCs/>
          <w:sz w:val="18"/>
          <w:szCs w:val="18"/>
          <w:lang w:val="en-GB"/>
        </w:rPr>
      </w:pPr>
      <w:r>
        <w:rPr>
          <w:rFonts w:ascii="Times New Roman" w:hAnsi="Times New Roman" w:cs="Times New Roman"/>
          <w:iCs/>
          <w:sz w:val="18"/>
          <w:szCs w:val="18"/>
          <w:lang w:val="en-GB"/>
        </w:rPr>
        <w:br w:type="page"/>
      </w:r>
    </w:p>
    <w:p w:rsidR="00E5133A" w:rsidRPr="0003274D" w:rsidRDefault="00E5133A" w:rsidP="00A73D4D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</w:pPr>
      <w:r w:rsidRPr="00F304F2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 xml:space="preserve">Table </w:t>
      </w:r>
      <w:r w:rsidR="00B0100C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>S3</w:t>
      </w:r>
      <w:r w:rsidR="00707965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>.</w:t>
      </w:r>
      <w:r w:rsidR="00707965" w:rsidRPr="00382356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Stat</w:t>
      </w:r>
      <w:r w:rsidR="00707965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istical comparison of peak and average</w:t>
      </w:r>
      <w:r w:rsidR="00382356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delta</w:t>
      </w:r>
      <w:r w:rsidR="00707965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values</w:t>
      </w:r>
      <w:r w:rsidR="00382356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between scans</w:t>
      </w:r>
      <w:r w:rsidR="00707965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extracted </w:t>
      </w:r>
      <w:r w:rsidR="003D5C80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across ROIs </w:t>
      </w:r>
      <w:r w:rsidR="00707965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from </w:t>
      </w:r>
      <m:oMath>
        <m:sSub>
          <m:sSubPr>
            <m:ctrlPr>
              <w:rPr>
                <w:rFonts w:ascii="Cambria Math" w:eastAsiaTheme="majorEastAsia" w:hAnsi="Cambria Math" w:cs="Times New Roman"/>
                <w:b/>
                <w:color w:val="000000" w:themeColor="text1"/>
                <w:sz w:val="18"/>
                <w:szCs w:val="18"/>
                <w:lang w:val="en-GB"/>
              </w:rPr>
            </m:ctrlPr>
          </m:sSubPr>
          <m:e>
            <m:r>
              <m:rPr>
                <m:sty m:val="bi"/>
              </m:r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OM</m:t>
            </m:r>
          </m:e>
          <m:sub>
            <m:r>
              <m:rPr>
                <m:sty m:val="bi"/>
              </m:r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th</m:t>
            </m:r>
            <m:r>
              <m:rPr>
                <m:sty m:val="b"/>
              </m:r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-</m:t>
            </m:r>
            <m:r>
              <m:rPr>
                <m:sty m:val="bi"/>
              </m:rPr>
              <w:rPr>
                <w:rFonts w:ascii="Cambria Math" w:eastAsiaTheme="majorEastAsia" w:hAnsi="Cambria Math" w:cs="Times New Roman"/>
                <w:color w:val="000000" w:themeColor="text1"/>
                <w:sz w:val="18"/>
                <w:szCs w:val="18"/>
                <w:lang w:val="en-GB"/>
              </w:rPr>
              <m:t>w</m:t>
            </m:r>
          </m:sub>
        </m:sSub>
      </m:oMath>
      <w:r w:rsidR="0003274D">
        <w:rPr>
          <w:rFonts w:ascii="Times New Roman" w:eastAsiaTheme="majorEastAsia" w:hAnsi="Times New Roman" w:cs="Times New Roman"/>
          <w:b/>
          <w:color w:val="000000" w:themeColor="text1"/>
          <w:sz w:val="18"/>
          <w:szCs w:val="18"/>
          <w:lang w:val="en-GB"/>
        </w:rPr>
        <w:t xml:space="preserve"> </w:t>
      </w:r>
      <w:r w:rsidR="0003274D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derived from </w:t>
      </w:r>
      <w:r w:rsidR="00531CBD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positive emotions contrast</w:t>
      </w:r>
      <w:r w:rsidR="003D5C80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within the HC</w:t>
      </w:r>
      <w:r w:rsidR="00382356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and MS</w:t>
      </w:r>
      <w:r w:rsidR="003D5C80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 xml:space="preserve"> group</w:t>
      </w:r>
      <w:r w:rsidR="00382356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s</w:t>
      </w:r>
      <w:r w:rsidR="0003274D">
        <w:rPr>
          <w:rFonts w:ascii="Times New Roman" w:eastAsiaTheme="majorEastAsia" w:hAnsi="Times New Roman" w:cs="Times New Roman"/>
          <w:color w:val="000000" w:themeColor="text1"/>
          <w:sz w:val="18"/>
          <w:szCs w:val="18"/>
          <w:lang w:val="en-GB"/>
        </w:rPr>
        <w:t>.</w:t>
      </w:r>
    </w:p>
    <w:tbl>
      <w:tblPr>
        <w:tblStyle w:val="Grigliatabella"/>
        <w:tblW w:w="95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381"/>
        <w:gridCol w:w="2381"/>
        <w:gridCol w:w="2381"/>
      </w:tblGrid>
      <w:tr w:rsidR="00D532C0" w:rsidTr="0088184F">
        <w:trPr>
          <w:trHeight w:val="454"/>
        </w:trPr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32C0" w:rsidRPr="00B67D78" w:rsidRDefault="00D532C0" w:rsidP="00D532C0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Stimuli Valence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32C0" w:rsidRPr="00382356" w:rsidRDefault="00D532C0" w:rsidP="00382356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Measure</w:t>
            </w:r>
            <w:r w:rsidR="00382356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between scans</w:t>
            </w: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20726D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(</w:t>
            </w:r>
            <m:oMath>
              <m:sSub>
                <m:sSubPr>
                  <m:ctrlPr>
                    <w:rPr>
                      <w:rFonts w:ascii="Cambria Math" w:eastAsiaTheme="majorEastAsia" w:hAnsi="Cambria Math" w:cs="Times New Roman"/>
                      <w:b/>
                      <w:color w:val="000000" w:themeColor="text1"/>
                      <w:sz w:val="18"/>
                      <w:szCs w:val="18"/>
                      <w:lang w:val="en-GB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ajorEastAsia" w:hAnsi="Cambria Math" w:cs="Times New Roman"/>
                      <w:color w:val="000000" w:themeColor="text1"/>
                      <w:sz w:val="18"/>
                      <w:szCs w:val="18"/>
                      <w:lang w:val="en-GB"/>
                    </w:rPr>
                    <m:t>OM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ajorEastAsia" w:hAnsi="Cambria Math" w:cs="Times New Roman"/>
                      <w:color w:val="000000" w:themeColor="text1"/>
                      <w:sz w:val="18"/>
                      <w:szCs w:val="18"/>
                      <w:lang w:val="en-GB"/>
                    </w:rPr>
                    <m:t>th</m:t>
                  </m:r>
                  <m:r>
                    <m:rPr>
                      <m:sty m:val="b"/>
                    </m:rPr>
                    <w:rPr>
                      <w:rFonts w:ascii="Cambria Math" w:eastAsiaTheme="majorEastAsia" w:hAnsi="Cambria Math" w:cs="Times New Roman"/>
                      <w:color w:val="000000" w:themeColor="text1"/>
                      <w:sz w:val="18"/>
                      <w:szCs w:val="18"/>
                      <w:lang w:val="en-GB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ajorEastAsia" w:hAnsi="Cambria Math" w:cs="Times New Roman"/>
                      <w:color w:val="000000" w:themeColor="text1"/>
                      <w:sz w:val="18"/>
                      <w:szCs w:val="18"/>
                      <w:lang w:val="en-GB"/>
                    </w:rPr>
                    <m:t>w</m:t>
                  </m:r>
                </m:sub>
              </m:sSub>
            </m:oMath>
            <w:r w:rsidRPr="0020726D"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32C0" w:rsidRPr="00382356" w:rsidRDefault="00D532C0" w:rsidP="00D532C0">
            <w:pPr>
              <w:jc w:val="center"/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 w:rsidRPr="00382356">
              <w:rPr>
                <w:rFonts w:ascii="Times New Roman" w:eastAsiaTheme="majorEastAsia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p-value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32C0" w:rsidRPr="00B67D78" w:rsidRDefault="00D532C0" w:rsidP="00D532C0">
            <w:pPr>
              <w:jc w:val="center"/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/>
                <w:smallCaps/>
                <w:color w:val="000000" w:themeColor="text1"/>
                <w:sz w:val="16"/>
                <w:szCs w:val="16"/>
                <w:lang w:val="en-GB"/>
              </w:rPr>
              <w:t>mean difference</w:t>
            </w:r>
          </w:p>
        </w:tc>
      </w:tr>
      <w:tr w:rsidR="00DD11A2" w:rsidTr="0088184F">
        <w:trPr>
          <w:trHeight w:val="283"/>
        </w:trPr>
        <w:tc>
          <w:tcPr>
            <w:tcW w:w="2407" w:type="dxa"/>
            <w:vMerge w:val="restart"/>
            <w:vAlign w:val="center"/>
          </w:tcPr>
          <w:p w:rsidR="00F52C60" w:rsidRDefault="0088184F" w:rsidP="00115783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HC</w:t>
            </w:r>
          </w:p>
        </w:tc>
        <w:tc>
          <w:tcPr>
            <w:tcW w:w="2381" w:type="dxa"/>
            <w:vAlign w:val="center"/>
          </w:tcPr>
          <w:p w:rsidR="00DD11A2" w:rsidRPr="00B67D78" w:rsidRDefault="00DD11A2" w:rsidP="00115783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Peak delta values (1</w:t>
            </w:r>
            <w:r w:rsidRPr="0093260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vertAlign w:val="superscript"/>
                <w:lang w:val="en-GB"/>
              </w:rPr>
              <w:t>st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 xml:space="preserve"> vs 2</w:t>
            </w:r>
            <w:r w:rsidRPr="0093260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vertAlign w:val="superscript"/>
                <w:lang w:val="en-GB"/>
              </w:rPr>
              <w:t>nd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 xml:space="preserve"> HC)</w:t>
            </w:r>
          </w:p>
        </w:tc>
        <w:tc>
          <w:tcPr>
            <w:tcW w:w="2381" w:type="dxa"/>
            <w:vAlign w:val="center"/>
          </w:tcPr>
          <w:p w:rsidR="00DD11A2" w:rsidRPr="00B67D78" w:rsidRDefault="00DD11A2" w:rsidP="00115783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2381" w:type="dxa"/>
            <w:vAlign w:val="center"/>
          </w:tcPr>
          <w:p w:rsidR="00DD11A2" w:rsidRPr="00B67D78" w:rsidRDefault="00DD11A2" w:rsidP="00115783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0.074</w:t>
            </w:r>
          </w:p>
        </w:tc>
      </w:tr>
      <w:tr w:rsidR="00DD11A2" w:rsidRPr="00115783" w:rsidTr="0088184F">
        <w:trPr>
          <w:trHeight w:val="283"/>
        </w:trPr>
        <w:tc>
          <w:tcPr>
            <w:tcW w:w="2407" w:type="dxa"/>
            <w:vMerge/>
            <w:vAlign w:val="center"/>
          </w:tcPr>
          <w:p w:rsidR="00DD11A2" w:rsidRDefault="00DD11A2" w:rsidP="00115783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color w:val="000000" w:themeColor="text1"/>
                <w:lang w:val="en-GB"/>
              </w:rPr>
            </w:pPr>
          </w:p>
        </w:tc>
        <w:tc>
          <w:tcPr>
            <w:tcW w:w="2381" w:type="dxa"/>
            <w:vAlign w:val="center"/>
          </w:tcPr>
          <w:p w:rsidR="00DD11A2" w:rsidRPr="00B67D78" w:rsidRDefault="00DD11A2" w:rsidP="00115783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Average delta values (1</w:t>
            </w:r>
            <w:r w:rsidRPr="0093260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vertAlign w:val="superscript"/>
                <w:lang w:val="en-GB"/>
              </w:rPr>
              <w:t>st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 xml:space="preserve"> vs 2</w:t>
            </w:r>
            <w:r w:rsidRPr="0093260A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vertAlign w:val="superscript"/>
                <w:lang w:val="en-GB"/>
              </w:rPr>
              <w:t>nd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 xml:space="preserve"> HC)</w:t>
            </w:r>
          </w:p>
        </w:tc>
        <w:tc>
          <w:tcPr>
            <w:tcW w:w="2381" w:type="dxa"/>
            <w:vAlign w:val="center"/>
          </w:tcPr>
          <w:p w:rsidR="00DD11A2" w:rsidRPr="00B67D78" w:rsidRDefault="00DD11A2" w:rsidP="00115783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2381" w:type="dxa"/>
            <w:vAlign w:val="center"/>
          </w:tcPr>
          <w:p w:rsidR="00DD11A2" w:rsidRPr="00B67D78" w:rsidRDefault="00DD11A2" w:rsidP="00115783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0.028</w:t>
            </w:r>
          </w:p>
        </w:tc>
      </w:tr>
      <w:tr w:rsidR="00DD11A2" w:rsidRPr="00382356" w:rsidTr="0088184F">
        <w:trPr>
          <w:trHeight w:val="283"/>
        </w:trPr>
        <w:tc>
          <w:tcPr>
            <w:tcW w:w="2407" w:type="dxa"/>
            <w:vMerge w:val="restart"/>
            <w:vAlign w:val="center"/>
          </w:tcPr>
          <w:p w:rsidR="00F52C60" w:rsidRDefault="0088184F" w:rsidP="00382356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color w:val="000000" w:themeColor="text1"/>
                <w:lang w:val="en-GB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pwMS</w:t>
            </w:r>
            <w:proofErr w:type="spellEnd"/>
          </w:p>
        </w:tc>
        <w:tc>
          <w:tcPr>
            <w:tcW w:w="2381" w:type="dxa"/>
            <w:vAlign w:val="center"/>
          </w:tcPr>
          <w:p w:rsidR="00DD11A2" w:rsidRPr="00B67D78" w:rsidRDefault="00DD11A2" w:rsidP="00382356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2381" w:type="dxa"/>
            <w:vAlign w:val="center"/>
          </w:tcPr>
          <w:p w:rsidR="00DD11A2" w:rsidRPr="00DF5779" w:rsidRDefault="00DD11A2" w:rsidP="00382356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2381" w:type="dxa"/>
            <w:vAlign w:val="center"/>
          </w:tcPr>
          <w:p w:rsidR="00DD11A2" w:rsidRPr="00B67D78" w:rsidRDefault="00DD11A2" w:rsidP="00382356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</w:p>
        </w:tc>
      </w:tr>
      <w:tr w:rsidR="0088184F" w:rsidTr="0088184F">
        <w:trPr>
          <w:trHeight w:val="55"/>
        </w:trPr>
        <w:tc>
          <w:tcPr>
            <w:tcW w:w="2407" w:type="dxa"/>
            <w:vMerge/>
            <w:vAlign w:val="center"/>
          </w:tcPr>
          <w:p w:rsidR="0088184F" w:rsidRDefault="0088184F" w:rsidP="0088184F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color w:val="000000" w:themeColor="text1"/>
                <w:lang w:val="en-GB"/>
              </w:rPr>
            </w:pPr>
          </w:p>
        </w:tc>
        <w:tc>
          <w:tcPr>
            <w:tcW w:w="2381" w:type="dxa"/>
            <w:vAlign w:val="center"/>
          </w:tcPr>
          <w:p w:rsidR="0088184F" w:rsidRPr="00B67D78" w:rsidRDefault="0088184F" w:rsidP="0088184F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 xml:space="preserve">Peak delta values (Pre vs Post </w:t>
            </w:r>
            <w:proofErr w:type="spellStart"/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pwMS</w:t>
            </w:r>
            <w:proofErr w:type="spellEnd"/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2381" w:type="dxa"/>
            <w:vAlign w:val="center"/>
          </w:tcPr>
          <w:p w:rsidR="0088184F" w:rsidRPr="00B67D78" w:rsidRDefault="0088184F" w:rsidP="0088184F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2381" w:type="dxa"/>
            <w:vAlign w:val="center"/>
          </w:tcPr>
          <w:p w:rsidR="0088184F" w:rsidRPr="00B67D78" w:rsidRDefault="0088184F" w:rsidP="0088184F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-0.099</w:t>
            </w:r>
          </w:p>
        </w:tc>
      </w:tr>
      <w:tr w:rsidR="0088184F" w:rsidTr="0088184F">
        <w:trPr>
          <w:trHeight w:val="283"/>
        </w:trPr>
        <w:tc>
          <w:tcPr>
            <w:tcW w:w="2407" w:type="dxa"/>
            <w:vMerge/>
            <w:tcBorders>
              <w:bottom w:val="double" w:sz="4" w:space="0" w:color="auto"/>
            </w:tcBorders>
            <w:vAlign w:val="center"/>
          </w:tcPr>
          <w:p w:rsidR="0088184F" w:rsidRDefault="0088184F" w:rsidP="0088184F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color w:val="000000" w:themeColor="text1"/>
                <w:lang w:val="en-GB"/>
              </w:rPr>
            </w:pPr>
          </w:p>
        </w:tc>
        <w:tc>
          <w:tcPr>
            <w:tcW w:w="2381" w:type="dxa"/>
            <w:tcBorders>
              <w:top w:val="nil"/>
              <w:bottom w:val="double" w:sz="4" w:space="0" w:color="auto"/>
            </w:tcBorders>
            <w:vAlign w:val="center"/>
          </w:tcPr>
          <w:p w:rsidR="0088184F" w:rsidRPr="00B67D78" w:rsidRDefault="0088184F" w:rsidP="0088184F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 xml:space="preserve">Average delta values (Pre vs Post </w:t>
            </w:r>
            <w:proofErr w:type="spellStart"/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pwMS</w:t>
            </w:r>
            <w:proofErr w:type="spellEnd"/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2381" w:type="dxa"/>
            <w:tcBorders>
              <w:top w:val="nil"/>
              <w:bottom w:val="double" w:sz="4" w:space="0" w:color="auto"/>
            </w:tcBorders>
            <w:vAlign w:val="center"/>
          </w:tcPr>
          <w:p w:rsidR="0088184F" w:rsidRPr="00B67D78" w:rsidRDefault="0088184F" w:rsidP="0088184F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&lt;0.001</w:t>
            </w:r>
          </w:p>
        </w:tc>
        <w:tc>
          <w:tcPr>
            <w:tcW w:w="2381" w:type="dxa"/>
            <w:tcBorders>
              <w:top w:val="nil"/>
              <w:bottom w:val="double" w:sz="4" w:space="0" w:color="auto"/>
            </w:tcBorders>
            <w:vAlign w:val="center"/>
          </w:tcPr>
          <w:p w:rsidR="0088184F" w:rsidRPr="00382356" w:rsidRDefault="0088184F" w:rsidP="0088184F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GB"/>
              </w:rPr>
              <w:t>-0.052</w:t>
            </w:r>
          </w:p>
        </w:tc>
      </w:tr>
    </w:tbl>
    <w:p w:rsidR="008B2893" w:rsidRDefault="008B2893" w:rsidP="008B2893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</w:p>
    <w:p w:rsidR="0088184F" w:rsidRPr="00CE7226" w:rsidRDefault="0088184F" w:rsidP="008B2893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lang w:val="en-GB"/>
        </w:rPr>
      </w:pPr>
    </w:p>
    <w:p w:rsidR="008B2893" w:rsidRPr="008B2893" w:rsidRDefault="008B2893">
      <w:pPr>
        <w:rPr>
          <w:rFonts w:ascii="Times New Roman" w:hAnsi="Times New Roman" w:cs="Times New Roman"/>
          <w:b/>
          <w:color w:val="000000" w:themeColor="text1"/>
          <w:lang w:val="en-GB"/>
        </w:rPr>
      </w:pPr>
    </w:p>
    <w:sectPr w:rsidR="008B2893" w:rsidRPr="008B28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67F"/>
    <w:rsid w:val="00017219"/>
    <w:rsid w:val="0003274D"/>
    <w:rsid w:val="000647AA"/>
    <w:rsid w:val="000D63C0"/>
    <w:rsid w:val="00115783"/>
    <w:rsid w:val="00115BA0"/>
    <w:rsid w:val="00115C94"/>
    <w:rsid w:val="00125A97"/>
    <w:rsid w:val="00130DD8"/>
    <w:rsid w:val="0020726D"/>
    <w:rsid w:val="00255027"/>
    <w:rsid w:val="00264D5E"/>
    <w:rsid w:val="002D674C"/>
    <w:rsid w:val="00382356"/>
    <w:rsid w:val="003D5C80"/>
    <w:rsid w:val="004F0BA2"/>
    <w:rsid w:val="00531CBD"/>
    <w:rsid w:val="005E6DA3"/>
    <w:rsid w:val="00604E29"/>
    <w:rsid w:val="0063777B"/>
    <w:rsid w:val="00640634"/>
    <w:rsid w:val="0064671D"/>
    <w:rsid w:val="006B6999"/>
    <w:rsid w:val="00702596"/>
    <w:rsid w:val="00707965"/>
    <w:rsid w:val="00744334"/>
    <w:rsid w:val="007A34A1"/>
    <w:rsid w:val="007E4DEC"/>
    <w:rsid w:val="008202FC"/>
    <w:rsid w:val="00844FAF"/>
    <w:rsid w:val="00857B81"/>
    <w:rsid w:val="0088184F"/>
    <w:rsid w:val="008A7633"/>
    <w:rsid w:val="008B2893"/>
    <w:rsid w:val="008E7DEE"/>
    <w:rsid w:val="0090193E"/>
    <w:rsid w:val="00926A25"/>
    <w:rsid w:val="0097084A"/>
    <w:rsid w:val="009D0534"/>
    <w:rsid w:val="009E20AD"/>
    <w:rsid w:val="00A33609"/>
    <w:rsid w:val="00A73D4D"/>
    <w:rsid w:val="00A916CF"/>
    <w:rsid w:val="00B0100C"/>
    <w:rsid w:val="00B27E84"/>
    <w:rsid w:val="00B4409D"/>
    <w:rsid w:val="00B6702B"/>
    <w:rsid w:val="00BC6FCC"/>
    <w:rsid w:val="00C3480C"/>
    <w:rsid w:val="00C42887"/>
    <w:rsid w:val="00C514D6"/>
    <w:rsid w:val="00C656BA"/>
    <w:rsid w:val="00C745D9"/>
    <w:rsid w:val="00C775C6"/>
    <w:rsid w:val="00CA04BA"/>
    <w:rsid w:val="00D532C0"/>
    <w:rsid w:val="00D62D71"/>
    <w:rsid w:val="00DC06AD"/>
    <w:rsid w:val="00DD01FC"/>
    <w:rsid w:val="00DD11A2"/>
    <w:rsid w:val="00DD4A21"/>
    <w:rsid w:val="00DF5779"/>
    <w:rsid w:val="00E5133A"/>
    <w:rsid w:val="00E806D9"/>
    <w:rsid w:val="00E87B10"/>
    <w:rsid w:val="00F3567F"/>
    <w:rsid w:val="00F52C60"/>
    <w:rsid w:val="00FD05A5"/>
    <w:rsid w:val="00FD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DF054A"/>
  <w15:chartTrackingRefBased/>
  <w15:docId w15:val="{5CE35855-5E52-4F24-B4D5-813C024B3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8184F"/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FD05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4409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901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D05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7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70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1792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Pirastru</dc:creator>
  <cp:keywords/>
  <dc:description/>
  <cp:lastModifiedBy>Alice Pirastru</cp:lastModifiedBy>
  <cp:revision>2</cp:revision>
  <dcterms:created xsi:type="dcterms:W3CDTF">2025-12-16T09:35:00Z</dcterms:created>
  <dcterms:modified xsi:type="dcterms:W3CDTF">2025-12-16T09:35:00Z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eec9f8489c16d47e9de7b815690932c8bb226b9e74fd8c5bf770576b1d6dcc73</vt:lpwstr>
  </property>
</Properties>
</file>