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11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Supplementary Figures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11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681663" cy="6148779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19139" l="0" r="0" t="4674"/>
                    <a:stretch>
                      <a:fillRect/>
                    </a:stretch>
                  </pic:blipFill>
                  <pic:spPr>
                    <a:xfrm>
                      <a:off x="0" y="0"/>
                      <a:ext cx="5681663" cy="6148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11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Supplementary Figure S1: Blood-based markers are as important as TNM in Prediction Models Across Molecular Subtypes. </w:t>
      </w:r>
      <w:r w:rsidDel="00000000" w:rsidR="00000000" w:rsidRPr="00000000">
        <w:rPr>
          <w:sz w:val="20"/>
          <w:szCs w:val="20"/>
          <w:rtl w:val="0"/>
        </w:rPr>
        <w:t xml:space="preserve">Mean feature importance rankings aggregated across five machine learning algorithms for both 2-year and 10-year recurrence or mortality predictions (lower rank = higher importance). Hematologic indices, particularly red cell parameters (MCHC, MCV, RDW-CV, RDW-SD) and complete blood count measures (hemoglobin, erythrocytes, eosinophils), consistently rank among the top predictors alongside clinical staging (M stage, T stage, N stage) across all molecular subtypes in both prediction timeframes. Feature importance patterns differ between 2-year and 10-year models: inflammatory ratios (PLR, NLR, MLR) show higher importance in short-term predictions, while red cell distribution indices (RDW-CV, RDW-SD) and hemoglobin concentration (MCHC) dominate long-term predictions.</w:t>
      </w:r>
      <w:r w:rsidDel="00000000" w:rsidR="00000000" w:rsidRPr="00000000">
        <w:rPr>
          <w:rtl w:val="0"/>
        </w:rPr>
      </w:r>
    </w:p>
    <w:tbl>
      <w:tblPr>
        <w:tblStyle w:val="Table1"/>
        <w:jc w:val="center"/>
        <w:tblLayout w:type="fixed"/>
        <w:tblLook w:val="00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617" w:hRule="atLeast"/>
          <w:tblHeader w:val="1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Characteristic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HR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(95% CI)</w:t>
            </w:r>
            <w:r w:rsidDel="00000000" w:rsidR="00000000" w:rsidRPr="00000000">
              <w:rPr>
                <w:sz w:val="16"/>
                <w:szCs w:val="16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p-value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Platelets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1.00 (1.00 to 1.00)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Monocyte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2.41 (1.95 to 2.97)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Lymphocyte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0.87 (0.81 to 0.94)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Neutrophil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1.12 (1.10 to 1.15)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Leucocyte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1.08 (1.06 to 1.10)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Eosinophils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1.03 (0.79 to 1.36)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0.81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Erythrocyte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0.66 (0.58 to 0.74)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Hematocrit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0.94 (0.93 to 0.95)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Hemoglobin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0.84 (0.81 to 0.87)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RDW.CV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1.16 (1.13 to 1.19)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RDW.SD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1.06 (1.05 to 1.07)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CHCM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0.87 (0.83 to 0.91)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HCM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0.95 (0.93 to 0.97)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VCM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0.99 (0.98 to 1.00)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0.045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NLR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1.16 (1.13 to 1.18)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PLR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1.00 (1.00 to 1.00)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MLR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3.78 (3.15 to 4.55)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Clinical Stage 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300" w:right="100" w:firstLine="0"/>
              <w:rPr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—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300" w:right="100" w:firstLine="0"/>
              <w:rPr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11,704 (0.00 to Inf)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0.98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300" w:right="100" w:firstLine="0"/>
              <w:rPr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21,009 (0.00 to Inf)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0.98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300" w:right="100" w:firstLine="0"/>
              <w:rPr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42,020 (0.00 to Inf)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0.98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300" w:right="100" w:firstLine="0"/>
              <w:rPr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90,612 (0.00 to Inf)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0.98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Clinical Stage 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300" w:right="100" w:firstLine="0"/>
              <w:rPr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—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300" w:right="100" w:firstLine="0"/>
              <w:rPr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7.64 (6.80 to 8.58)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61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Molecular subtype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4,277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300" w:right="100" w:firstLine="0"/>
              <w:rPr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HR+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—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300" w:right="100" w:firstLine="0"/>
              <w:rPr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HER2+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1.04 (0.91 to 1.19)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0.57</w:t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300" w:right="100" w:firstLine="0"/>
              <w:rPr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TNBC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1.80 (1.59 to 2.05)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&lt;0.001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spacing w:line="240" w:lineRule="auto"/>
              <w:ind w:left="100" w:right="10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HR = Hazard Ratio, CI = Confidence Interval</w:t>
            </w:r>
          </w:p>
        </w:tc>
      </w:tr>
    </w:tbl>
    <w:p w:rsidR="00000000" w:rsidDel="00000000" w:rsidP="00000000" w:rsidRDefault="00000000" w:rsidRPr="00000000" w14:paraId="00000084">
      <w:pPr>
        <w:widowControl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spacing w:after="120" w:before="12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Supplementary Figure S2: </w:t>
      </w:r>
      <w:r w:rsidDel="00000000" w:rsidR="00000000" w:rsidRPr="00000000">
        <w:rPr>
          <w:sz w:val="20"/>
          <w:szCs w:val="20"/>
          <w:rtl w:val="0"/>
        </w:rPr>
        <w:t xml:space="preserve">Hematologic Parameters Show Strong Univariate Associations with Breast Cancer Overall Survival. </w:t>
      </w:r>
      <w:r w:rsidDel="00000000" w:rsidR="00000000" w:rsidRPr="00000000">
        <w:rPr>
          <w:sz w:val="20"/>
          <w:szCs w:val="20"/>
          <w:rtl w:val="0"/>
        </w:rPr>
        <w:t xml:space="preserve">Univariate Cox proportional hazards regression analysis of hematologic biomarkers, inflammatory ratios, clinical staging, and molecular subtypes (N=4,277). Hazard ratios (HR) &gt; 1 indicate increased mortality risk, while HR &lt; 1 indicate protective effects. Elevated monocyte counts (HR=2.41), MLR (HR=3.78), and RDW.CV (HR=1.16) show the strongest adverse associations, while higher erythrocyte counts (HR=0.66), hemoglobin (HR=0.84), and hematocrit (HR=0.94) demonstrate protective effects. All hematologic parameters except eosinophils reached statistical significance (p&lt;0.05). The triple-negative subtype (TNBC) shows significantly elevated risk (HR=1.80) compared to other molecular subtypes.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after="11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28194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109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after="11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Supplementary Figure S3: Boxplot of values for breast cancer patients (all subtypes of the general model) by the risk of recurrence or death in 2 years.</w:t>
      </w:r>
      <w:r w:rsidDel="00000000" w:rsidR="00000000" w:rsidRPr="00000000">
        <w:rPr>
          <w:sz w:val="20"/>
          <w:szCs w:val="20"/>
          <w:rtl w:val="0"/>
        </w:rPr>
        <w:t xml:space="preserve"> “High” risk group (orange bars) presented recurrence or death in less than 2 years, and “Low” risk group (blue bars) did not. NLR: neutrophil to lymphocyte ratio. PLR: platelet to lymphocyte ratio. MLR: monocyte to lymphocyte ratio. MCV: Mean Corpuscular Volume, reference value: 80 - 95 fL. MCH: Mean Corpuscular Hemoglobin, reference value: 27 - 34 pg. MCHC: Mean Corpuscular Hemoglobin Concentration, reference value: 30 - 35 g/dL. RDW-CV: Red Cell Distribution Width-Coefficient of Variation, reference value: 11.6 - 14.4%. RDW-SD: Red Cell Distribution Width-Standard Deviation, reference value: 35.1 - 43.9 fL.</w:t>
      </w:r>
    </w:p>
    <w:p w:rsidR="00000000" w:rsidDel="00000000" w:rsidP="00000000" w:rsidRDefault="00000000" w:rsidRPr="00000000" w14:paraId="00000088">
      <w:pPr>
        <w:widowControl w:val="0"/>
        <w:spacing w:after="11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spacing w:after="11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spacing w:after="11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spacing w:after="11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spacing w:after="11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spacing w:after="11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375806" cy="67675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680" l="0" r="0" t="7093"/>
                    <a:stretch>
                      <a:fillRect/>
                    </a:stretch>
                  </pic:blipFill>
                  <pic:spPr>
                    <a:xfrm>
                      <a:off x="0" y="0"/>
                      <a:ext cx="5375806" cy="6767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spacing w:after="11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spacing w:after="11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Supplementary Figure S4: Kaplan-Meier Analysis for 2-Year Risk Discrimination in General Cohort. </w:t>
      </w:r>
      <w:r w:rsidDel="00000000" w:rsidR="00000000" w:rsidRPr="00000000">
        <w:rPr>
          <w:sz w:val="20"/>
          <w:szCs w:val="20"/>
          <w:rtl w:val="0"/>
        </w:rPr>
        <w:t xml:space="preserve">Survival curves stratified by median probability threshold comparing high-risk (red) versus low-risk (green) patient groups. All five algorithms demonstrated significant separation with hazard ratios: XGBoost (HR = 6.27), SVM (HR = 7.84), LightGBM (HR = 6.17), RandomForest (HR = 10.00), and Stacking ensemble (HR = 8.79), all p &lt; 0.001. Shaded regions indicate 95% confidence intervals. RandomForest achieved the strongest discrimination.​</w:t>
      </w:r>
    </w:p>
    <w:p w:rsidR="00000000" w:rsidDel="00000000" w:rsidP="00000000" w:rsidRDefault="00000000" w:rsidRPr="00000000" w14:paraId="00000090">
      <w:pPr>
        <w:widowControl w:val="0"/>
        <w:spacing w:after="110" w:lineRule="auto"/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</w:rPr>
        <w:drawing>
          <wp:inline distB="114300" distT="114300" distL="114300" distR="114300">
            <wp:extent cx="5162550" cy="6505575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770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50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spacing w:after="12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Supplementary Figure S5: Kaplan-Meier Analysis for 10-Year Risk Discrimination in General Cohort.</w:t>
      </w:r>
      <w:r w:rsidDel="00000000" w:rsidR="00000000" w:rsidRPr="00000000">
        <w:rPr>
          <w:sz w:val="20"/>
          <w:szCs w:val="20"/>
          <w:rtl w:val="0"/>
        </w:rPr>
        <w:t xml:space="preserve"> Survival curves stratified by median probability threshold comparing high-risk (red) versus low-risk (green) patient groups. All five algorithms demonstrated significant separation with hazard ratios: SVM (HR = 4.47), LightGBM (HR = 4.27), XGBoost (HR = 3.72), RandomForest (HR = 4.56), and Stacking ensemble (HR = 4.22), all p &lt; 0.001. Shaded regions indicate 95% confidence intervals. RandomForest achieved the strongest discrimination.</w:t>
      </w:r>
    </w:p>
    <w:p w:rsidR="00000000" w:rsidDel="00000000" w:rsidP="00000000" w:rsidRDefault="00000000" w:rsidRPr="00000000" w14:paraId="00000092">
      <w:pPr>
        <w:widowControl w:val="0"/>
        <w:spacing w:after="110" w:lineRule="auto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spacing w:after="110" w:lineRule="auto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spacing w:after="120" w:lineRule="auto"/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</w:rPr>
        <w:drawing>
          <wp:inline distB="114300" distT="114300" distL="114300" distR="114300">
            <wp:extent cx="5363644" cy="6738938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7873"/>
                    <a:stretch>
                      <a:fillRect/>
                    </a:stretch>
                  </pic:blipFill>
                  <pic:spPr>
                    <a:xfrm>
                      <a:off x="0" y="0"/>
                      <a:ext cx="5363644" cy="6738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spacing w:after="12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Supplementary Figure S6: Kaplan-Meier Analysis for 2-Year Risk Discrimination in HER2+ Cohort. </w:t>
      </w:r>
      <w:r w:rsidDel="00000000" w:rsidR="00000000" w:rsidRPr="00000000">
        <w:rPr>
          <w:sz w:val="20"/>
          <w:szCs w:val="20"/>
          <w:rtl w:val="0"/>
        </w:rPr>
        <w:t xml:space="preserve">Survival curves stratified by median probability threshold comparing high-risk (red) versus low-risk (green) patient groups. All five algorithms demonstrated significant separation with hazard ratios: Stacking (HR = 10.41), SVM (HR = 10.00), XGBoost (HR = 7.94), RandomForest (HR = 7.70), and LightGBM (HR = 6.14), all p &lt; 0.001. Shaded regions indicate 95% confidence intervals. Stacking achieved the strongest discrimination.</w:t>
      </w:r>
    </w:p>
    <w:p w:rsidR="00000000" w:rsidDel="00000000" w:rsidP="00000000" w:rsidRDefault="00000000" w:rsidRPr="00000000" w14:paraId="00000096">
      <w:pPr>
        <w:widowControl w:val="0"/>
        <w:spacing w:after="12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spacing w:after="120" w:before="120" w:lineRule="auto"/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</w:rPr>
        <w:drawing>
          <wp:inline distB="114300" distT="114300" distL="114300" distR="114300">
            <wp:extent cx="5465845" cy="6843713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8009"/>
                    <a:stretch>
                      <a:fillRect/>
                    </a:stretch>
                  </pic:blipFill>
                  <pic:spPr>
                    <a:xfrm>
                      <a:off x="0" y="0"/>
                      <a:ext cx="5465845" cy="6843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spacing w:after="120" w:before="12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Supplementary Figure S7: Kaplan-Meier Analysis for 10-Year Risk Discrimination in HER2+ Cohort. </w:t>
      </w:r>
      <w:r w:rsidDel="00000000" w:rsidR="00000000" w:rsidRPr="00000000">
        <w:rPr>
          <w:sz w:val="20"/>
          <w:szCs w:val="20"/>
          <w:rtl w:val="0"/>
        </w:rPr>
        <w:t xml:space="preserve">Survival curves stratified by median probability threshold comparing high-risk (red) versus low-risk (green) patient groups. All five algorithms demonstrated significant separation with hazard ratios: SVM (HR = 6.31), XGBoost (HR = 5.98), Stacking (HR = 4.89), RandomForest (HR = 4.54), and LightGBM (HR = 4.45), all p &lt; 0.001. Shaded regions indicate 95% confidence intervals. SVM achieved the strongest discrimination.</w:t>
      </w:r>
    </w:p>
    <w:p w:rsidR="00000000" w:rsidDel="00000000" w:rsidP="00000000" w:rsidRDefault="00000000" w:rsidRPr="00000000" w14:paraId="00000099">
      <w:pPr>
        <w:widowControl w:val="0"/>
        <w:spacing w:after="120" w:lineRule="auto"/>
        <w:jc w:val="center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</w:rPr>
        <w:drawing>
          <wp:inline distB="114300" distT="114300" distL="114300" distR="114300">
            <wp:extent cx="5548313" cy="697829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7873"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6978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spacing w:after="12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Supplementary Figure S8: Kaplan-Meier Analysis for 2-Year Risk Discrimination in HR+ Cohort. </w:t>
      </w:r>
      <w:r w:rsidDel="00000000" w:rsidR="00000000" w:rsidRPr="00000000">
        <w:rPr>
          <w:sz w:val="20"/>
          <w:szCs w:val="20"/>
          <w:rtl w:val="0"/>
        </w:rPr>
        <w:t xml:space="preserve">Survival curves stratified by median probability threshold comparing high-risk (red) versus low-risk (green) patient groups. All five algorithms demonstrated significant separation with hazard ratios: RandomForest (HR = 10.47), Stacking (HR = 9.03), XGBoost (HR = 7.05), LightGBM (HR = 6.24), and SVM (HR = 6.51), all p &lt; 0.001. Shaded regions indicate 95% confidence intervals. RandomForest achieved the strongest discrimination.​</w:t>
      </w:r>
    </w:p>
    <w:p w:rsidR="00000000" w:rsidDel="00000000" w:rsidP="00000000" w:rsidRDefault="00000000" w:rsidRPr="00000000" w14:paraId="0000009B">
      <w:pPr>
        <w:widowControl w:val="0"/>
        <w:spacing w:after="12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566853" cy="6986588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7773"/>
                    <a:stretch>
                      <a:fillRect/>
                    </a:stretch>
                  </pic:blipFill>
                  <pic:spPr>
                    <a:xfrm>
                      <a:off x="0" y="0"/>
                      <a:ext cx="5566853" cy="6986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pacing w:after="120" w:before="12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Supplementary Figure S9: Kaplan-Meier Analysis for 10-Year Risk Discrimination in HR+ Cohort. </w:t>
      </w:r>
      <w:r w:rsidDel="00000000" w:rsidR="00000000" w:rsidRPr="00000000">
        <w:rPr>
          <w:sz w:val="20"/>
          <w:szCs w:val="20"/>
          <w:rtl w:val="0"/>
        </w:rPr>
        <w:t xml:space="preserve">Survival curves stratified by median probability threshold comparing high-risk (red) versus low-risk (green) patient groups. All five algorithms demonstrated significant separation with hazard ratios: SVM (HR = 4.43), Stacking (HR = 4.98), RandomForest (HR = 4.63), XGBoost (HR = 3.82), and LightGBM (HR = 3.88), all p &lt; 0.001. Shaded regions indicate 95% confidence intervals. Stacking achieved the strongest discrimination.</w:t>
      </w:r>
    </w:p>
    <w:p w:rsidR="00000000" w:rsidDel="00000000" w:rsidP="00000000" w:rsidRDefault="00000000" w:rsidRPr="00000000" w14:paraId="0000009D">
      <w:pPr>
        <w:widowControl w:val="0"/>
        <w:spacing w:after="120" w:lineRule="auto"/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</w:rPr>
        <w:drawing>
          <wp:inline distB="114300" distT="114300" distL="114300" distR="114300">
            <wp:extent cx="5544573" cy="6948488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7891"/>
                    <a:stretch>
                      <a:fillRect/>
                    </a:stretch>
                  </pic:blipFill>
                  <pic:spPr>
                    <a:xfrm>
                      <a:off x="0" y="0"/>
                      <a:ext cx="5544573" cy="6948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pacing w:after="12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Supplementary Figure S10: Kaplan-Meier Analysis for 2-Year Risk Discrimination in TNBC Cohort. </w:t>
      </w:r>
      <w:r w:rsidDel="00000000" w:rsidR="00000000" w:rsidRPr="00000000">
        <w:rPr>
          <w:sz w:val="20"/>
          <w:szCs w:val="20"/>
          <w:rtl w:val="0"/>
        </w:rPr>
        <w:t xml:space="preserve">Survival curves stratified by median probability threshold comparing high-risk (red) versus low-risk (green) patient groups. All five algorithms demonstrated significant separation with hazard ratios: Stacking (HR = 5.97), SVM (HR = 5.00), RandomForest (HR = 5.13), LightGBM (HR = 3.79), and XGBoost (HR = 3.30), all p &lt; 0.001. Shaded regions indicate 95% confidence intervals. Stacking achieved the strongest discrimination.​</w:t>
      </w:r>
    </w:p>
    <w:p w:rsidR="00000000" w:rsidDel="00000000" w:rsidP="00000000" w:rsidRDefault="00000000" w:rsidRPr="00000000" w14:paraId="0000009F">
      <w:pPr>
        <w:widowControl w:val="0"/>
        <w:spacing w:after="110" w:lineRule="auto"/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</w:rPr>
        <w:drawing>
          <wp:inline distB="114300" distT="114300" distL="114300" distR="114300">
            <wp:extent cx="5606846" cy="7034213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7891"/>
                    <a:stretch>
                      <a:fillRect/>
                    </a:stretch>
                  </pic:blipFill>
                  <pic:spPr>
                    <a:xfrm>
                      <a:off x="0" y="0"/>
                      <a:ext cx="5606846" cy="7034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spacing w:after="120" w:before="120" w:lineRule="auto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Supplementary Figure S11: Kaplan-Meier Analysis for 10-Year Risk Discrimination in TNBC Cohort. </w:t>
      </w:r>
      <w:r w:rsidDel="00000000" w:rsidR="00000000" w:rsidRPr="00000000">
        <w:rPr>
          <w:sz w:val="20"/>
          <w:szCs w:val="20"/>
          <w:rtl w:val="0"/>
        </w:rPr>
        <w:t xml:space="preserve">Survival curves stratified by median probability threshold comparing high-risk (red) versus low-risk (green) patient groups. All five algorithms demonstrated significant separation with hazard ratios: RandomForest (HR = 5.86), SVM (HR = 5.98), Stacking (HR = 4.97), LightGBM (HR = 3.11), and XGBoost (HR = 3.02), all p &lt; 0.001. Shaded regions indicate 95% confidence intervals. SVM achieved the strongest discrimination.</w:t>
      </w:r>
      <w:r w:rsidDel="00000000" w:rsidR="00000000" w:rsidRPr="00000000">
        <w:rPr>
          <w:rtl w:val="0"/>
        </w:rPr>
      </w:r>
    </w:p>
    <w:sectPr>
      <w:head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9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