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4540" w14:textId="069CDD66" w:rsidR="00974D9D" w:rsidRPr="00E10C77" w:rsidRDefault="00651ECC" w:rsidP="00651EC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5211655"/>
      <w:r w:rsidRPr="00DF020B">
        <w:rPr>
          <w:rFonts w:ascii="Times New Roman" w:hAnsi="Times New Roman" w:cs="Times New Roman"/>
          <w:bCs/>
          <w:sz w:val="24"/>
          <w:szCs w:val="24"/>
        </w:rPr>
        <w:t xml:space="preserve">Supplementary </w:t>
      </w:r>
      <w:r w:rsidR="007210A6" w:rsidRPr="00E10C77">
        <w:rPr>
          <w:rFonts w:ascii="Times New Roman" w:hAnsi="Times New Roman" w:cs="Times New Roman"/>
          <w:sz w:val="24"/>
          <w:szCs w:val="24"/>
        </w:rPr>
        <w:t xml:space="preserve">Table </w:t>
      </w:r>
      <w:r w:rsidR="00CF058F" w:rsidRPr="00E10C77">
        <w:rPr>
          <w:rFonts w:ascii="Times New Roman" w:hAnsi="Times New Roman" w:cs="Times New Roman"/>
          <w:sz w:val="24"/>
          <w:szCs w:val="24"/>
        </w:rPr>
        <w:t>2</w:t>
      </w:r>
      <w:r w:rsidR="007210A6" w:rsidRPr="00E10C77">
        <w:rPr>
          <w:rFonts w:ascii="Times New Roman" w:hAnsi="Times New Roman" w:cs="Times New Roman"/>
          <w:sz w:val="24"/>
          <w:szCs w:val="24"/>
        </w:rPr>
        <w:t xml:space="preserve">. </w:t>
      </w:r>
      <w:r w:rsidR="003370D5" w:rsidRPr="00E10C77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Titanium dioxide nanoparticle (TIO</w:t>
      </w:r>
      <w:r w:rsidR="003370D5" w:rsidRPr="00E10C77">
        <w:rPr>
          <w:rFonts w:ascii="Times New Roman" w:eastAsia="Times New Roman" w:hAnsi="Times New Roman" w:cs="Times New Roman"/>
          <w:bCs/>
          <w:position w:val="-1"/>
          <w:sz w:val="24"/>
          <w:szCs w:val="24"/>
          <w:vertAlign w:val="subscript"/>
        </w:rPr>
        <w:t xml:space="preserve">2 </w:t>
      </w:r>
      <w:r w:rsidR="003370D5" w:rsidRPr="00E10C77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NP</w:t>
      </w:r>
      <w:r w:rsidR="003370D5" w:rsidRPr="00E10C77">
        <w:rPr>
          <w:rFonts w:ascii="Times New Roman" w:eastAsia="Times New Roman" w:hAnsi="Times New Roman" w:cs="Times New Roman"/>
          <w:bCs/>
          <w:position w:val="-1"/>
          <w:sz w:val="24"/>
          <w:szCs w:val="24"/>
          <w:vertAlign w:val="subscript"/>
        </w:rPr>
        <w:t>S</w:t>
      </w:r>
      <w:r w:rsidR="003370D5" w:rsidRPr="00E10C77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) </w:t>
      </w:r>
      <w:r w:rsidR="007210A6" w:rsidRPr="00E10C77">
        <w:rPr>
          <w:rFonts w:ascii="Times New Roman" w:hAnsi="Times New Roman" w:cs="Times New Roman"/>
          <w:sz w:val="24"/>
          <w:szCs w:val="24"/>
        </w:rPr>
        <w:t>effect on cell viability of HuH-7 cell line</w:t>
      </w:r>
      <w:r w:rsidR="00974D9D" w:rsidRPr="00E10C77">
        <w:rPr>
          <w:rFonts w:ascii="Times New Roman" w:hAnsi="Times New Roman" w:cs="Times New Roman"/>
          <w:sz w:val="24"/>
          <w:szCs w:val="24"/>
        </w:rPr>
        <w:t xml:space="preserve"> and WI-38 cell line before and after exposure to IR-radiation</w:t>
      </w:r>
    </w:p>
    <w:p w14:paraId="24FF62FF" w14:textId="77777777" w:rsidR="007210A6" w:rsidRPr="00E10C77" w:rsidRDefault="007210A6" w:rsidP="003B17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593B2" w14:textId="77777777" w:rsidR="007210A6" w:rsidRPr="00E10C77" w:rsidRDefault="007210A6" w:rsidP="003B17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746"/>
        <w:tblW w:w="7830" w:type="dxa"/>
        <w:tblLook w:val="04A0" w:firstRow="1" w:lastRow="0" w:firstColumn="1" w:lastColumn="0" w:noHBand="0" w:noVBand="1"/>
      </w:tblPr>
      <w:tblGrid>
        <w:gridCol w:w="2605"/>
        <w:gridCol w:w="2340"/>
        <w:gridCol w:w="2885"/>
      </w:tblGrid>
      <w:tr w:rsidR="00C56227" w:rsidRPr="00E10C77" w14:paraId="02D8A5E9" w14:textId="77777777" w:rsidTr="003D4FB5">
        <w:trPr>
          <w:trHeight w:val="570"/>
        </w:trPr>
        <w:tc>
          <w:tcPr>
            <w:tcW w:w="2605" w:type="dxa"/>
            <w:vMerge w:val="restart"/>
            <w:tcBorders>
              <w:top w:val="single" w:sz="12" w:space="0" w:color="auto"/>
            </w:tcBorders>
          </w:tcPr>
          <w:p w14:paraId="4380034F" w14:textId="77777777" w:rsidR="00C56227" w:rsidRPr="00E10C77" w:rsidRDefault="00C56227" w:rsidP="003B170A">
            <w:pPr>
              <w:ind w:left="-288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BBA0E" w14:textId="77777777" w:rsidR="00C56227" w:rsidRPr="00E10C77" w:rsidRDefault="00C56227" w:rsidP="003B170A">
            <w:pPr>
              <w:ind w:left="2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Samples </w:t>
            </w:r>
          </w:p>
        </w:tc>
        <w:tc>
          <w:tcPr>
            <w:tcW w:w="52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ED6215" w14:textId="77777777" w:rsidR="00C56227" w:rsidRPr="00E10C77" w:rsidRDefault="00974D9D" w:rsidP="003B170A">
            <w:pPr>
              <w:ind w:right="-26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B170A"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C56227"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</w:t>
            </w:r>
            <w:r w:rsidR="00C56227"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50</w:t>
            </w:r>
            <w:r w:rsidR="00C56227"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56227"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µ</w:t>
            </w:r>
            <w:proofErr w:type="gramEnd"/>
            <w:r w:rsidR="00C56227"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g/ml)</w:t>
            </w:r>
          </w:p>
        </w:tc>
      </w:tr>
      <w:tr w:rsidR="00C56227" w:rsidRPr="00E10C77" w14:paraId="13A70138" w14:textId="77777777" w:rsidTr="003D4FB5">
        <w:trPr>
          <w:trHeight w:val="498"/>
        </w:trPr>
        <w:tc>
          <w:tcPr>
            <w:tcW w:w="2605" w:type="dxa"/>
            <w:vMerge/>
            <w:tcBorders>
              <w:bottom w:val="single" w:sz="12" w:space="0" w:color="auto"/>
            </w:tcBorders>
          </w:tcPr>
          <w:p w14:paraId="4C618CCC" w14:textId="77777777" w:rsidR="00C56227" w:rsidRPr="00E10C77" w:rsidRDefault="00C56227" w:rsidP="00974D9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55634DF2" w14:textId="77777777" w:rsidR="00C56227" w:rsidRPr="00E10C77" w:rsidRDefault="00C56227" w:rsidP="00974D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HuH-7 cell line</w:t>
            </w:r>
          </w:p>
        </w:tc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</w:tcPr>
          <w:p w14:paraId="5DB2139B" w14:textId="77777777" w:rsidR="00C56227" w:rsidRPr="00E10C77" w:rsidRDefault="00FC6EB2" w:rsidP="00974D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WI-38 cell line</w:t>
            </w:r>
          </w:p>
        </w:tc>
      </w:tr>
      <w:tr w:rsidR="00974D9D" w:rsidRPr="00E10C77" w14:paraId="7B57C79B" w14:textId="77777777" w:rsidTr="003D4FB5">
        <w:trPr>
          <w:trHeight w:val="285"/>
        </w:trPr>
        <w:tc>
          <w:tcPr>
            <w:tcW w:w="2605" w:type="dxa"/>
            <w:tcBorders>
              <w:top w:val="single" w:sz="12" w:space="0" w:color="auto"/>
            </w:tcBorders>
          </w:tcPr>
          <w:p w14:paraId="08E68801" w14:textId="77777777" w:rsidR="00974D9D" w:rsidRPr="00E10C77" w:rsidRDefault="00974D9D" w:rsidP="00063D2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position w:val="-1"/>
                <w:sz w:val="24"/>
                <w:szCs w:val="24"/>
              </w:rPr>
              <w:t>5-FU Standard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0EFC4CDB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12.8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3.2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  <w:tcBorders>
              <w:top w:val="single" w:sz="12" w:space="0" w:color="auto"/>
            </w:tcBorders>
          </w:tcPr>
          <w:p w14:paraId="001D33C5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65.1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9.18</w:t>
            </w:r>
          </w:p>
        </w:tc>
      </w:tr>
      <w:tr w:rsidR="00974D9D" w:rsidRPr="00E10C77" w14:paraId="70AA31CA" w14:textId="77777777" w:rsidTr="003D4FB5">
        <w:trPr>
          <w:trHeight w:val="285"/>
        </w:trPr>
        <w:tc>
          <w:tcPr>
            <w:tcW w:w="2605" w:type="dxa"/>
          </w:tcPr>
          <w:p w14:paraId="71918A9B" w14:textId="77777777" w:rsidR="00974D9D" w:rsidRPr="00E10C77" w:rsidRDefault="00974D9D" w:rsidP="00063D2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control</w:t>
            </w:r>
          </w:p>
        </w:tc>
        <w:tc>
          <w:tcPr>
            <w:tcW w:w="2340" w:type="dxa"/>
          </w:tcPr>
          <w:p w14:paraId="777F49ED" w14:textId="4D107981" w:rsidR="00974D9D" w:rsidRPr="00E10C77" w:rsidRDefault="00E10C77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60.43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>±</w:t>
            </w:r>
            <w:r w:rsidR="00974D9D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7.9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14:paraId="6943FF68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64.7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12.</w:t>
            </w:r>
            <w:r w:rsidR="00672B34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</w:tr>
      <w:tr w:rsidR="00974D9D" w:rsidRPr="00E10C77" w14:paraId="35F648CA" w14:textId="77777777" w:rsidTr="003D4FB5">
        <w:trPr>
          <w:trHeight w:val="242"/>
        </w:trPr>
        <w:tc>
          <w:tcPr>
            <w:tcW w:w="2605" w:type="dxa"/>
          </w:tcPr>
          <w:p w14:paraId="4C44F9A2" w14:textId="77777777" w:rsidR="00974D9D" w:rsidRPr="00E10C77" w:rsidRDefault="00974D9D" w:rsidP="00063D2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2.5 m</w:t>
            </w:r>
          </w:p>
        </w:tc>
        <w:tc>
          <w:tcPr>
            <w:tcW w:w="2340" w:type="dxa"/>
          </w:tcPr>
          <w:p w14:paraId="0D29A162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53.4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± 7.6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14:paraId="1120E4CD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55.5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± 5.1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</w:tr>
      <w:tr w:rsidR="00974D9D" w:rsidRPr="00E10C77" w14:paraId="101C8EA1" w14:textId="77777777" w:rsidTr="003D4FB5">
        <w:trPr>
          <w:trHeight w:val="285"/>
        </w:trPr>
        <w:tc>
          <w:tcPr>
            <w:tcW w:w="2605" w:type="dxa"/>
          </w:tcPr>
          <w:p w14:paraId="44534FB0" w14:textId="77777777" w:rsidR="00974D9D" w:rsidRPr="00E10C77" w:rsidRDefault="00974D9D" w:rsidP="00063D2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rtl/>
                <w:lang w:bidi="ar-EG"/>
              </w:rPr>
            </w:pPr>
            <w:r w:rsidRPr="00E10C7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5 m</w:t>
            </w:r>
          </w:p>
        </w:tc>
        <w:tc>
          <w:tcPr>
            <w:tcW w:w="2340" w:type="dxa"/>
          </w:tcPr>
          <w:p w14:paraId="4B24F8C4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57.2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± 3.7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14:paraId="64684B45" w14:textId="3E91050C" w:rsidR="00974D9D" w:rsidRPr="00E10C77" w:rsidRDefault="00E10C77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58.20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±</w:t>
            </w:r>
            <w:r w:rsidR="00974D9D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3.8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</w:tr>
      <w:tr w:rsidR="00974D9D" w:rsidRPr="00E10C77" w14:paraId="072AF065" w14:textId="77777777" w:rsidTr="003D4FB5">
        <w:trPr>
          <w:trHeight w:val="285"/>
        </w:trPr>
        <w:tc>
          <w:tcPr>
            <w:tcW w:w="2605" w:type="dxa"/>
          </w:tcPr>
          <w:p w14:paraId="329873EE" w14:textId="77777777" w:rsidR="00974D9D" w:rsidRPr="00E10C77" w:rsidRDefault="00974D9D" w:rsidP="00063D2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10 m</w:t>
            </w:r>
          </w:p>
        </w:tc>
        <w:tc>
          <w:tcPr>
            <w:tcW w:w="2340" w:type="dxa"/>
          </w:tcPr>
          <w:p w14:paraId="1DA44934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70.7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± 15.2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14:paraId="42991E44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104.3</w:t>
            </w:r>
            <w:r w:rsidR="006A4A8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33.4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</w:tr>
      <w:tr w:rsidR="00974D9D" w:rsidRPr="00E10C77" w14:paraId="12C8EE98" w14:textId="77777777" w:rsidTr="003D4FB5">
        <w:trPr>
          <w:trHeight w:val="285"/>
        </w:trPr>
        <w:tc>
          <w:tcPr>
            <w:tcW w:w="2605" w:type="dxa"/>
          </w:tcPr>
          <w:p w14:paraId="1555166E" w14:textId="77777777" w:rsidR="00974D9D" w:rsidRPr="00E10C77" w:rsidRDefault="00974D9D" w:rsidP="00063D2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Calibri" w:hAnsi="Times New Roman" w:cs="Times New Roman"/>
                <w:bCs/>
                <w:sz w:val="24"/>
                <w:szCs w:val="24"/>
                <w:lang w:bidi="ar-EG"/>
              </w:rPr>
              <w:t>20 m</w:t>
            </w:r>
          </w:p>
        </w:tc>
        <w:tc>
          <w:tcPr>
            <w:tcW w:w="2340" w:type="dxa"/>
          </w:tcPr>
          <w:p w14:paraId="7C4A353A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80.1</w:t>
            </w:r>
            <w:r w:rsidR="006E404C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21.3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14:paraId="45E8E5E9" w14:textId="77777777" w:rsidR="00974D9D" w:rsidRPr="00E10C77" w:rsidRDefault="00974D9D" w:rsidP="00063D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70AD47" w:themeColor="accent6"/>
                <w:sz w:val="24"/>
                <w:szCs w:val="24"/>
                <w:lang w:bidi="ar-EG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98.9</w:t>
            </w:r>
            <w:r w:rsidR="006A4A8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20.2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</w:tr>
      <w:tr w:rsidR="00537932" w:rsidRPr="00E10C77" w14:paraId="7CDC36FB" w14:textId="77777777" w:rsidTr="003D4FB5">
        <w:trPr>
          <w:trHeight w:val="285"/>
        </w:trPr>
        <w:tc>
          <w:tcPr>
            <w:tcW w:w="2605" w:type="dxa"/>
          </w:tcPr>
          <w:p w14:paraId="4175F39E" w14:textId="77777777" w:rsidR="00537932" w:rsidRPr="00E10C77" w:rsidRDefault="00537932" w:rsidP="0053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2340" w:type="dxa"/>
          </w:tcPr>
          <w:p w14:paraId="650FC94A" w14:textId="77777777" w:rsidR="00537932" w:rsidRPr="00E10C77" w:rsidRDefault="00537932" w:rsidP="003446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53.4</w:t>
            </w:r>
            <w:r w:rsidR="00A11667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± 7.6</w:t>
            </w:r>
            <w:r w:rsidR="003446E9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14:paraId="29AA145F" w14:textId="77777777" w:rsidR="00537932" w:rsidRPr="00E10C77" w:rsidRDefault="00537932" w:rsidP="003446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55.5</w:t>
            </w:r>
            <w:r w:rsidR="006A4A8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± 5.1</w:t>
            </w:r>
            <w:r w:rsidR="003446E9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</w:t>
            </w:r>
          </w:p>
        </w:tc>
      </w:tr>
      <w:tr w:rsidR="00537932" w:rsidRPr="00E10C77" w14:paraId="44D405CA" w14:textId="77777777" w:rsidTr="003D4FB5">
        <w:trPr>
          <w:trHeight w:val="285"/>
        </w:trPr>
        <w:tc>
          <w:tcPr>
            <w:tcW w:w="2605" w:type="dxa"/>
          </w:tcPr>
          <w:p w14:paraId="27363D69" w14:textId="77777777" w:rsidR="00537932" w:rsidRPr="00E10C77" w:rsidRDefault="00537932" w:rsidP="0053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2340" w:type="dxa"/>
          </w:tcPr>
          <w:p w14:paraId="66DEB34B" w14:textId="77777777" w:rsidR="00537932" w:rsidRPr="00E10C77" w:rsidRDefault="00537932" w:rsidP="00F170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80.1</w:t>
            </w:r>
            <w:r w:rsidR="00C333C3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</w:t>
            </w:r>
            <w:r w:rsidR="00F170BA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21.30</w:t>
            </w:r>
          </w:p>
        </w:tc>
        <w:tc>
          <w:tcPr>
            <w:tcW w:w="2885" w:type="dxa"/>
          </w:tcPr>
          <w:p w14:paraId="08912F66" w14:textId="77777777" w:rsidR="00537932" w:rsidRPr="00E10C77" w:rsidRDefault="00537932" w:rsidP="005379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104.3</w:t>
            </w:r>
            <w:r w:rsidR="006A4A8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33.4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</w:t>
            </w:r>
          </w:p>
        </w:tc>
      </w:tr>
      <w:tr w:rsidR="00537932" w:rsidRPr="00E10C77" w14:paraId="3B0756C3" w14:textId="77777777" w:rsidTr="003D4FB5">
        <w:trPr>
          <w:trHeight w:val="285"/>
        </w:trPr>
        <w:tc>
          <w:tcPr>
            <w:tcW w:w="2605" w:type="dxa"/>
          </w:tcPr>
          <w:p w14:paraId="14EEF6E5" w14:textId="77777777" w:rsidR="00537932" w:rsidRPr="00E10C77" w:rsidRDefault="00537932" w:rsidP="0053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2340" w:type="dxa"/>
          </w:tcPr>
          <w:p w14:paraId="2E8260DF" w14:textId="77777777" w:rsidR="00537932" w:rsidRPr="00E10C77" w:rsidRDefault="00537932" w:rsidP="005379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65.35 ± 11.9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14:paraId="5ACB0EE5" w14:textId="77777777" w:rsidR="00537932" w:rsidRPr="00E10C77" w:rsidRDefault="00537932" w:rsidP="00740D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  <w:rtl/>
              </w:rPr>
              <w:t>79</w:t>
            </w: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</w:rPr>
              <w:t>.</w:t>
            </w: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  <w:rtl/>
              </w:rPr>
              <w:t>2</w:t>
            </w:r>
            <w:r w:rsidR="00740DB4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3</w:t>
            </w:r>
            <w:r w:rsidRPr="00E10C77">
              <w:rPr>
                <w:rFonts w:ascii="Times New Roman" w:eastAsia="Times New Roman" w:hAnsi="Times New Roman" w:cs="Times New Roman"/>
                <w:bCs/>
                <w:i/>
                <w:position w:val="-1"/>
                <w:sz w:val="24"/>
                <w:szCs w:val="24"/>
              </w:rPr>
              <w:t xml:space="preserve"> ±</w:t>
            </w: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  <w:rtl/>
              </w:rPr>
              <w:t>15</w:t>
            </w: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</w:rPr>
              <w:t>.</w:t>
            </w:r>
            <w:r w:rsidRPr="00E10C77">
              <w:rPr>
                <w:rFonts w:ascii="Times New Roman" w:eastAsia="Times New Roman" w:hAnsi="Times New Roman" w:cs="Times New Roman"/>
                <w:bCs/>
                <w:i/>
                <w:position w:val="-1"/>
                <w:sz w:val="24"/>
                <w:szCs w:val="24"/>
              </w:rPr>
              <w:t>6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/>
                <w:position w:val="-1"/>
                <w:sz w:val="24"/>
                <w:szCs w:val="24"/>
              </w:rPr>
              <w:t>3</w:t>
            </w:r>
          </w:p>
        </w:tc>
      </w:tr>
      <w:tr w:rsidR="00537932" w:rsidRPr="00E10C77" w14:paraId="239E973D" w14:textId="77777777" w:rsidTr="003D4FB5">
        <w:trPr>
          <w:trHeight w:val="285"/>
        </w:trPr>
        <w:tc>
          <w:tcPr>
            <w:tcW w:w="2605" w:type="dxa"/>
          </w:tcPr>
          <w:p w14:paraId="23983C13" w14:textId="77777777" w:rsidR="00537932" w:rsidRPr="00E10C77" w:rsidRDefault="00537932" w:rsidP="0053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2340" w:type="dxa"/>
          </w:tcPr>
          <w:p w14:paraId="22457873" w14:textId="77777777" w:rsidR="00537932" w:rsidRPr="00E10C77" w:rsidRDefault="00537932" w:rsidP="005379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63.95 ± 11.4</w:t>
            </w:r>
            <w:r w:rsidR="007C1D61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14:paraId="5E2A9B8F" w14:textId="56E3A8E9" w:rsidR="00537932" w:rsidRPr="00E10C77" w:rsidRDefault="00E10C77" w:rsidP="005379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  <w:rtl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78.55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±</w:t>
            </w:r>
            <w:r w:rsidR="00537932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12.7</w:t>
            </w:r>
            <w:r w:rsidR="0031742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</w:t>
            </w:r>
          </w:p>
        </w:tc>
      </w:tr>
      <w:tr w:rsidR="00537932" w:rsidRPr="00E10C77" w14:paraId="597DBBF9" w14:textId="77777777" w:rsidTr="003D4FB5">
        <w:trPr>
          <w:trHeight w:val="285"/>
        </w:trPr>
        <w:tc>
          <w:tcPr>
            <w:tcW w:w="2605" w:type="dxa"/>
          </w:tcPr>
          <w:p w14:paraId="161CD448" w14:textId="77777777" w:rsidR="00537932" w:rsidRPr="00E10C77" w:rsidRDefault="00537932" w:rsidP="0053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2340" w:type="dxa"/>
          </w:tcPr>
          <w:p w14:paraId="6B088ED1" w14:textId="77777777" w:rsidR="00537932" w:rsidRPr="00E10C77" w:rsidRDefault="00537932" w:rsidP="002268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26.7</w:t>
            </w:r>
            <w:r w:rsidR="00C333C3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± </w:t>
            </w:r>
            <w:r w:rsidR="00226840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3.60</w:t>
            </w:r>
          </w:p>
        </w:tc>
        <w:tc>
          <w:tcPr>
            <w:tcW w:w="2885" w:type="dxa"/>
          </w:tcPr>
          <w:p w14:paraId="425BDEC3" w14:textId="5FE0B1BE" w:rsidR="00537932" w:rsidRPr="00E10C77" w:rsidRDefault="00E10C77" w:rsidP="006C4B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48.80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  <w:vertAlign w:val="subscript"/>
              </w:rPr>
              <w:t xml:space="preserve"> ±</w:t>
            </w:r>
            <w:r w:rsidR="00537932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</w:t>
            </w:r>
            <w:r w:rsidR="006C4BF3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10.50</w:t>
            </w:r>
          </w:p>
        </w:tc>
      </w:tr>
      <w:tr w:rsidR="00537932" w:rsidRPr="00E10C77" w14:paraId="25AB1AFE" w14:textId="77777777" w:rsidTr="003D4FB5">
        <w:trPr>
          <w:trHeight w:val="285"/>
        </w:trPr>
        <w:tc>
          <w:tcPr>
            <w:tcW w:w="2605" w:type="dxa"/>
            <w:tcBorders>
              <w:bottom w:val="single" w:sz="12" w:space="0" w:color="auto"/>
            </w:tcBorders>
          </w:tcPr>
          <w:p w14:paraId="47A13731" w14:textId="77777777" w:rsidR="00537932" w:rsidRPr="00E10C77" w:rsidRDefault="00537932" w:rsidP="0053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77">
              <w:rPr>
                <w:rFonts w:ascii="Times New Roman" w:hAnsi="Times New Roman" w:cs="Times New Roman"/>
                <w:sz w:val="24"/>
                <w:szCs w:val="24"/>
              </w:rPr>
              <w:t>Stander deviation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0ECF36AF" w14:textId="6C956F39" w:rsidR="00537932" w:rsidRPr="00E10C77" w:rsidRDefault="00E10C77" w:rsidP="00E309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12.32</w:t>
            </w:r>
            <w:r w:rsidRPr="00E10C77">
              <w:rPr>
                <w:rFonts w:ascii="Times New Roman" w:eastAsia="Times New Roman" w:hAnsi="Times New Roman" w:cs="Times New Roman"/>
                <w:b/>
                <w:i/>
                <w:position w:val="-1"/>
                <w:sz w:val="24"/>
                <w:szCs w:val="24"/>
              </w:rPr>
              <w:t xml:space="preserve"> ±</w:t>
            </w:r>
            <w:r w:rsidR="00537932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</w:t>
            </w:r>
            <w:r w:rsidR="00E30942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2.45</w:t>
            </w:r>
          </w:p>
        </w:tc>
        <w:tc>
          <w:tcPr>
            <w:tcW w:w="2885" w:type="dxa"/>
            <w:tcBorders>
              <w:bottom w:val="single" w:sz="12" w:space="0" w:color="auto"/>
            </w:tcBorders>
          </w:tcPr>
          <w:p w14:paraId="3E718FEC" w14:textId="77777777" w:rsidR="00537932" w:rsidRPr="00E10C77" w:rsidRDefault="00537932" w:rsidP="00F170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</w:pP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25.9</w:t>
            </w:r>
            <w:r w:rsidR="00740DB4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5</w:t>
            </w:r>
            <w:r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 xml:space="preserve"> ± </w:t>
            </w:r>
            <w:r w:rsidR="00F170BA" w:rsidRPr="00E10C77">
              <w:rPr>
                <w:rFonts w:ascii="Times New Roman" w:eastAsia="Times New Roman" w:hAnsi="Times New Roman" w:cs="Times New Roman"/>
                <w:bCs/>
                <w:iCs/>
                <w:position w:val="-1"/>
                <w:sz w:val="24"/>
                <w:szCs w:val="24"/>
              </w:rPr>
              <w:t>3.55</w:t>
            </w:r>
          </w:p>
        </w:tc>
      </w:tr>
    </w:tbl>
    <w:p w14:paraId="303735FA" w14:textId="77777777" w:rsidR="007210A6" w:rsidRPr="00E10C77" w:rsidRDefault="007210A6" w:rsidP="007210A6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11E7808" w14:textId="77777777" w:rsidR="00091A8C" w:rsidRPr="00E10C77" w:rsidRDefault="00091A8C">
      <w:pPr>
        <w:rPr>
          <w:rFonts w:ascii="Times New Roman" w:hAnsi="Times New Roman" w:cs="Times New Roman"/>
          <w:sz w:val="24"/>
          <w:szCs w:val="24"/>
        </w:rPr>
      </w:pPr>
    </w:p>
    <w:sectPr w:rsidR="00091A8C" w:rsidRPr="00E1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6B"/>
    <w:rsid w:val="00044840"/>
    <w:rsid w:val="00063D21"/>
    <w:rsid w:val="00091A8C"/>
    <w:rsid w:val="00093BB9"/>
    <w:rsid w:val="000E53FF"/>
    <w:rsid w:val="000F56BA"/>
    <w:rsid w:val="00195AA1"/>
    <w:rsid w:val="001F23B0"/>
    <w:rsid w:val="00226840"/>
    <w:rsid w:val="0026165B"/>
    <w:rsid w:val="00317420"/>
    <w:rsid w:val="00320A14"/>
    <w:rsid w:val="00330589"/>
    <w:rsid w:val="003370D5"/>
    <w:rsid w:val="003446E9"/>
    <w:rsid w:val="003B170A"/>
    <w:rsid w:val="003D4FB5"/>
    <w:rsid w:val="004B6A93"/>
    <w:rsid w:val="00537932"/>
    <w:rsid w:val="00651ECC"/>
    <w:rsid w:val="00672B34"/>
    <w:rsid w:val="00681B26"/>
    <w:rsid w:val="00694A2A"/>
    <w:rsid w:val="006A4A80"/>
    <w:rsid w:val="006C4BF3"/>
    <w:rsid w:val="006E404C"/>
    <w:rsid w:val="007210A6"/>
    <w:rsid w:val="007223E3"/>
    <w:rsid w:val="00732925"/>
    <w:rsid w:val="00740DB4"/>
    <w:rsid w:val="0074429C"/>
    <w:rsid w:val="007B6CC5"/>
    <w:rsid w:val="007C1D61"/>
    <w:rsid w:val="007C44A9"/>
    <w:rsid w:val="00842880"/>
    <w:rsid w:val="0089610B"/>
    <w:rsid w:val="00936F6B"/>
    <w:rsid w:val="00943B1B"/>
    <w:rsid w:val="00974D9D"/>
    <w:rsid w:val="0099064E"/>
    <w:rsid w:val="00A11667"/>
    <w:rsid w:val="00AF1479"/>
    <w:rsid w:val="00B5177A"/>
    <w:rsid w:val="00B93F86"/>
    <w:rsid w:val="00B96C0A"/>
    <w:rsid w:val="00C333C3"/>
    <w:rsid w:val="00C56227"/>
    <w:rsid w:val="00CC578C"/>
    <w:rsid w:val="00CF058F"/>
    <w:rsid w:val="00CF540C"/>
    <w:rsid w:val="00D0284E"/>
    <w:rsid w:val="00DF020B"/>
    <w:rsid w:val="00DF0B34"/>
    <w:rsid w:val="00E10C77"/>
    <w:rsid w:val="00E30942"/>
    <w:rsid w:val="00E96FE8"/>
    <w:rsid w:val="00EB6890"/>
    <w:rsid w:val="00F170BA"/>
    <w:rsid w:val="00F52BF5"/>
    <w:rsid w:val="00FC6EB2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807A"/>
  <w15:chartTrackingRefBased/>
  <w15:docId w15:val="{86B8919C-F350-4230-9228-B58656C3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0F56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F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E53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abdallah.saad2256@gmail.com</cp:lastModifiedBy>
  <cp:revision>94</cp:revision>
  <dcterms:created xsi:type="dcterms:W3CDTF">2024-10-12T20:30:00Z</dcterms:created>
  <dcterms:modified xsi:type="dcterms:W3CDTF">2025-11-17T15:41:00Z</dcterms:modified>
</cp:coreProperties>
</file>