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85A2A" w14:textId="77777777" w:rsidR="0085654A" w:rsidRPr="00C16EF1" w:rsidRDefault="00AA5504" w:rsidP="00151F43">
      <w:pPr>
        <w:spacing w:line="480" w:lineRule="auto"/>
        <w:jc w:val="both"/>
        <w:rPr>
          <w:rFonts w:ascii="Times New Roman" w:hAnsi="Times New Roman" w:cs="Times New Roman"/>
          <w:b/>
          <w:sz w:val="28"/>
          <w:szCs w:val="24"/>
          <w:lang w:val="en-US"/>
        </w:rPr>
      </w:pPr>
      <w:r w:rsidRPr="00C16EF1">
        <w:rPr>
          <w:rFonts w:ascii="Times New Roman" w:hAnsi="Times New Roman" w:cs="Times New Roman"/>
          <w:b/>
          <w:sz w:val="28"/>
          <w:szCs w:val="24"/>
          <w:lang w:val="en-US"/>
        </w:rPr>
        <w:t xml:space="preserve">Supplementary </w:t>
      </w:r>
      <w:r w:rsidR="007614C2" w:rsidRPr="00C16EF1">
        <w:rPr>
          <w:rFonts w:ascii="Times New Roman" w:hAnsi="Times New Roman" w:cs="Times New Roman"/>
          <w:b/>
          <w:sz w:val="28"/>
          <w:szCs w:val="24"/>
          <w:lang w:val="en-US"/>
        </w:rPr>
        <w:t>Information</w:t>
      </w:r>
    </w:p>
    <w:p w14:paraId="72F801BA" w14:textId="77777777" w:rsidR="005E3248" w:rsidRPr="00066097" w:rsidRDefault="005E3248" w:rsidP="005E3248">
      <w:pPr>
        <w:spacing w:line="480" w:lineRule="auto"/>
        <w:rPr>
          <w:lang w:val="en-US"/>
        </w:rPr>
      </w:pPr>
    </w:p>
    <w:tbl>
      <w:tblPr>
        <w:tblW w:w="9440" w:type="dxa"/>
        <w:tblInd w:w="80" w:type="dxa"/>
        <w:tblCellMar>
          <w:left w:w="70" w:type="dxa"/>
          <w:right w:w="70" w:type="dxa"/>
        </w:tblCellMar>
        <w:tblLook w:val="04A0" w:firstRow="1" w:lastRow="0" w:firstColumn="1" w:lastColumn="0" w:noHBand="0" w:noVBand="1"/>
      </w:tblPr>
      <w:tblGrid>
        <w:gridCol w:w="1360"/>
        <w:gridCol w:w="1660"/>
        <w:gridCol w:w="1365"/>
        <w:gridCol w:w="655"/>
        <w:gridCol w:w="1540"/>
        <w:gridCol w:w="1340"/>
        <w:gridCol w:w="1520"/>
      </w:tblGrid>
      <w:tr w:rsidR="00672678" w:rsidRPr="00AA5504" w14:paraId="4CF2F678" w14:textId="77777777" w:rsidTr="00204CBE">
        <w:trPr>
          <w:trHeight w:val="324"/>
        </w:trPr>
        <w:tc>
          <w:tcPr>
            <w:tcW w:w="136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2F67422B" w14:textId="77777777" w:rsidR="005E3248" w:rsidRPr="00AA5504" w:rsidRDefault="005E3248" w:rsidP="0085654A">
            <w:pPr>
              <w:jc w:val="center"/>
              <w:rPr>
                <w:rFonts w:ascii="Times New Roman" w:eastAsia="Times New Roman" w:hAnsi="Times New Roman" w:cs="Times New Roman"/>
                <w:b/>
                <w:bCs/>
                <w:color w:val="000000"/>
              </w:rPr>
            </w:pPr>
            <w:r w:rsidRPr="00AA5504">
              <w:rPr>
                <w:rFonts w:ascii="Times New Roman" w:eastAsia="Times New Roman" w:hAnsi="Times New Roman" w:cs="Times New Roman"/>
                <w:b/>
                <w:bCs/>
                <w:color w:val="000000"/>
              </w:rPr>
              <w:t xml:space="preserve">Sample </w:t>
            </w:r>
            <w:proofErr w:type="spellStart"/>
            <w:r w:rsidRPr="00AA5504">
              <w:rPr>
                <w:rFonts w:ascii="Times New Roman" w:eastAsia="Times New Roman" w:hAnsi="Times New Roman" w:cs="Times New Roman"/>
                <w:b/>
                <w:bCs/>
                <w:color w:val="000000"/>
              </w:rPr>
              <w:t>name</w:t>
            </w:r>
            <w:proofErr w:type="spellEnd"/>
          </w:p>
        </w:tc>
        <w:tc>
          <w:tcPr>
            <w:tcW w:w="1660" w:type="dxa"/>
            <w:tcBorders>
              <w:top w:val="single" w:sz="8" w:space="0" w:color="auto"/>
              <w:left w:val="nil"/>
              <w:bottom w:val="double" w:sz="6" w:space="0" w:color="auto"/>
              <w:right w:val="single" w:sz="4" w:space="0" w:color="auto"/>
            </w:tcBorders>
            <w:shd w:val="clear" w:color="auto" w:fill="auto"/>
            <w:noWrap/>
            <w:vAlign w:val="center"/>
            <w:hideMark/>
          </w:tcPr>
          <w:p w14:paraId="2762405E" w14:textId="77777777" w:rsidR="005E3248" w:rsidRPr="00AA5504" w:rsidRDefault="005E3248" w:rsidP="0085654A">
            <w:pPr>
              <w:jc w:val="center"/>
              <w:rPr>
                <w:rFonts w:ascii="Times New Roman" w:eastAsia="Times New Roman" w:hAnsi="Times New Roman" w:cs="Times New Roman"/>
                <w:b/>
                <w:bCs/>
                <w:color w:val="000000"/>
              </w:rPr>
            </w:pPr>
            <w:proofErr w:type="spellStart"/>
            <w:r w:rsidRPr="00AA5504">
              <w:rPr>
                <w:rFonts w:ascii="Times New Roman" w:eastAsia="Times New Roman" w:hAnsi="Times New Roman" w:cs="Times New Roman"/>
                <w:b/>
                <w:bCs/>
                <w:color w:val="000000"/>
              </w:rPr>
              <w:t>Core</w:t>
            </w:r>
            <w:proofErr w:type="spellEnd"/>
            <w:r w:rsidRPr="00AA5504">
              <w:rPr>
                <w:rFonts w:ascii="Times New Roman" w:eastAsia="Times New Roman" w:hAnsi="Times New Roman" w:cs="Times New Roman"/>
                <w:b/>
                <w:bCs/>
                <w:color w:val="000000"/>
              </w:rPr>
              <w:t xml:space="preserve"> </w:t>
            </w:r>
            <w:proofErr w:type="spellStart"/>
            <w:r w:rsidRPr="00AA5504">
              <w:rPr>
                <w:rFonts w:ascii="Times New Roman" w:eastAsia="Times New Roman" w:hAnsi="Times New Roman" w:cs="Times New Roman"/>
                <w:b/>
                <w:bCs/>
                <w:color w:val="000000"/>
              </w:rPr>
              <w:t>depth</w:t>
            </w:r>
            <w:proofErr w:type="spellEnd"/>
            <w:r w:rsidRPr="00AA5504">
              <w:rPr>
                <w:rFonts w:ascii="Times New Roman" w:eastAsia="Times New Roman" w:hAnsi="Times New Roman" w:cs="Times New Roman"/>
                <w:b/>
                <w:bCs/>
                <w:color w:val="000000"/>
              </w:rPr>
              <w:t xml:space="preserve"> (cm)</w:t>
            </w:r>
          </w:p>
        </w:tc>
        <w:tc>
          <w:tcPr>
            <w:tcW w:w="1365" w:type="dxa"/>
            <w:tcBorders>
              <w:top w:val="single" w:sz="8" w:space="0" w:color="auto"/>
              <w:left w:val="nil"/>
              <w:bottom w:val="double" w:sz="6" w:space="0" w:color="auto"/>
              <w:right w:val="single" w:sz="4" w:space="0" w:color="auto"/>
            </w:tcBorders>
            <w:shd w:val="clear" w:color="auto" w:fill="auto"/>
            <w:noWrap/>
            <w:vAlign w:val="center"/>
            <w:hideMark/>
          </w:tcPr>
          <w:p w14:paraId="7F4C1A54" w14:textId="77777777" w:rsidR="005E3248" w:rsidRPr="00AA5504" w:rsidRDefault="005E3248" w:rsidP="0085654A">
            <w:pPr>
              <w:jc w:val="center"/>
              <w:rPr>
                <w:rFonts w:ascii="Times New Roman" w:eastAsia="Times New Roman" w:hAnsi="Times New Roman" w:cs="Times New Roman"/>
                <w:b/>
                <w:bCs/>
                <w:color w:val="000000"/>
              </w:rPr>
            </w:pPr>
            <w:r w:rsidRPr="00AA5504">
              <w:rPr>
                <w:rFonts w:ascii="Times New Roman" w:eastAsia="Times New Roman" w:hAnsi="Times New Roman" w:cs="Times New Roman"/>
                <w:b/>
                <w:bCs/>
                <w:color w:val="000000"/>
              </w:rPr>
              <w:t>Material</w:t>
            </w:r>
          </w:p>
        </w:tc>
        <w:tc>
          <w:tcPr>
            <w:tcW w:w="655" w:type="dxa"/>
            <w:tcBorders>
              <w:top w:val="single" w:sz="8" w:space="0" w:color="auto"/>
              <w:left w:val="nil"/>
              <w:bottom w:val="double" w:sz="6" w:space="0" w:color="auto"/>
              <w:right w:val="single" w:sz="4" w:space="0" w:color="auto"/>
            </w:tcBorders>
            <w:shd w:val="clear" w:color="auto" w:fill="auto"/>
            <w:noWrap/>
            <w:vAlign w:val="center"/>
            <w:hideMark/>
          </w:tcPr>
          <w:p w14:paraId="259B13F6" w14:textId="77777777" w:rsidR="005E3248" w:rsidRPr="00AA5504" w:rsidRDefault="005E3248" w:rsidP="0085654A">
            <w:pPr>
              <w:jc w:val="center"/>
              <w:rPr>
                <w:rFonts w:ascii="Times New Roman" w:eastAsia="Times New Roman" w:hAnsi="Times New Roman" w:cs="Times New Roman"/>
                <w:b/>
                <w:bCs/>
                <w:color w:val="000000"/>
              </w:rPr>
            </w:pPr>
            <w:r w:rsidRPr="00AA5504">
              <w:rPr>
                <w:rFonts w:ascii="Times New Roman" w:eastAsia="Times New Roman" w:hAnsi="Times New Roman" w:cs="Times New Roman"/>
                <w:b/>
                <w:bCs/>
                <w:color w:val="000000"/>
              </w:rPr>
              <w:t>mg C</w:t>
            </w:r>
          </w:p>
        </w:tc>
        <w:tc>
          <w:tcPr>
            <w:tcW w:w="1540" w:type="dxa"/>
            <w:tcBorders>
              <w:top w:val="single" w:sz="8" w:space="0" w:color="auto"/>
              <w:left w:val="nil"/>
              <w:bottom w:val="double" w:sz="6" w:space="0" w:color="auto"/>
              <w:right w:val="single" w:sz="4" w:space="0" w:color="auto"/>
            </w:tcBorders>
            <w:shd w:val="clear" w:color="auto" w:fill="auto"/>
            <w:noWrap/>
            <w:vAlign w:val="center"/>
            <w:hideMark/>
          </w:tcPr>
          <w:p w14:paraId="49597931" w14:textId="77777777" w:rsidR="005E3248" w:rsidRPr="00AA5504" w:rsidRDefault="005E3248" w:rsidP="0085654A">
            <w:pPr>
              <w:jc w:val="center"/>
              <w:rPr>
                <w:rFonts w:ascii="Times New Roman" w:eastAsia="Times New Roman" w:hAnsi="Times New Roman" w:cs="Times New Roman"/>
                <w:b/>
                <w:bCs/>
                <w:color w:val="000000"/>
              </w:rPr>
            </w:pPr>
            <w:r w:rsidRPr="00AA5504">
              <w:rPr>
                <w:rFonts w:ascii="Times New Roman" w:eastAsia="Times New Roman" w:hAnsi="Times New Roman" w:cs="Times New Roman"/>
                <w:b/>
                <w:bCs/>
                <w:color w:val="000000"/>
                <w:vertAlign w:val="superscript"/>
              </w:rPr>
              <w:t>14</w:t>
            </w:r>
            <w:r w:rsidRPr="00AA5504">
              <w:rPr>
                <w:rFonts w:ascii="Times New Roman" w:eastAsia="Times New Roman" w:hAnsi="Times New Roman" w:cs="Times New Roman"/>
                <w:b/>
                <w:bCs/>
                <w:color w:val="000000"/>
              </w:rPr>
              <w:t xml:space="preserve">C age (yr BP) </w:t>
            </w:r>
          </w:p>
        </w:tc>
        <w:tc>
          <w:tcPr>
            <w:tcW w:w="1340" w:type="dxa"/>
            <w:tcBorders>
              <w:top w:val="single" w:sz="8" w:space="0" w:color="auto"/>
              <w:left w:val="nil"/>
              <w:bottom w:val="double" w:sz="6" w:space="0" w:color="auto"/>
              <w:right w:val="single" w:sz="4" w:space="0" w:color="auto"/>
            </w:tcBorders>
            <w:shd w:val="clear" w:color="auto" w:fill="auto"/>
            <w:noWrap/>
            <w:vAlign w:val="center"/>
            <w:hideMark/>
          </w:tcPr>
          <w:p w14:paraId="088B28D1" w14:textId="77777777" w:rsidR="005E3248" w:rsidRPr="00AA5504" w:rsidRDefault="005E3248" w:rsidP="0085654A">
            <w:pPr>
              <w:jc w:val="center"/>
              <w:rPr>
                <w:rFonts w:ascii="Times New Roman" w:eastAsia="Times New Roman" w:hAnsi="Times New Roman" w:cs="Times New Roman"/>
                <w:b/>
                <w:bCs/>
                <w:color w:val="000000"/>
              </w:rPr>
            </w:pPr>
            <w:proofErr w:type="spellStart"/>
            <w:r w:rsidRPr="00AA5504">
              <w:rPr>
                <w:rFonts w:ascii="Times New Roman" w:eastAsia="Times New Roman" w:hAnsi="Times New Roman" w:cs="Times New Roman"/>
                <w:b/>
                <w:bCs/>
                <w:color w:val="000000"/>
              </w:rPr>
              <w:t>Error</w:t>
            </w:r>
            <w:proofErr w:type="spellEnd"/>
            <w:r w:rsidRPr="00AA5504">
              <w:rPr>
                <w:rFonts w:ascii="Times New Roman" w:eastAsia="Times New Roman" w:hAnsi="Times New Roman" w:cs="Times New Roman"/>
                <w:b/>
                <w:bCs/>
                <w:color w:val="000000"/>
              </w:rPr>
              <w:t xml:space="preserve"> (yr BP)</w:t>
            </w:r>
          </w:p>
        </w:tc>
        <w:tc>
          <w:tcPr>
            <w:tcW w:w="1520" w:type="dxa"/>
            <w:tcBorders>
              <w:top w:val="single" w:sz="8" w:space="0" w:color="auto"/>
              <w:left w:val="nil"/>
              <w:bottom w:val="double" w:sz="6" w:space="0" w:color="auto"/>
              <w:right w:val="single" w:sz="8" w:space="0" w:color="auto"/>
            </w:tcBorders>
            <w:shd w:val="clear" w:color="auto" w:fill="auto"/>
            <w:noWrap/>
            <w:vAlign w:val="center"/>
            <w:hideMark/>
          </w:tcPr>
          <w:p w14:paraId="5DA98F7F" w14:textId="77777777" w:rsidR="005E3248" w:rsidRPr="00AA5504" w:rsidRDefault="005E3248" w:rsidP="0085654A">
            <w:pPr>
              <w:jc w:val="center"/>
              <w:rPr>
                <w:rFonts w:ascii="Times New Roman" w:eastAsia="Times New Roman" w:hAnsi="Times New Roman" w:cs="Times New Roman"/>
                <w:b/>
                <w:bCs/>
                <w:color w:val="000000"/>
              </w:rPr>
            </w:pPr>
            <w:r w:rsidRPr="00AA5504">
              <w:rPr>
                <w:rFonts w:ascii="Times New Roman" w:eastAsia="Times New Roman" w:hAnsi="Times New Roman" w:cs="Times New Roman"/>
                <w:b/>
                <w:bCs/>
                <w:color w:val="000000"/>
              </w:rPr>
              <w:t>Cal. yr BP (2σ)</w:t>
            </w:r>
          </w:p>
        </w:tc>
      </w:tr>
      <w:tr w:rsidR="005E3248" w:rsidRPr="00AA5504" w14:paraId="1194E549" w14:textId="77777777" w:rsidTr="00204CBE">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1FE632B0"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15020</w:t>
            </w:r>
          </w:p>
        </w:tc>
        <w:tc>
          <w:tcPr>
            <w:tcW w:w="1660" w:type="dxa"/>
            <w:tcBorders>
              <w:top w:val="nil"/>
              <w:left w:val="nil"/>
              <w:bottom w:val="single" w:sz="4" w:space="0" w:color="auto"/>
              <w:right w:val="single" w:sz="4" w:space="0" w:color="auto"/>
            </w:tcBorders>
            <w:shd w:val="clear" w:color="auto" w:fill="auto"/>
            <w:noWrap/>
            <w:vAlign w:val="center"/>
            <w:hideMark/>
          </w:tcPr>
          <w:p w14:paraId="5D333C4A"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84.5</w:t>
            </w:r>
          </w:p>
        </w:tc>
        <w:tc>
          <w:tcPr>
            <w:tcW w:w="1365" w:type="dxa"/>
            <w:tcBorders>
              <w:top w:val="nil"/>
              <w:left w:val="nil"/>
              <w:bottom w:val="single" w:sz="4" w:space="0" w:color="auto"/>
              <w:right w:val="single" w:sz="4" w:space="0" w:color="auto"/>
            </w:tcBorders>
            <w:shd w:val="clear" w:color="auto" w:fill="auto"/>
            <w:noWrap/>
            <w:vAlign w:val="center"/>
            <w:hideMark/>
          </w:tcPr>
          <w:p w14:paraId="119CBF1F" w14:textId="77777777" w:rsidR="005E3248" w:rsidRPr="00AA5504" w:rsidRDefault="005E3248" w:rsidP="0085654A">
            <w:pPr>
              <w:jc w:val="center"/>
              <w:rPr>
                <w:rFonts w:ascii="Times New Roman" w:eastAsia="Times New Roman" w:hAnsi="Times New Roman" w:cs="Times New Roman"/>
                <w:i/>
                <w:iCs/>
                <w:color w:val="000000"/>
              </w:rPr>
            </w:pPr>
            <w:r w:rsidRPr="00AA5504">
              <w:rPr>
                <w:rFonts w:ascii="Times New Roman" w:eastAsia="Times New Roman" w:hAnsi="Times New Roman" w:cs="Times New Roman"/>
                <w:i/>
                <w:iCs/>
                <w:color w:val="000000"/>
              </w:rPr>
              <w:t xml:space="preserve">bulk </w:t>
            </w:r>
            <w:proofErr w:type="spellStart"/>
            <w:r w:rsidRPr="00AA5504">
              <w:rPr>
                <w:rFonts w:ascii="Times New Roman" w:eastAsia="Times New Roman" w:hAnsi="Times New Roman" w:cs="Times New Roman"/>
                <w:i/>
                <w:iCs/>
                <w:color w:val="000000"/>
              </w:rPr>
              <w:t>organic</w:t>
            </w:r>
            <w:proofErr w:type="spellEnd"/>
            <w:r w:rsidRPr="00AA5504">
              <w:rPr>
                <w:rFonts w:ascii="Times New Roman" w:eastAsia="Times New Roman" w:hAnsi="Times New Roman" w:cs="Times New Roman"/>
                <w:i/>
                <w:iCs/>
                <w:color w:val="000000"/>
              </w:rPr>
              <w:t xml:space="preserve"> </w:t>
            </w:r>
          </w:p>
        </w:tc>
        <w:tc>
          <w:tcPr>
            <w:tcW w:w="655" w:type="dxa"/>
            <w:tcBorders>
              <w:top w:val="nil"/>
              <w:left w:val="nil"/>
              <w:bottom w:val="single" w:sz="4" w:space="0" w:color="auto"/>
              <w:right w:val="single" w:sz="4" w:space="0" w:color="auto"/>
            </w:tcBorders>
            <w:shd w:val="clear" w:color="auto" w:fill="auto"/>
            <w:noWrap/>
            <w:vAlign w:val="center"/>
            <w:hideMark/>
          </w:tcPr>
          <w:p w14:paraId="455CD2BE"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1.2</w:t>
            </w:r>
          </w:p>
        </w:tc>
        <w:tc>
          <w:tcPr>
            <w:tcW w:w="1540" w:type="dxa"/>
            <w:tcBorders>
              <w:top w:val="nil"/>
              <w:left w:val="nil"/>
              <w:bottom w:val="single" w:sz="4" w:space="0" w:color="auto"/>
              <w:right w:val="single" w:sz="4" w:space="0" w:color="auto"/>
            </w:tcBorders>
            <w:shd w:val="clear" w:color="auto" w:fill="auto"/>
            <w:noWrap/>
            <w:vAlign w:val="center"/>
            <w:hideMark/>
          </w:tcPr>
          <w:p w14:paraId="150D8BA2"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1835</w:t>
            </w:r>
            <w:r w:rsidRPr="005E3248">
              <w:rPr>
                <w:rFonts w:ascii="Times New Roman" w:eastAsia="Times New Roman" w:hAnsi="Times New Roman" w:cs="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hideMark/>
          </w:tcPr>
          <w:p w14:paraId="43B279B4"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40</w:t>
            </w:r>
          </w:p>
        </w:tc>
        <w:tc>
          <w:tcPr>
            <w:tcW w:w="1520" w:type="dxa"/>
            <w:tcBorders>
              <w:top w:val="nil"/>
              <w:left w:val="nil"/>
              <w:bottom w:val="single" w:sz="4" w:space="0" w:color="auto"/>
              <w:right w:val="single" w:sz="8" w:space="0" w:color="auto"/>
            </w:tcBorders>
            <w:shd w:val="clear" w:color="auto" w:fill="auto"/>
            <w:noWrap/>
            <w:vAlign w:val="center"/>
            <w:hideMark/>
          </w:tcPr>
          <w:p w14:paraId="30F3BC8B"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1694</w:t>
            </w:r>
            <w:r w:rsidR="00424582">
              <w:rPr>
                <w:rFonts w:ascii="Times New Roman" w:eastAsia="Times New Roman" w:hAnsi="Times New Roman" w:cs="Times New Roman"/>
                <w:color w:val="000000"/>
              </w:rPr>
              <w:t>-1873</w:t>
            </w:r>
          </w:p>
        </w:tc>
      </w:tr>
      <w:tr w:rsidR="005E3248" w:rsidRPr="00AA5504" w14:paraId="63E28765" w14:textId="77777777" w:rsidTr="00204CBE">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182CCB42"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14877</w:t>
            </w:r>
          </w:p>
        </w:tc>
        <w:tc>
          <w:tcPr>
            <w:tcW w:w="1660" w:type="dxa"/>
            <w:tcBorders>
              <w:top w:val="nil"/>
              <w:left w:val="nil"/>
              <w:bottom w:val="single" w:sz="4" w:space="0" w:color="auto"/>
              <w:right w:val="single" w:sz="4" w:space="0" w:color="auto"/>
            </w:tcBorders>
            <w:shd w:val="clear" w:color="auto" w:fill="auto"/>
            <w:noWrap/>
            <w:vAlign w:val="center"/>
            <w:hideMark/>
          </w:tcPr>
          <w:p w14:paraId="097E5D20"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86.5</w:t>
            </w:r>
          </w:p>
        </w:tc>
        <w:tc>
          <w:tcPr>
            <w:tcW w:w="1365" w:type="dxa"/>
            <w:tcBorders>
              <w:top w:val="nil"/>
              <w:left w:val="nil"/>
              <w:bottom w:val="single" w:sz="4" w:space="0" w:color="auto"/>
              <w:right w:val="single" w:sz="4" w:space="0" w:color="auto"/>
            </w:tcBorders>
            <w:shd w:val="clear" w:color="auto" w:fill="auto"/>
            <w:noWrap/>
            <w:vAlign w:val="center"/>
            <w:hideMark/>
          </w:tcPr>
          <w:p w14:paraId="4FC7464D" w14:textId="77777777" w:rsidR="005E3248" w:rsidRPr="00AA5504" w:rsidRDefault="005E3248" w:rsidP="0085654A">
            <w:pPr>
              <w:jc w:val="center"/>
              <w:rPr>
                <w:rFonts w:ascii="Times New Roman" w:eastAsia="Times New Roman" w:hAnsi="Times New Roman" w:cs="Times New Roman"/>
                <w:i/>
                <w:iCs/>
                <w:color w:val="000000"/>
              </w:rPr>
            </w:pPr>
            <w:r w:rsidRPr="00AA5504">
              <w:rPr>
                <w:rFonts w:ascii="Times New Roman" w:eastAsia="Times New Roman" w:hAnsi="Times New Roman" w:cs="Times New Roman"/>
                <w:i/>
                <w:iCs/>
                <w:color w:val="000000"/>
              </w:rPr>
              <w:t xml:space="preserve">bulk </w:t>
            </w:r>
            <w:proofErr w:type="spellStart"/>
            <w:r w:rsidRPr="00AA5504">
              <w:rPr>
                <w:rFonts w:ascii="Times New Roman" w:eastAsia="Times New Roman" w:hAnsi="Times New Roman" w:cs="Times New Roman"/>
                <w:i/>
                <w:iCs/>
                <w:color w:val="000000"/>
              </w:rPr>
              <w:t>organic</w:t>
            </w:r>
            <w:proofErr w:type="spellEnd"/>
            <w:r w:rsidRPr="00AA5504">
              <w:rPr>
                <w:rFonts w:ascii="Times New Roman" w:eastAsia="Times New Roman" w:hAnsi="Times New Roman" w:cs="Times New Roman"/>
                <w:i/>
                <w:iCs/>
                <w:color w:val="000000"/>
              </w:rPr>
              <w:t xml:space="preserve"> </w:t>
            </w:r>
          </w:p>
        </w:tc>
        <w:tc>
          <w:tcPr>
            <w:tcW w:w="655" w:type="dxa"/>
            <w:tcBorders>
              <w:top w:val="nil"/>
              <w:left w:val="nil"/>
              <w:bottom w:val="single" w:sz="4" w:space="0" w:color="auto"/>
              <w:right w:val="single" w:sz="4" w:space="0" w:color="auto"/>
            </w:tcBorders>
            <w:shd w:val="clear" w:color="auto" w:fill="auto"/>
            <w:noWrap/>
            <w:vAlign w:val="center"/>
            <w:hideMark/>
          </w:tcPr>
          <w:p w14:paraId="2AE0E239"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0.6</w:t>
            </w:r>
          </w:p>
        </w:tc>
        <w:tc>
          <w:tcPr>
            <w:tcW w:w="1540" w:type="dxa"/>
            <w:tcBorders>
              <w:top w:val="nil"/>
              <w:left w:val="nil"/>
              <w:bottom w:val="single" w:sz="4" w:space="0" w:color="auto"/>
              <w:right w:val="single" w:sz="4" w:space="0" w:color="auto"/>
            </w:tcBorders>
            <w:shd w:val="clear" w:color="auto" w:fill="auto"/>
            <w:noWrap/>
            <w:vAlign w:val="center"/>
            <w:hideMark/>
          </w:tcPr>
          <w:p w14:paraId="10536DEA"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2135</w:t>
            </w:r>
            <w:r w:rsidRPr="005E3248">
              <w:rPr>
                <w:rFonts w:ascii="Times New Roman" w:eastAsia="Times New Roman" w:hAnsi="Times New Roman" w:cs="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hideMark/>
          </w:tcPr>
          <w:p w14:paraId="6BAC6F3D"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40</w:t>
            </w:r>
          </w:p>
        </w:tc>
        <w:tc>
          <w:tcPr>
            <w:tcW w:w="1520" w:type="dxa"/>
            <w:tcBorders>
              <w:top w:val="nil"/>
              <w:left w:val="nil"/>
              <w:bottom w:val="single" w:sz="4" w:space="0" w:color="auto"/>
              <w:right w:val="single" w:sz="8" w:space="0" w:color="auto"/>
            </w:tcBorders>
            <w:shd w:val="clear" w:color="auto" w:fill="auto"/>
            <w:noWrap/>
            <w:vAlign w:val="center"/>
            <w:hideMark/>
          </w:tcPr>
          <w:p w14:paraId="51347111"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1998</w:t>
            </w:r>
            <w:r w:rsidR="00424582">
              <w:rPr>
                <w:rFonts w:ascii="Times New Roman" w:eastAsia="Times New Roman" w:hAnsi="Times New Roman" w:cs="Times New Roman"/>
                <w:color w:val="000000"/>
              </w:rPr>
              <w:t>-2183</w:t>
            </w:r>
          </w:p>
        </w:tc>
      </w:tr>
      <w:tr w:rsidR="005E3248" w:rsidRPr="00AA5504" w14:paraId="24D4C9E2" w14:textId="77777777" w:rsidTr="00204CBE">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04710EF4"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14880</w:t>
            </w:r>
          </w:p>
        </w:tc>
        <w:tc>
          <w:tcPr>
            <w:tcW w:w="1660" w:type="dxa"/>
            <w:tcBorders>
              <w:top w:val="nil"/>
              <w:left w:val="nil"/>
              <w:bottom w:val="single" w:sz="4" w:space="0" w:color="auto"/>
              <w:right w:val="single" w:sz="4" w:space="0" w:color="auto"/>
            </w:tcBorders>
            <w:shd w:val="clear" w:color="auto" w:fill="auto"/>
            <w:noWrap/>
            <w:vAlign w:val="center"/>
            <w:hideMark/>
          </w:tcPr>
          <w:p w14:paraId="00575147"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174.7</w:t>
            </w:r>
          </w:p>
        </w:tc>
        <w:tc>
          <w:tcPr>
            <w:tcW w:w="1365" w:type="dxa"/>
            <w:tcBorders>
              <w:top w:val="nil"/>
              <w:left w:val="nil"/>
              <w:bottom w:val="single" w:sz="4" w:space="0" w:color="auto"/>
              <w:right w:val="single" w:sz="4" w:space="0" w:color="auto"/>
            </w:tcBorders>
            <w:shd w:val="clear" w:color="auto" w:fill="auto"/>
            <w:noWrap/>
            <w:vAlign w:val="center"/>
            <w:hideMark/>
          </w:tcPr>
          <w:p w14:paraId="30D5D1D5" w14:textId="77777777" w:rsidR="005E3248" w:rsidRPr="00AA5504" w:rsidRDefault="005E3248" w:rsidP="0085654A">
            <w:pPr>
              <w:jc w:val="center"/>
              <w:rPr>
                <w:rFonts w:ascii="Times New Roman" w:eastAsia="Times New Roman" w:hAnsi="Times New Roman" w:cs="Times New Roman"/>
                <w:i/>
                <w:iCs/>
                <w:color w:val="000000"/>
              </w:rPr>
            </w:pPr>
            <w:r w:rsidRPr="00AA5504">
              <w:rPr>
                <w:rFonts w:ascii="Times New Roman" w:eastAsia="Times New Roman" w:hAnsi="Times New Roman" w:cs="Times New Roman"/>
                <w:i/>
                <w:iCs/>
                <w:color w:val="000000"/>
              </w:rPr>
              <w:t xml:space="preserve">bulk </w:t>
            </w:r>
            <w:proofErr w:type="spellStart"/>
            <w:r w:rsidRPr="00AA5504">
              <w:rPr>
                <w:rFonts w:ascii="Times New Roman" w:eastAsia="Times New Roman" w:hAnsi="Times New Roman" w:cs="Times New Roman"/>
                <w:i/>
                <w:iCs/>
                <w:color w:val="000000"/>
              </w:rPr>
              <w:t>organic</w:t>
            </w:r>
            <w:proofErr w:type="spellEnd"/>
            <w:r w:rsidRPr="00AA5504">
              <w:rPr>
                <w:rFonts w:ascii="Times New Roman" w:eastAsia="Times New Roman" w:hAnsi="Times New Roman" w:cs="Times New Roman"/>
                <w:i/>
                <w:iCs/>
                <w:color w:val="000000"/>
              </w:rPr>
              <w:t xml:space="preserve"> </w:t>
            </w:r>
          </w:p>
        </w:tc>
        <w:tc>
          <w:tcPr>
            <w:tcW w:w="655" w:type="dxa"/>
            <w:tcBorders>
              <w:top w:val="nil"/>
              <w:left w:val="nil"/>
              <w:bottom w:val="single" w:sz="4" w:space="0" w:color="auto"/>
              <w:right w:val="single" w:sz="4" w:space="0" w:color="auto"/>
            </w:tcBorders>
            <w:shd w:val="clear" w:color="auto" w:fill="auto"/>
            <w:noWrap/>
            <w:vAlign w:val="center"/>
            <w:hideMark/>
          </w:tcPr>
          <w:p w14:paraId="15DFA556"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0.7</w:t>
            </w:r>
          </w:p>
        </w:tc>
        <w:tc>
          <w:tcPr>
            <w:tcW w:w="1540" w:type="dxa"/>
            <w:tcBorders>
              <w:top w:val="nil"/>
              <w:left w:val="nil"/>
              <w:bottom w:val="single" w:sz="4" w:space="0" w:color="auto"/>
              <w:right w:val="single" w:sz="4" w:space="0" w:color="auto"/>
            </w:tcBorders>
            <w:shd w:val="clear" w:color="auto" w:fill="auto"/>
            <w:noWrap/>
            <w:vAlign w:val="center"/>
            <w:hideMark/>
          </w:tcPr>
          <w:p w14:paraId="3FD684A5"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2015</w:t>
            </w:r>
            <w:r w:rsidRPr="005E3248">
              <w:rPr>
                <w:rFonts w:ascii="Times New Roman" w:eastAsia="Times New Roman" w:hAnsi="Times New Roman" w:cs="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hideMark/>
          </w:tcPr>
          <w:p w14:paraId="23AB94D2"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40</w:t>
            </w:r>
          </w:p>
        </w:tc>
        <w:tc>
          <w:tcPr>
            <w:tcW w:w="1520" w:type="dxa"/>
            <w:tcBorders>
              <w:top w:val="nil"/>
              <w:left w:val="nil"/>
              <w:bottom w:val="single" w:sz="4" w:space="0" w:color="auto"/>
              <w:right w:val="single" w:sz="8" w:space="0" w:color="auto"/>
            </w:tcBorders>
            <w:shd w:val="clear" w:color="auto" w:fill="auto"/>
            <w:noWrap/>
            <w:vAlign w:val="center"/>
            <w:hideMark/>
          </w:tcPr>
          <w:p w14:paraId="0878FED4"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1879</w:t>
            </w:r>
            <w:r w:rsidR="00424582">
              <w:rPr>
                <w:rFonts w:ascii="Times New Roman" w:eastAsia="Times New Roman" w:hAnsi="Times New Roman" w:cs="Times New Roman"/>
                <w:color w:val="000000"/>
              </w:rPr>
              <w:t>-2064</w:t>
            </w:r>
          </w:p>
        </w:tc>
      </w:tr>
      <w:tr w:rsidR="005E3248" w:rsidRPr="00AA5504" w14:paraId="0B8752F1" w14:textId="77777777" w:rsidTr="00204CBE">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1251A5CA"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15021</w:t>
            </w:r>
          </w:p>
        </w:tc>
        <w:tc>
          <w:tcPr>
            <w:tcW w:w="1660" w:type="dxa"/>
            <w:tcBorders>
              <w:top w:val="nil"/>
              <w:left w:val="nil"/>
              <w:bottom w:val="single" w:sz="4" w:space="0" w:color="auto"/>
              <w:right w:val="single" w:sz="4" w:space="0" w:color="auto"/>
            </w:tcBorders>
            <w:shd w:val="clear" w:color="auto" w:fill="auto"/>
            <w:noWrap/>
            <w:vAlign w:val="center"/>
            <w:hideMark/>
          </w:tcPr>
          <w:p w14:paraId="6152032F"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178.2</w:t>
            </w:r>
          </w:p>
        </w:tc>
        <w:tc>
          <w:tcPr>
            <w:tcW w:w="1365" w:type="dxa"/>
            <w:tcBorders>
              <w:top w:val="nil"/>
              <w:left w:val="nil"/>
              <w:bottom w:val="single" w:sz="4" w:space="0" w:color="auto"/>
              <w:right w:val="single" w:sz="4" w:space="0" w:color="auto"/>
            </w:tcBorders>
            <w:shd w:val="clear" w:color="auto" w:fill="auto"/>
            <w:noWrap/>
            <w:vAlign w:val="center"/>
            <w:hideMark/>
          </w:tcPr>
          <w:p w14:paraId="225102E2" w14:textId="77777777" w:rsidR="005E3248" w:rsidRPr="00AA5504" w:rsidRDefault="005E3248" w:rsidP="0085654A">
            <w:pPr>
              <w:jc w:val="center"/>
              <w:rPr>
                <w:rFonts w:ascii="Times New Roman" w:eastAsia="Times New Roman" w:hAnsi="Times New Roman" w:cs="Times New Roman"/>
                <w:i/>
                <w:iCs/>
                <w:color w:val="000000"/>
              </w:rPr>
            </w:pPr>
            <w:proofErr w:type="spellStart"/>
            <w:r w:rsidRPr="00AA5504">
              <w:rPr>
                <w:rFonts w:ascii="Times New Roman" w:eastAsia="Times New Roman" w:hAnsi="Times New Roman" w:cs="Times New Roman"/>
                <w:i/>
                <w:iCs/>
                <w:color w:val="000000"/>
              </w:rPr>
              <w:t>peat</w:t>
            </w:r>
            <w:proofErr w:type="spellEnd"/>
          </w:p>
        </w:tc>
        <w:tc>
          <w:tcPr>
            <w:tcW w:w="655" w:type="dxa"/>
            <w:tcBorders>
              <w:top w:val="nil"/>
              <w:left w:val="nil"/>
              <w:bottom w:val="single" w:sz="4" w:space="0" w:color="auto"/>
              <w:right w:val="single" w:sz="4" w:space="0" w:color="auto"/>
            </w:tcBorders>
            <w:shd w:val="clear" w:color="auto" w:fill="auto"/>
            <w:noWrap/>
            <w:vAlign w:val="center"/>
            <w:hideMark/>
          </w:tcPr>
          <w:p w14:paraId="18E865A8"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1.7</w:t>
            </w:r>
          </w:p>
        </w:tc>
        <w:tc>
          <w:tcPr>
            <w:tcW w:w="1540" w:type="dxa"/>
            <w:tcBorders>
              <w:top w:val="nil"/>
              <w:left w:val="nil"/>
              <w:bottom w:val="single" w:sz="4" w:space="0" w:color="auto"/>
              <w:right w:val="single" w:sz="4" w:space="0" w:color="auto"/>
            </w:tcBorders>
            <w:shd w:val="clear" w:color="auto" w:fill="auto"/>
            <w:noWrap/>
            <w:vAlign w:val="center"/>
            <w:hideMark/>
          </w:tcPr>
          <w:p w14:paraId="2690916F"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1465</w:t>
            </w:r>
          </w:p>
        </w:tc>
        <w:tc>
          <w:tcPr>
            <w:tcW w:w="1340" w:type="dxa"/>
            <w:tcBorders>
              <w:top w:val="nil"/>
              <w:left w:val="nil"/>
              <w:bottom w:val="single" w:sz="4" w:space="0" w:color="auto"/>
              <w:right w:val="single" w:sz="4" w:space="0" w:color="auto"/>
            </w:tcBorders>
            <w:shd w:val="clear" w:color="auto" w:fill="auto"/>
            <w:noWrap/>
            <w:vAlign w:val="center"/>
            <w:hideMark/>
          </w:tcPr>
          <w:p w14:paraId="13281A08"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35</w:t>
            </w:r>
          </w:p>
        </w:tc>
        <w:tc>
          <w:tcPr>
            <w:tcW w:w="1520" w:type="dxa"/>
            <w:tcBorders>
              <w:top w:val="nil"/>
              <w:left w:val="nil"/>
              <w:bottom w:val="single" w:sz="4" w:space="0" w:color="auto"/>
              <w:right w:val="single" w:sz="8" w:space="0" w:color="auto"/>
            </w:tcBorders>
            <w:shd w:val="clear" w:color="auto" w:fill="auto"/>
            <w:noWrap/>
            <w:vAlign w:val="center"/>
            <w:hideMark/>
          </w:tcPr>
          <w:p w14:paraId="047B5C0F"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1301</w:t>
            </w:r>
            <w:r w:rsidR="00424582">
              <w:rPr>
                <w:rFonts w:ascii="Times New Roman" w:eastAsia="Times New Roman" w:hAnsi="Times New Roman" w:cs="Times New Roman"/>
                <w:color w:val="000000"/>
              </w:rPr>
              <w:t>-1407</w:t>
            </w:r>
          </w:p>
        </w:tc>
      </w:tr>
      <w:tr w:rsidR="005E3248" w:rsidRPr="00AA5504" w14:paraId="5F9ACFD2" w14:textId="77777777" w:rsidTr="00204CBE">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61859076"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14879</w:t>
            </w:r>
          </w:p>
        </w:tc>
        <w:tc>
          <w:tcPr>
            <w:tcW w:w="1660" w:type="dxa"/>
            <w:tcBorders>
              <w:top w:val="nil"/>
              <w:left w:val="nil"/>
              <w:bottom w:val="single" w:sz="4" w:space="0" w:color="auto"/>
              <w:right w:val="single" w:sz="4" w:space="0" w:color="auto"/>
            </w:tcBorders>
            <w:shd w:val="clear" w:color="auto" w:fill="auto"/>
            <w:noWrap/>
            <w:vAlign w:val="center"/>
            <w:hideMark/>
          </w:tcPr>
          <w:p w14:paraId="5C03DF73"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245.7</w:t>
            </w:r>
          </w:p>
        </w:tc>
        <w:tc>
          <w:tcPr>
            <w:tcW w:w="1365" w:type="dxa"/>
            <w:tcBorders>
              <w:top w:val="nil"/>
              <w:left w:val="nil"/>
              <w:bottom w:val="single" w:sz="4" w:space="0" w:color="auto"/>
              <w:right w:val="single" w:sz="4" w:space="0" w:color="auto"/>
            </w:tcBorders>
            <w:shd w:val="clear" w:color="auto" w:fill="auto"/>
            <w:noWrap/>
            <w:vAlign w:val="center"/>
            <w:hideMark/>
          </w:tcPr>
          <w:p w14:paraId="1BA01DCA" w14:textId="77777777" w:rsidR="005E3248" w:rsidRPr="00AA5504" w:rsidRDefault="005E3248" w:rsidP="0085654A">
            <w:pPr>
              <w:jc w:val="center"/>
              <w:rPr>
                <w:rFonts w:ascii="Times New Roman" w:eastAsia="Times New Roman" w:hAnsi="Times New Roman" w:cs="Times New Roman"/>
                <w:i/>
                <w:iCs/>
                <w:color w:val="000000"/>
              </w:rPr>
            </w:pPr>
            <w:proofErr w:type="spellStart"/>
            <w:r w:rsidRPr="00AA5504">
              <w:rPr>
                <w:rFonts w:ascii="Times New Roman" w:eastAsia="Times New Roman" w:hAnsi="Times New Roman" w:cs="Times New Roman"/>
                <w:i/>
                <w:iCs/>
                <w:color w:val="000000"/>
              </w:rPr>
              <w:t>peat</w:t>
            </w:r>
            <w:proofErr w:type="spellEnd"/>
          </w:p>
        </w:tc>
        <w:tc>
          <w:tcPr>
            <w:tcW w:w="655" w:type="dxa"/>
            <w:tcBorders>
              <w:top w:val="nil"/>
              <w:left w:val="nil"/>
              <w:bottom w:val="single" w:sz="4" w:space="0" w:color="auto"/>
              <w:right w:val="single" w:sz="4" w:space="0" w:color="auto"/>
            </w:tcBorders>
            <w:shd w:val="clear" w:color="auto" w:fill="auto"/>
            <w:noWrap/>
            <w:vAlign w:val="center"/>
            <w:hideMark/>
          </w:tcPr>
          <w:p w14:paraId="68A38E25"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1.3</w:t>
            </w:r>
          </w:p>
        </w:tc>
        <w:tc>
          <w:tcPr>
            <w:tcW w:w="1540" w:type="dxa"/>
            <w:tcBorders>
              <w:top w:val="nil"/>
              <w:left w:val="nil"/>
              <w:bottom w:val="single" w:sz="4" w:space="0" w:color="auto"/>
              <w:right w:val="single" w:sz="4" w:space="0" w:color="auto"/>
            </w:tcBorders>
            <w:shd w:val="clear" w:color="auto" w:fill="auto"/>
            <w:noWrap/>
            <w:vAlign w:val="center"/>
            <w:hideMark/>
          </w:tcPr>
          <w:p w14:paraId="65911162"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1540</w:t>
            </w:r>
          </w:p>
        </w:tc>
        <w:tc>
          <w:tcPr>
            <w:tcW w:w="1340" w:type="dxa"/>
            <w:tcBorders>
              <w:top w:val="nil"/>
              <w:left w:val="nil"/>
              <w:bottom w:val="single" w:sz="4" w:space="0" w:color="auto"/>
              <w:right w:val="single" w:sz="4" w:space="0" w:color="auto"/>
            </w:tcBorders>
            <w:shd w:val="clear" w:color="auto" w:fill="auto"/>
            <w:noWrap/>
            <w:vAlign w:val="center"/>
            <w:hideMark/>
          </w:tcPr>
          <w:p w14:paraId="0954C4AE"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35</w:t>
            </w:r>
          </w:p>
        </w:tc>
        <w:tc>
          <w:tcPr>
            <w:tcW w:w="1520" w:type="dxa"/>
            <w:tcBorders>
              <w:top w:val="nil"/>
              <w:left w:val="nil"/>
              <w:bottom w:val="single" w:sz="4" w:space="0" w:color="auto"/>
              <w:right w:val="single" w:sz="8" w:space="0" w:color="auto"/>
            </w:tcBorders>
            <w:shd w:val="clear" w:color="auto" w:fill="auto"/>
            <w:noWrap/>
            <w:vAlign w:val="center"/>
            <w:hideMark/>
          </w:tcPr>
          <w:p w14:paraId="140A0627"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1356</w:t>
            </w:r>
            <w:r w:rsidR="00424582">
              <w:rPr>
                <w:rFonts w:ascii="Times New Roman" w:eastAsia="Times New Roman" w:hAnsi="Times New Roman" w:cs="Times New Roman"/>
                <w:color w:val="000000"/>
              </w:rPr>
              <w:t>-1525</w:t>
            </w:r>
          </w:p>
        </w:tc>
      </w:tr>
      <w:tr w:rsidR="005E3248" w:rsidRPr="00AA5504" w14:paraId="4BC3715A" w14:textId="77777777" w:rsidTr="00204CBE">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51239A55"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14878</w:t>
            </w:r>
          </w:p>
        </w:tc>
        <w:tc>
          <w:tcPr>
            <w:tcW w:w="1660" w:type="dxa"/>
            <w:tcBorders>
              <w:top w:val="nil"/>
              <w:left w:val="nil"/>
              <w:bottom w:val="single" w:sz="4" w:space="0" w:color="auto"/>
              <w:right w:val="single" w:sz="4" w:space="0" w:color="auto"/>
            </w:tcBorders>
            <w:shd w:val="clear" w:color="auto" w:fill="auto"/>
            <w:noWrap/>
            <w:vAlign w:val="center"/>
            <w:hideMark/>
          </w:tcPr>
          <w:p w14:paraId="5DE4900F"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260.7</w:t>
            </w:r>
          </w:p>
        </w:tc>
        <w:tc>
          <w:tcPr>
            <w:tcW w:w="1365" w:type="dxa"/>
            <w:tcBorders>
              <w:top w:val="nil"/>
              <w:left w:val="nil"/>
              <w:bottom w:val="single" w:sz="4" w:space="0" w:color="auto"/>
              <w:right w:val="single" w:sz="4" w:space="0" w:color="auto"/>
            </w:tcBorders>
            <w:shd w:val="clear" w:color="auto" w:fill="auto"/>
            <w:noWrap/>
            <w:vAlign w:val="center"/>
            <w:hideMark/>
          </w:tcPr>
          <w:p w14:paraId="24777FD8" w14:textId="77777777" w:rsidR="005E3248" w:rsidRPr="00AA5504" w:rsidRDefault="005E3248" w:rsidP="0085654A">
            <w:pPr>
              <w:jc w:val="center"/>
              <w:rPr>
                <w:rFonts w:ascii="Times New Roman" w:eastAsia="Times New Roman" w:hAnsi="Times New Roman" w:cs="Times New Roman"/>
                <w:i/>
                <w:iCs/>
                <w:color w:val="000000"/>
              </w:rPr>
            </w:pPr>
            <w:r w:rsidRPr="00AA5504">
              <w:rPr>
                <w:rFonts w:ascii="Times New Roman" w:eastAsia="Times New Roman" w:hAnsi="Times New Roman" w:cs="Times New Roman"/>
                <w:i/>
                <w:iCs/>
                <w:color w:val="000000"/>
              </w:rPr>
              <w:t xml:space="preserve">bulk </w:t>
            </w:r>
            <w:proofErr w:type="spellStart"/>
            <w:r w:rsidRPr="00AA5504">
              <w:rPr>
                <w:rFonts w:ascii="Times New Roman" w:eastAsia="Times New Roman" w:hAnsi="Times New Roman" w:cs="Times New Roman"/>
                <w:i/>
                <w:iCs/>
                <w:color w:val="000000"/>
              </w:rPr>
              <w:t>organic</w:t>
            </w:r>
            <w:proofErr w:type="spellEnd"/>
            <w:r w:rsidRPr="00AA5504">
              <w:rPr>
                <w:rFonts w:ascii="Times New Roman" w:eastAsia="Times New Roman" w:hAnsi="Times New Roman" w:cs="Times New Roman"/>
                <w:i/>
                <w:iCs/>
                <w:color w:val="000000"/>
              </w:rPr>
              <w:t xml:space="preserve"> </w:t>
            </w:r>
          </w:p>
        </w:tc>
        <w:tc>
          <w:tcPr>
            <w:tcW w:w="655" w:type="dxa"/>
            <w:tcBorders>
              <w:top w:val="nil"/>
              <w:left w:val="nil"/>
              <w:bottom w:val="single" w:sz="4" w:space="0" w:color="auto"/>
              <w:right w:val="single" w:sz="4" w:space="0" w:color="auto"/>
            </w:tcBorders>
            <w:shd w:val="clear" w:color="auto" w:fill="auto"/>
            <w:noWrap/>
            <w:vAlign w:val="center"/>
            <w:hideMark/>
          </w:tcPr>
          <w:p w14:paraId="177046A1"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1.3</w:t>
            </w:r>
          </w:p>
        </w:tc>
        <w:tc>
          <w:tcPr>
            <w:tcW w:w="1540" w:type="dxa"/>
            <w:tcBorders>
              <w:top w:val="nil"/>
              <w:left w:val="nil"/>
              <w:bottom w:val="single" w:sz="4" w:space="0" w:color="auto"/>
              <w:right w:val="single" w:sz="4" w:space="0" w:color="auto"/>
            </w:tcBorders>
            <w:shd w:val="clear" w:color="auto" w:fill="auto"/>
            <w:noWrap/>
            <w:vAlign w:val="center"/>
            <w:hideMark/>
          </w:tcPr>
          <w:p w14:paraId="49525B11"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1850</w:t>
            </w:r>
            <w:r w:rsidRPr="005E3248">
              <w:rPr>
                <w:rFonts w:ascii="Times New Roman" w:eastAsia="Times New Roman" w:hAnsi="Times New Roman" w:cs="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hideMark/>
          </w:tcPr>
          <w:p w14:paraId="777C6713"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35</w:t>
            </w:r>
          </w:p>
        </w:tc>
        <w:tc>
          <w:tcPr>
            <w:tcW w:w="1520" w:type="dxa"/>
            <w:tcBorders>
              <w:top w:val="nil"/>
              <w:left w:val="nil"/>
              <w:bottom w:val="single" w:sz="4" w:space="0" w:color="auto"/>
              <w:right w:val="single" w:sz="8" w:space="0" w:color="auto"/>
            </w:tcBorders>
            <w:shd w:val="clear" w:color="auto" w:fill="auto"/>
            <w:noWrap/>
            <w:vAlign w:val="center"/>
            <w:hideMark/>
          </w:tcPr>
          <w:p w14:paraId="7A8B442D"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1710-1872</w:t>
            </w:r>
          </w:p>
        </w:tc>
      </w:tr>
      <w:tr w:rsidR="005E3248" w:rsidRPr="00AA5504" w14:paraId="2E83EEA1" w14:textId="77777777" w:rsidTr="00204CBE">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23E05F0A"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15022</w:t>
            </w:r>
          </w:p>
        </w:tc>
        <w:tc>
          <w:tcPr>
            <w:tcW w:w="1660" w:type="dxa"/>
            <w:tcBorders>
              <w:top w:val="nil"/>
              <w:left w:val="nil"/>
              <w:bottom w:val="single" w:sz="4" w:space="0" w:color="auto"/>
              <w:right w:val="single" w:sz="4" w:space="0" w:color="auto"/>
            </w:tcBorders>
            <w:shd w:val="clear" w:color="auto" w:fill="auto"/>
            <w:noWrap/>
            <w:vAlign w:val="center"/>
            <w:hideMark/>
          </w:tcPr>
          <w:p w14:paraId="71AAD833"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299.2</w:t>
            </w:r>
          </w:p>
        </w:tc>
        <w:tc>
          <w:tcPr>
            <w:tcW w:w="1365" w:type="dxa"/>
            <w:tcBorders>
              <w:top w:val="nil"/>
              <w:left w:val="nil"/>
              <w:bottom w:val="single" w:sz="4" w:space="0" w:color="auto"/>
              <w:right w:val="single" w:sz="4" w:space="0" w:color="auto"/>
            </w:tcBorders>
            <w:shd w:val="clear" w:color="auto" w:fill="auto"/>
            <w:noWrap/>
            <w:vAlign w:val="center"/>
            <w:hideMark/>
          </w:tcPr>
          <w:p w14:paraId="42350700" w14:textId="77777777" w:rsidR="005E3248" w:rsidRPr="00AA5504" w:rsidRDefault="005E3248" w:rsidP="0085654A">
            <w:pPr>
              <w:jc w:val="center"/>
              <w:rPr>
                <w:rFonts w:ascii="Times New Roman" w:eastAsia="Times New Roman" w:hAnsi="Times New Roman" w:cs="Times New Roman"/>
                <w:i/>
                <w:iCs/>
                <w:color w:val="000000"/>
              </w:rPr>
            </w:pPr>
            <w:proofErr w:type="spellStart"/>
            <w:r w:rsidRPr="00AA5504">
              <w:rPr>
                <w:rFonts w:ascii="Times New Roman" w:eastAsia="Times New Roman" w:hAnsi="Times New Roman" w:cs="Times New Roman"/>
                <w:i/>
                <w:iCs/>
                <w:color w:val="000000"/>
              </w:rPr>
              <w:t>aquatic</w:t>
            </w:r>
            <w:proofErr w:type="spellEnd"/>
            <w:r w:rsidRPr="00AA5504">
              <w:rPr>
                <w:rFonts w:ascii="Times New Roman" w:eastAsia="Times New Roman" w:hAnsi="Times New Roman" w:cs="Times New Roman"/>
                <w:i/>
                <w:iCs/>
                <w:color w:val="000000"/>
              </w:rPr>
              <w:t xml:space="preserve"> plants</w:t>
            </w:r>
          </w:p>
        </w:tc>
        <w:tc>
          <w:tcPr>
            <w:tcW w:w="655" w:type="dxa"/>
            <w:tcBorders>
              <w:top w:val="nil"/>
              <w:left w:val="nil"/>
              <w:bottom w:val="single" w:sz="4" w:space="0" w:color="auto"/>
              <w:right w:val="single" w:sz="4" w:space="0" w:color="auto"/>
            </w:tcBorders>
            <w:shd w:val="clear" w:color="auto" w:fill="auto"/>
            <w:noWrap/>
            <w:vAlign w:val="center"/>
            <w:hideMark/>
          </w:tcPr>
          <w:p w14:paraId="075A6930"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1.1</w:t>
            </w:r>
          </w:p>
        </w:tc>
        <w:tc>
          <w:tcPr>
            <w:tcW w:w="1540" w:type="dxa"/>
            <w:tcBorders>
              <w:top w:val="nil"/>
              <w:left w:val="nil"/>
              <w:bottom w:val="single" w:sz="4" w:space="0" w:color="auto"/>
              <w:right w:val="single" w:sz="4" w:space="0" w:color="auto"/>
            </w:tcBorders>
            <w:shd w:val="clear" w:color="auto" w:fill="auto"/>
            <w:noWrap/>
            <w:vAlign w:val="center"/>
            <w:hideMark/>
          </w:tcPr>
          <w:p w14:paraId="32821647"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3090</w:t>
            </w:r>
          </w:p>
        </w:tc>
        <w:tc>
          <w:tcPr>
            <w:tcW w:w="1340" w:type="dxa"/>
            <w:tcBorders>
              <w:top w:val="nil"/>
              <w:left w:val="nil"/>
              <w:bottom w:val="single" w:sz="4" w:space="0" w:color="auto"/>
              <w:right w:val="single" w:sz="4" w:space="0" w:color="auto"/>
            </w:tcBorders>
            <w:shd w:val="clear" w:color="auto" w:fill="auto"/>
            <w:noWrap/>
            <w:vAlign w:val="center"/>
            <w:hideMark/>
          </w:tcPr>
          <w:p w14:paraId="439D7257"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40</w:t>
            </w:r>
          </w:p>
        </w:tc>
        <w:tc>
          <w:tcPr>
            <w:tcW w:w="1520" w:type="dxa"/>
            <w:tcBorders>
              <w:top w:val="nil"/>
              <w:left w:val="nil"/>
              <w:bottom w:val="single" w:sz="4" w:space="0" w:color="auto"/>
              <w:right w:val="single" w:sz="8" w:space="0" w:color="auto"/>
            </w:tcBorders>
            <w:shd w:val="clear" w:color="auto" w:fill="auto"/>
            <w:noWrap/>
            <w:vAlign w:val="center"/>
            <w:hideMark/>
          </w:tcPr>
          <w:p w14:paraId="0A385790"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3208</w:t>
            </w:r>
            <w:r w:rsidR="00424582">
              <w:rPr>
                <w:rFonts w:ascii="Times New Roman" w:eastAsia="Times New Roman" w:hAnsi="Times New Roman" w:cs="Times New Roman"/>
                <w:color w:val="000000"/>
              </w:rPr>
              <w:t>-3386</w:t>
            </w:r>
          </w:p>
        </w:tc>
      </w:tr>
      <w:tr w:rsidR="005E3248" w:rsidRPr="00AA5504" w14:paraId="37B52C31" w14:textId="77777777" w:rsidTr="00204CBE">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16665CA0"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14881</w:t>
            </w:r>
          </w:p>
        </w:tc>
        <w:tc>
          <w:tcPr>
            <w:tcW w:w="1660" w:type="dxa"/>
            <w:tcBorders>
              <w:top w:val="nil"/>
              <w:left w:val="nil"/>
              <w:bottom w:val="single" w:sz="4" w:space="0" w:color="auto"/>
              <w:right w:val="single" w:sz="4" w:space="0" w:color="auto"/>
            </w:tcBorders>
            <w:shd w:val="clear" w:color="auto" w:fill="auto"/>
            <w:noWrap/>
            <w:vAlign w:val="center"/>
            <w:hideMark/>
          </w:tcPr>
          <w:p w14:paraId="6FFC1A33"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302.7</w:t>
            </w:r>
          </w:p>
        </w:tc>
        <w:tc>
          <w:tcPr>
            <w:tcW w:w="1365" w:type="dxa"/>
            <w:tcBorders>
              <w:top w:val="nil"/>
              <w:left w:val="nil"/>
              <w:bottom w:val="single" w:sz="4" w:space="0" w:color="auto"/>
              <w:right w:val="single" w:sz="4" w:space="0" w:color="auto"/>
            </w:tcBorders>
            <w:shd w:val="clear" w:color="auto" w:fill="auto"/>
            <w:noWrap/>
            <w:vAlign w:val="center"/>
            <w:hideMark/>
          </w:tcPr>
          <w:p w14:paraId="3585F995" w14:textId="77777777" w:rsidR="005E3248" w:rsidRPr="00AA5504" w:rsidRDefault="005E3248" w:rsidP="0085654A">
            <w:pPr>
              <w:jc w:val="center"/>
              <w:rPr>
                <w:rFonts w:ascii="Times New Roman" w:eastAsia="Times New Roman" w:hAnsi="Times New Roman" w:cs="Times New Roman"/>
                <w:i/>
                <w:iCs/>
                <w:color w:val="000000"/>
              </w:rPr>
            </w:pPr>
            <w:r w:rsidRPr="00AA5504">
              <w:rPr>
                <w:rFonts w:ascii="Times New Roman" w:eastAsia="Times New Roman" w:hAnsi="Times New Roman" w:cs="Times New Roman"/>
                <w:i/>
                <w:iCs/>
                <w:color w:val="000000"/>
              </w:rPr>
              <w:t xml:space="preserve">bulk </w:t>
            </w:r>
            <w:proofErr w:type="spellStart"/>
            <w:r w:rsidRPr="00AA5504">
              <w:rPr>
                <w:rFonts w:ascii="Times New Roman" w:eastAsia="Times New Roman" w:hAnsi="Times New Roman" w:cs="Times New Roman"/>
                <w:i/>
                <w:iCs/>
                <w:color w:val="000000"/>
              </w:rPr>
              <w:t>organic</w:t>
            </w:r>
            <w:proofErr w:type="spellEnd"/>
            <w:r w:rsidRPr="00AA5504">
              <w:rPr>
                <w:rFonts w:ascii="Times New Roman" w:eastAsia="Times New Roman" w:hAnsi="Times New Roman" w:cs="Times New Roman"/>
                <w:i/>
                <w:iCs/>
                <w:color w:val="000000"/>
              </w:rPr>
              <w:t xml:space="preserve"> </w:t>
            </w:r>
          </w:p>
        </w:tc>
        <w:tc>
          <w:tcPr>
            <w:tcW w:w="655" w:type="dxa"/>
            <w:tcBorders>
              <w:top w:val="nil"/>
              <w:left w:val="nil"/>
              <w:bottom w:val="single" w:sz="4" w:space="0" w:color="auto"/>
              <w:right w:val="single" w:sz="4" w:space="0" w:color="auto"/>
            </w:tcBorders>
            <w:shd w:val="clear" w:color="auto" w:fill="auto"/>
            <w:noWrap/>
            <w:vAlign w:val="center"/>
            <w:hideMark/>
          </w:tcPr>
          <w:p w14:paraId="6FC4A80F"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1.3</w:t>
            </w:r>
          </w:p>
        </w:tc>
        <w:tc>
          <w:tcPr>
            <w:tcW w:w="1540" w:type="dxa"/>
            <w:tcBorders>
              <w:top w:val="nil"/>
              <w:left w:val="nil"/>
              <w:bottom w:val="single" w:sz="4" w:space="0" w:color="auto"/>
              <w:right w:val="single" w:sz="4" w:space="0" w:color="auto"/>
            </w:tcBorders>
            <w:shd w:val="clear" w:color="auto" w:fill="auto"/>
            <w:noWrap/>
            <w:vAlign w:val="center"/>
            <w:hideMark/>
          </w:tcPr>
          <w:p w14:paraId="66704CF8"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7830</w:t>
            </w:r>
            <w:r w:rsidRPr="005E3248">
              <w:rPr>
                <w:rFonts w:ascii="Times New Roman" w:eastAsia="Times New Roman" w:hAnsi="Times New Roman" w:cs="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hideMark/>
          </w:tcPr>
          <w:p w14:paraId="7D45BA4E"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40</w:t>
            </w:r>
          </w:p>
        </w:tc>
        <w:tc>
          <w:tcPr>
            <w:tcW w:w="1520" w:type="dxa"/>
            <w:tcBorders>
              <w:top w:val="nil"/>
              <w:left w:val="nil"/>
              <w:bottom w:val="single" w:sz="4" w:space="0" w:color="auto"/>
              <w:right w:val="single" w:sz="8" w:space="0" w:color="auto"/>
            </w:tcBorders>
            <w:shd w:val="clear" w:color="auto" w:fill="auto"/>
            <w:noWrap/>
            <w:vAlign w:val="center"/>
            <w:hideMark/>
          </w:tcPr>
          <w:p w14:paraId="770937F8"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8539</w:t>
            </w:r>
            <w:r w:rsidR="00424582">
              <w:rPr>
                <w:rFonts w:ascii="Times New Roman" w:eastAsia="Times New Roman" w:hAnsi="Times New Roman" w:cs="Times New Roman"/>
                <w:color w:val="000000"/>
              </w:rPr>
              <w:t>-8730</w:t>
            </w:r>
          </w:p>
        </w:tc>
      </w:tr>
      <w:tr w:rsidR="005E3248" w:rsidRPr="00AA5504" w14:paraId="064D9B8C" w14:textId="77777777" w:rsidTr="00204CBE">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3C6D1A75"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15023</w:t>
            </w:r>
          </w:p>
        </w:tc>
        <w:tc>
          <w:tcPr>
            <w:tcW w:w="1660" w:type="dxa"/>
            <w:tcBorders>
              <w:top w:val="nil"/>
              <w:left w:val="nil"/>
              <w:bottom w:val="single" w:sz="4" w:space="0" w:color="auto"/>
              <w:right w:val="single" w:sz="4" w:space="0" w:color="auto"/>
            </w:tcBorders>
            <w:shd w:val="clear" w:color="auto" w:fill="auto"/>
            <w:noWrap/>
            <w:vAlign w:val="center"/>
            <w:hideMark/>
          </w:tcPr>
          <w:p w14:paraId="409CDF5C"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349.2</w:t>
            </w:r>
          </w:p>
        </w:tc>
        <w:tc>
          <w:tcPr>
            <w:tcW w:w="1365" w:type="dxa"/>
            <w:tcBorders>
              <w:top w:val="nil"/>
              <w:left w:val="nil"/>
              <w:bottom w:val="single" w:sz="4" w:space="0" w:color="auto"/>
              <w:right w:val="single" w:sz="4" w:space="0" w:color="auto"/>
            </w:tcBorders>
            <w:shd w:val="clear" w:color="auto" w:fill="auto"/>
            <w:noWrap/>
            <w:vAlign w:val="center"/>
            <w:hideMark/>
          </w:tcPr>
          <w:p w14:paraId="5D3192A1" w14:textId="77777777" w:rsidR="005E3248" w:rsidRPr="00AA5504" w:rsidRDefault="005E3248" w:rsidP="0085654A">
            <w:pPr>
              <w:jc w:val="center"/>
              <w:rPr>
                <w:rFonts w:ascii="Times New Roman" w:eastAsia="Times New Roman" w:hAnsi="Times New Roman" w:cs="Times New Roman"/>
                <w:i/>
                <w:iCs/>
                <w:color w:val="000000"/>
              </w:rPr>
            </w:pPr>
            <w:r w:rsidRPr="00AA5504">
              <w:rPr>
                <w:rFonts w:ascii="Times New Roman" w:eastAsia="Times New Roman" w:hAnsi="Times New Roman" w:cs="Times New Roman"/>
                <w:i/>
                <w:iCs/>
                <w:color w:val="000000"/>
              </w:rPr>
              <w:t xml:space="preserve">bulk </w:t>
            </w:r>
            <w:proofErr w:type="spellStart"/>
            <w:r w:rsidRPr="00AA5504">
              <w:rPr>
                <w:rFonts w:ascii="Times New Roman" w:eastAsia="Times New Roman" w:hAnsi="Times New Roman" w:cs="Times New Roman"/>
                <w:i/>
                <w:iCs/>
                <w:color w:val="000000"/>
              </w:rPr>
              <w:t>organic</w:t>
            </w:r>
            <w:proofErr w:type="spellEnd"/>
            <w:r w:rsidRPr="00AA5504">
              <w:rPr>
                <w:rFonts w:ascii="Times New Roman" w:eastAsia="Times New Roman" w:hAnsi="Times New Roman" w:cs="Times New Roman"/>
                <w:i/>
                <w:iCs/>
                <w:color w:val="000000"/>
              </w:rPr>
              <w:t xml:space="preserve"> </w:t>
            </w:r>
          </w:p>
        </w:tc>
        <w:tc>
          <w:tcPr>
            <w:tcW w:w="655" w:type="dxa"/>
            <w:tcBorders>
              <w:top w:val="nil"/>
              <w:left w:val="nil"/>
              <w:bottom w:val="single" w:sz="4" w:space="0" w:color="auto"/>
              <w:right w:val="single" w:sz="4" w:space="0" w:color="auto"/>
            </w:tcBorders>
            <w:shd w:val="clear" w:color="auto" w:fill="auto"/>
            <w:noWrap/>
            <w:vAlign w:val="center"/>
            <w:hideMark/>
          </w:tcPr>
          <w:p w14:paraId="51D30BE5"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1.4</w:t>
            </w:r>
          </w:p>
        </w:tc>
        <w:tc>
          <w:tcPr>
            <w:tcW w:w="1540" w:type="dxa"/>
            <w:tcBorders>
              <w:top w:val="nil"/>
              <w:left w:val="nil"/>
              <w:bottom w:val="single" w:sz="4" w:space="0" w:color="auto"/>
              <w:right w:val="single" w:sz="4" w:space="0" w:color="auto"/>
            </w:tcBorders>
            <w:shd w:val="clear" w:color="auto" w:fill="auto"/>
            <w:noWrap/>
            <w:vAlign w:val="center"/>
            <w:hideMark/>
          </w:tcPr>
          <w:p w14:paraId="287C2F21"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4260</w:t>
            </w:r>
            <w:r w:rsidRPr="005E3248">
              <w:rPr>
                <w:rFonts w:ascii="Times New Roman" w:eastAsia="Times New Roman" w:hAnsi="Times New Roman" w:cs="Times New Roman"/>
                <w:color w:val="000000"/>
              </w:rPr>
              <w:t>*</w:t>
            </w:r>
          </w:p>
        </w:tc>
        <w:tc>
          <w:tcPr>
            <w:tcW w:w="1340" w:type="dxa"/>
            <w:tcBorders>
              <w:top w:val="nil"/>
              <w:left w:val="nil"/>
              <w:bottom w:val="single" w:sz="4" w:space="0" w:color="auto"/>
              <w:right w:val="single" w:sz="4" w:space="0" w:color="auto"/>
            </w:tcBorders>
            <w:shd w:val="clear" w:color="auto" w:fill="auto"/>
            <w:noWrap/>
            <w:vAlign w:val="center"/>
            <w:hideMark/>
          </w:tcPr>
          <w:p w14:paraId="3F28BDC9"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40</w:t>
            </w:r>
          </w:p>
        </w:tc>
        <w:tc>
          <w:tcPr>
            <w:tcW w:w="1520" w:type="dxa"/>
            <w:tcBorders>
              <w:top w:val="nil"/>
              <w:left w:val="nil"/>
              <w:bottom w:val="single" w:sz="4" w:space="0" w:color="auto"/>
              <w:right w:val="single" w:sz="8" w:space="0" w:color="auto"/>
            </w:tcBorders>
            <w:shd w:val="clear" w:color="auto" w:fill="auto"/>
            <w:noWrap/>
            <w:vAlign w:val="center"/>
            <w:hideMark/>
          </w:tcPr>
          <w:p w14:paraId="190595B9"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4804</w:t>
            </w:r>
            <w:r w:rsidR="00424582">
              <w:rPr>
                <w:rFonts w:ascii="Times New Roman" w:eastAsia="Times New Roman" w:hAnsi="Times New Roman" w:cs="Times New Roman"/>
                <w:color w:val="000000"/>
              </w:rPr>
              <w:t>-4887</w:t>
            </w:r>
          </w:p>
        </w:tc>
      </w:tr>
      <w:tr w:rsidR="005E3248" w:rsidRPr="00AA5504" w14:paraId="62559814" w14:textId="77777777" w:rsidTr="00204CBE">
        <w:trPr>
          <w:trHeight w:val="312"/>
        </w:trPr>
        <w:tc>
          <w:tcPr>
            <w:tcW w:w="1360" w:type="dxa"/>
            <w:tcBorders>
              <w:top w:val="nil"/>
              <w:left w:val="single" w:sz="8" w:space="0" w:color="auto"/>
              <w:bottom w:val="single" w:sz="8" w:space="0" w:color="auto"/>
              <w:right w:val="single" w:sz="4" w:space="0" w:color="auto"/>
            </w:tcBorders>
            <w:shd w:val="clear" w:color="auto" w:fill="auto"/>
            <w:noWrap/>
            <w:vAlign w:val="center"/>
            <w:hideMark/>
          </w:tcPr>
          <w:p w14:paraId="6A550C52"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LuS 14882</w:t>
            </w:r>
          </w:p>
        </w:tc>
        <w:tc>
          <w:tcPr>
            <w:tcW w:w="1660" w:type="dxa"/>
            <w:tcBorders>
              <w:top w:val="nil"/>
              <w:left w:val="nil"/>
              <w:bottom w:val="single" w:sz="8" w:space="0" w:color="auto"/>
              <w:right w:val="single" w:sz="4" w:space="0" w:color="auto"/>
            </w:tcBorders>
            <w:shd w:val="clear" w:color="auto" w:fill="auto"/>
            <w:noWrap/>
            <w:vAlign w:val="center"/>
            <w:hideMark/>
          </w:tcPr>
          <w:p w14:paraId="5BC6840C"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448.5</w:t>
            </w:r>
          </w:p>
        </w:tc>
        <w:tc>
          <w:tcPr>
            <w:tcW w:w="1365" w:type="dxa"/>
            <w:tcBorders>
              <w:top w:val="nil"/>
              <w:left w:val="nil"/>
              <w:bottom w:val="single" w:sz="8" w:space="0" w:color="auto"/>
              <w:right w:val="single" w:sz="4" w:space="0" w:color="auto"/>
            </w:tcBorders>
            <w:shd w:val="clear" w:color="auto" w:fill="auto"/>
            <w:noWrap/>
            <w:vAlign w:val="center"/>
            <w:hideMark/>
          </w:tcPr>
          <w:p w14:paraId="69C4AD87" w14:textId="77777777" w:rsidR="005E3248" w:rsidRPr="00AA5504" w:rsidRDefault="005E3248" w:rsidP="0085654A">
            <w:pPr>
              <w:jc w:val="center"/>
              <w:rPr>
                <w:rFonts w:ascii="Times New Roman" w:eastAsia="Times New Roman" w:hAnsi="Times New Roman" w:cs="Times New Roman"/>
                <w:i/>
                <w:iCs/>
                <w:color w:val="000000"/>
              </w:rPr>
            </w:pPr>
            <w:proofErr w:type="spellStart"/>
            <w:r w:rsidRPr="00AA5504">
              <w:rPr>
                <w:rFonts w:ascii="Times New Roman" w:eastAsia="Times New Roman" w:hAnsi="Times New Roman" w:cs="Times New Roman"/>
                <w:i/>
                <w:iCs/>
                <w:color w:val="000000"/>
              </w:rPr>
              <w:t>peat</w:t>
            </w:r>
            <w:proofErr w:type="spellEnd"/>
          </w:p>
        </w:tc>
        <w:tc>
          <w:tcPr>
            <w:tcW w:w="655" w:type="dxa"/>
            <w:tcBorders>
              <w:top w:val="nil"/>
              <w:left w:val="nil"/>
              <w:bottom w:val="single" w:sz="8" w:space="0" w:color="auto"/>
              <w:right w:val="single" w:sz="4" w:space="0" w:color="auto"/>
            </w:tcBorders>
            <w:shd w:val="clear" w:color="auto" w:fill="auto"/>
            <w:noWrap/>
            <w:vAlign w:val="center"/>
            <w:hideMark/>
          </w:tcPr>
          <w:p w14:paraId="394206D5" w14:textId="77777777" w:rsidR="005E3248" w:rsidRPr="00AA5504" w:rsidRDefault="005E3248" w:rsidP="0085654A">
            <w:pPr>
              <w:rPr>
                <w:rFonts w:ascii="Times New Roman" w:eastAsia="Times New Roman" w:hAnsi="Times New Roman" w:cs="Times New Roman"/>
                <w:color w:val="000000"/>
              </w:rPr>
            </w:pPr>
            <w:r w:rsidRPr="00AA5504">
              <w:rPr>
                <w:rFonts w:ascii="Times New Roman" w:eastAsia="Times New Roman" w:hAnsi="Times New Roman" w:cs="Times New Roman"/>
                <w:color w:val="000000"/>
              </w:rPr>
              <w:t>1.4</w:t>
            </w:r>
          </w:p>
        </w:tc>
        <w:tc>
          <w:tcPr>
            <w:tcW w:w="1540" w:type="dxa"/>
            <w:tcBorders>
              <w:top w:val="nil"/>
              <w:left w:val="nil"/>
              <w:bottom w:val="single" w:sz="8" w:space="0" w:color="auto"/>
              <w:right w:val="single" w:sz="4" w:space="0" w:color="auto"/>
            </w:tcBorders>
            <w:shd w:val="clear" w:color="auto" w:fill="auto"/>
            <w:noWrap/>
            <w:vAlign w:val="center"/>
            <w:hideMark/>
          </w:tcPr>
          <w:p w14:paraId="350CFDB5"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4030</w:t>
            </w:r>
          </w:p>
        </w:tc>
        <w:tc>
          <w:tcPr>
            <w:tcW w:w="1340" w:type="dxa"/>
            <w:tcBorders>
              <w:top w:val="nil"/>
              <w:left w:val="nil"/>
              <w:bottom w:val="single" w:sz="8" w:space="0" w:color="auto"/>
              <w:right w:val="single" w:sz="4" w:space="0" w:color="auto"/>
            </w:tcBorders>
            <w:shd w:val="clear" w:color="auto" w:fill="auto"/>
            <w:noWrap/>
            <w:vAlign w:val="center"/>
            <w:hideMark/>
          </w:tcPr>
          <w:p w14:paraId="4E6DEAE9"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40</w:t>
            </w:r>
          </w:p>
        </w:tc>
        <w:tc>
          <w:tcPr>
            <w:tcW w:w="1520" w:type="dxa"/>
            <w:tcBorders>
              <w:top w:val="nil"/>
              <w:left w:val="nil"/>
              <w:bottom w:val="single" w:sz="8" w:space="0" w:color="auto"/>
              <w:right w:val="single" w:sz="8" w:space="0" w:color="auto"/>
            </w:tcBorders>
            <w:shd w:val="clear" w:color="auto" w:fill="auto"/>
            <w:noWrap/>
            <w:vAlign w:val="center"/>
            <w:hideMark/>
          </w:tcPr>
          <w:p w14:paraId="69D9C488" w14:textId="77777777" w:rsidR="005E3248" w:rsidRPr="00AA5504" w:rsidRDefault="005E3248" w:rsidP="0085654A">
            <w:pPr>
              <w:jc w:val="center"/>
              <w:rPr>
                <w:rFonts w:ascii="Times New Roman" w:eastAsia="Times New Roman" w:hAnsi="Times New Roman" w:cs="Times New Roman"/>
                <w:color w:val="000000"/>
              </w:rPr>
            </w:pPr>
            <w:r w:rsidRPr="00AA5504">
              <w:rPr>
                <w:rFonts w:ascii="Times New Roman" w:eastAsia="Times New Roman" w:hAnsi="Times New Roman" w:cs="Times New Roman"/>
                <w:color w:val="000000"/>
              </w:rPr>
              <w:t>4418</w:t>
            </w:r>
            <w:r w:rsidR="00424582">
              <w:rPr>
                <w:rFonts w:ascii="Times New Roman" w:eastAsia="Times New Roman" w:hAnsi="Times New Roman" w:cs="Times New Roman"/>
                <w:color w:val="000000"/>
              </w:rPr>
              <w:t>-4589</w:t>
            </w:r>
          </w:p>
        </w:tc>
      </w:tr>
    </w:tbl>
    <w:p w14:paraId="08B82F14" w14:textId="77777777" w:rsidR="000F0B1B" w:rsidRDefault="000F0B1B" w:rsidP="00C16EF1">
      <w:pPr>
        <w:spacing w:line="480" w:lineRule="auto"/>
        <w:jc w:val="both"/>
        <w:rPr>
          <w:rFonts w:ascii="Times New Roman" w:hAnsi="Times New Roman" w:cs="Times New Roman"/>
          <w:b/>
          <w:sz w:val="24"/>
          <w:lang w:val="en-US"/>
        </w:rPr>
      </w:pPr>
    </w:p>
    <w:p w14:paraId="1CF2D6C1" w14:textId="77777777" w:rsidR="005E3248" w:rsidRDefault="005E3248" w:rsidP="00C16EF1">
      <w:pPr>
        <w:spacing w:line="480" w:lineRule="auto"/>
        <w:jc w:val="both"/>
        <w:rPr>
          <w:rFonts w:ascii="Times New Roman" w:hAnsi="Times New Roman" w:cs="Times New Roman"/>
          <w:sz w:val="24"/>
          <w:lang w:val="en-US"/>
        </w:rPr>
      </w:pPr>
      <w:r w:rsidRPr="00067FBE">
        <w:rPr>
          <w:rFonts w:ascii="Times New Roman" w:hAnsi="Times New Roman" w:cs="Times New Roman"/>
          <w:b/>
          <w:sz w:val="24"/>
          <w:lang w:val="en-US"/>
        </w:rPr>
        <w:t xml:space="preserve">Supplementary Table 1. </w:t>
      </w:r>
      <w:r>
        <w:rPr>
          <w:rFonts w:ascii="Times New Roman" w:hAnsi="Times New Roman" w:cs="Times New Roman"/>
          <w:sz w:val="24"/>
          <w:lang w:val="en-US"/>
        </w:rPr>
        <w:t xml:space="preserve">Overview of all radiocarbon ages that have been extracted and dated from master core AST-P2-18. Calibrated ages and errors are based on the Intcal14 curve as discussed under “Chronology” in the main text. Outliers are highlighted with an asterisk (*). </w:t>
      </w:r>
    </w:p>
    <w:p w14:paraId="2B255E57" w14:textId="77777777" w:rsidR="005E3248" w:rsidRDefault="005E3248" w:rsidP="00151F43">
      <w:pPr>
        <w:spacing w:line="480" w:lineRule="auto"/>
        <w:jc w:val="both"/>
        <w:rPr>
          <w:rFonts w:ascii="Times New Roman" w:hAnsi="Times New Roman" w:cs="Times New Roman"/>
          <w:b/>
          <w:sz w:val="24"/>
          <w:szCs w:val="24"/>
          <w:lang w:val="en-US"/>
        </w:rPr>
      </w:pPr>
    </w:p>
    <w:tbl>
      <w:tblPr>
        <w:tblW w:w="9498" w:type="dxa"/>
        <w:tblInd w:w="70" w:type="dxa"/>
        <w:tblCellMar>
          <w:left w:w="70" w:type="dxa"/>
          <w:right w:w="70" w:type="dxa"/>
        </w:tblCellMar>
        <w:tblLook w:val="04A0" w:firstRow="1" w:lastRow="0" w:firstColumn="1" w:lastColumn="0" w:noHBand="0" w:noVBand="1"/>
      </w:tblPr>
      <w:tblGrid>
        <w:gridCol w:w="1360"/>
        <w:gridCol w:w="1660"/>
        <w:gridCol w:w="1658"/>
        <w:gridCol w:w="1621"/>
        <w:gridCol w:w="1923"/>
        <w:gridCol w:w="1276"/>
      </w:tblGrid>
      <w:tr w:rsidR="00C16EF1" w:rsidRPr="00C16EF1" w14:paraId="54FF3506" w14:textId="77777777" w:rsidTr="009F3DA5">
        <w:trPr>
          <w:trHeight w:val="300"/>
        </w:trPr>
        <w:tc>
          <w:tcPr>
            <w:tcW w:w="136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53A0FA3C" w14:textId="77777777" w:rsidR="00C16EF1" w:rsidRPr="00C16EF1" w:rsidRDefault="00C16EF1" w:rsidP="00C16EF1">
            <w:pPr>
              <w:jc w:val="center"/>
              <w:rPr>
                <w:rFonts w:ascii="Times New Roman" w:eastAsia="Times New Roman" w:hAnsi="Times New Roman" w:cs="Times New Roman"/>
                <w:b/>
                <w:bCs/>
                <w:color w:val="000000"/>
              </w:rPr>
            </w:pPr>
            <w:proofErr w:type="spellStart"/>
            <w:r w:rsidRPr="00C16EF1">
              <w:rPr>
                <w:rFonts w:ascii="Times New Roman" w:eastAsia="Times New Roman" w:hAnsi="Times New Roman" w:cs="Times New Roman"/>
                <w:b/>
                <w:bCs/>
                <w:color w:val="000000"/>
              </w:rPr>
              <w:t>Deposit</w:t>
            </w:r>
            <w:proofErr w:type="spellEnd"/>
          </w:p>
        </w:tc>
        <w:tc>
          <w:tcPr>
            <w:tcW w:w="1660" w:type="dxa"/>
            <w:tcBorders>
              <w:top w:val="single" w:sz="8" w:space="0" w:color="auto"/>
              <w:left w:val="nil"/>
              <w:bottom w:val="double" w:sz="6" w:space="0" w:color="auto"/>
              <w:right w:val="single" w:sz="4" w:space="0" w:color="auto"/>
            </w:tcBorders>
            <w:shd w:val="clear" w:color="auto" w:fill="auto"/>
            <w:noWrap/>
            <w:vAlign w:val="center"/>
            <w:hideMark/>
          </w:tcPr>
          <w:p w14:paraId="61ACA656" w14:textId="77777777" w:rsidR="00C16EF1" w:rsidRPr="00C16EF1" w:rsidRDefault="00C16EF1" w:rsidP="00C16EF1">
            <w:pPr>
              <w:jc w:val="center"/>
              <w:rPr>
                <w:rFonts w:ascii="Times New Roman" w:eastAsia="Times New Roman" w:hAnsi="Times New Roman" w:cs="Times New Roman"/>
                <w:b/>
                <w:bCs/>
                <w:color w:val="000000"/>
              </w:rPr>
            </w:pPr>
            <w:proofErr w:type="spellStart"/>
            <w:r w:rsidRPr="00C16EF1">
              <w:rPr>
                <w:rFonts w:ascii="Times New Roman" w:eastAsia="Times New Roman" w:hAnsi="Times New Roman" w:cs="Times New Roman"/>
                <w:b/>
                <w:bCs/>
                <w:color w:val="000000"/>
              </w:rPr>
              <w:t>Core</w:t>
            </w:r>
            <w:proofErr w:type="spellEnd"/>
            <w:r w:rsidRPr="00C16EF1">
              <w:rPr>
                <w:rFonts w:ascii="Times New Roman" w:eastAsia="Times New Roman" w:hAnsi="Times New Roman" w:cs="Times New Roman"/>
                <w:b/>
                <w:bCs/>
                <w:color w:val="000000"/>
              </w:rPr>
              <w:t xml:space="preserve"> </w:t>
            </w:r>
            <w:proofErr w:type="spellStart"/>
            <w:r w:rsidRPr="00C16EF1">
              <w:rPr>
                <w:rFonts w:ascii="Times New Roman" w:eastAsia="Times New Roman" w:hAnsi="Times New Roman" w:cs="Times New Roman"/>
                <w:b/>
                <w:bCs/>
                <w:color w:val="000000"/>
              </w:rPr>
              <w:t>depth</w:t>
            </w:r>
            <w:proofErr w:type="spellEnd"/>
            <w:r w:rsidRPr="00C16EF1">
              <w:rPr>
                <w:rFonts w:ascii="Times New Roman" w:eastAsia="Times New Roman" w:hAnsi="Times New Roman" w:cs="Times New Roman"/>
                <w:b/>
                <w:bCs/>
                <w:color w:val="000000"/>
              </w:rPr>
              <w:t xml:space="preserve"> (cm)</w:t>
            </w:r>
          </w:p>
        </w:tc>
        <w:tc>
          <w:tcPr>
            <w:tcW w:w="1658" w:type="dxa"/>
            <w:tcBorders>
              <w:top w:val="single" w:sz="8" w:space="0" w:color="auto"/>
              <w:left w:val="nil"/>
              <w:bottom w:val="double" w:sz="6" w:space="0" w:color="auto"/>
              <w:right w:val="single" w:sz="4" w:space="0" w:color="auto"/>
            </w:tcBorders>
            <w:shd w:val="clear" w:color="auto" w:fill="auto"/>
            <w:noWrap/>
            <w:vAlign w:val="center"/>
            <w:hideMark/>
          </w:tcPr>
          <w:p w14:paraId="37762994" w14:textId="77777777" w:rsidR="00C16EF1" w:rsidRPr="00C16EF1" w:rsidRDefault="00C16EF1" w:rsidP="00C16EF1">
            <w:pPr>
              <w:jc w:val="center"/>
              <w:rPr>
                <w:rFonts w:ascii="Times New Roman" w:eastAsia="Times New Roman" w:hAnsi="Times New Roman" w:cs="Times New Roman"/>
                <w:b/>
                <w:bCs/>
                <w:color w:val="000000"/>
              </w:rPr>
            </w:pPr>
            <w:proofErr w:type="spellStart"/>
            <w:r w:rsidRPr="00C16EF1">
              <w:rPr>
                <w:rFonts w:ascii="Times New Roman" w:eastAsia="Times New Roman" w:hAnsi="Times New Roman" w:cs="Times New Roman"/>
                <w:b/>
                <w:bCs/>
                <w:color w:val="000000"/>
              </w:rPr>
              <w:t>Correlation</w:t>
            </w:r>
            <w:proofErr w:type="spellEnd"/>
          </w:p>
        </w:tc>
        <w:tc>
          <w:tcPr>
            <w:tcW w:w="1621" w:type="dxa"/>
            <w:tcBorders>
              <w:top w:val="single" w:sz="8" w:space="0" w:color="auto"/>
              <w:left w:val="nil"/>
              <w:bottom w:val="double" w:sz="6" w:space="0" w:color="auto"/>
              <w:right w:val="single" w:sz="4" w:space="0" w:color="auto"/>
            </w:tcBorders>
            <w:shd w:val="clear" w:color="auto" w:fill="auto"/>
            <w:noWrap/>
            <w:vAlign w:val="center"/>
            <w:hideMark/>
          </w:tcPr>
          <w:p w14:paraId="4B25E1AA" w14:textId="77777777" w:rsidR="00C16EF1" w:rsidRPr="00C16EF1" w:rsidRDefault="00C16EF1" w:rsidP="00C16EF1">
            <w:pPr>
              <w:jc w:val="center"/>
              <w:rPr>
                <w:rFonts w:ascii="Times New Roman" w:eastAsia="Times New Roman" w:hAnsi="Times New Roman" w:cs="Times New Roman"/>
                <w:b/>
                <w:bCs/>
                <w:color w:val="000000"/>
              </w:rPr>
            </w:pPr>
            <w:proofErr w:type="spellStart"/>
            <w:r w:rsidRPr="00C16EF1">
              <w:rPr>
                <w:rFonts w:ascii="Times New Roman" w:eastAsia="Times New Roman" w:hAnsi="Times New Roman" w:cs="Times New Roman"/>
                <w:b/>
                <w:bCs/>
                <w:color w:val="000000"/>
              </w:rPr>
              <w:t>Volcanic</w:t>
            </w:r>
            <w:proofErr w:type="spellEnd"/>
            <w:r w:rsidRPr="00C16EF1">
              <w:rPr>
                <w:rFonts w:ascii="Times New Roman" w:eastAsia="Times New Roman" w:hAnsi="Times New Roman" w:cs="Times New Roman"/>
                <w:b/>
                <w:bCs/>
                <w:color w:val="000000"/>
              </w:rPr>
              <w:t xml:space="preserve"> </w:t>
            </w:r>
            <w:proofErr w:type="spellStart"/>
            <w:r w:rsidRPr="00C16EF1">
              <w:rPr>
                <w:rFonts w:ascii="Times New Roman" w:eastAsia="Times New Roman" w:hAnsi="Times New Roman" w:cs="Times New Roman"/>
                <w:b/>
                <w:bCs/>
                <w:color w:val="000000"/>
              </w:rPr>
              <w:t>source</w:t>
            </w:r>
            <w:proofErr w:type="spellEnd"/>
          </w:p>
        </w:tc>
        <w:tc>
          <w:tcPr>
            <w:tcW w:w="1923" w:type="dxa"/>
            <w:tcBorders>
              <w:top w:val="single" w:sz="8" w:space="0" w:color="auto"/>
              <w:left w:val="nil"/>
              <w:bottom w:val="double" w:sz="6" w:space="0" w:color="auto"/>
              <w:right w:val="single" w:sz="4" w:space="0" w:color="auto"/>
            </w:tcBorders>
            <w:shd w:val="clear" w:color="auto" w:fill="auto"/>
            <w:noWrap/>
            <w:vAlign w:val="center"/>
            <w:hideMark/>
          </w:tcPr>
          <w:p w14:paraId="074F1ADE" w14:textId="77777777" w:rsidR="00C16EF1" w:rsidRPr="00C16EF1" w:rsidRDefault="00C16EF1" w:rsidP="00C16EF1">
            <w:pPr>
              <w:jc w:val="center"/>
              <w:rPr>
                <w:rFonts w:ascii="Times New Roman" w:eastAsia="Times New Roman" w:hAnsi="Times New Roman" w:cs="Times New Roman"/>
                <w:b/>
                <w:bCs/>
                <w:color w:val="000000"/>
              </w:rPr>
            </w:pPr>
            <w:r w:rsidRPr="00C16EF1">
              <w:rPr>
                <w:rFonts w:ascii="Times New Roman" w:eastAsia="Times New Roman" w:hAnsi="Times New Roman" w:cs="Times New Roman"/>
                <w:b/>
                <w:bCs/>
                <w:color w:val="000000"/>
              </w:rPr>
              <w:t>Age (cal. yr BP)</w:t>
            </w: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00C65D8A" w14:textId="77777777" w:rsidR="00C16EF1" w:rsidRPr="00C16EF1" w:rsidRDefault="00C16EF1" w:rsidP="00C16EF1">
            <w:pPr>
              <w:jc w:val="center"/>
              <w:rPr>
                <w:rFonts w:ascii="Times New Roman" w:eastAsia="Times New Roman" w:hAnsi="Times New Roman" w:cs="Times New Roman"/>
                <w:b/>
                <w:bCs/>
                <w:color w:val="000000"/>
              </w:rPr>
            </w:pPr>
            <w:r w:rsidRPr="00C16EF1">
              <w:rPr>
                <w:rFonts w:ascii="Times New Roman" w:eastAsia="Times New Roman" w:hAnsi="Times New Roman" w:cs="Times New Roman"/>
                <w:b/>
                <w:bCs/>
                <w:color w:val="000000"/>
              </w:rPr>
              <w:t>Reference(s)</w:t>
            </w:r>
          </w:p>
        </w:tc>
      </w:tr>
      <w:tr w:rsidR="00C16EF1" w:rsidRPr="00C16EF1" w14:paraId="61AB70F0" w14:textId="77777777" w:rsidTr="009F3DA5">
        <w:trPr>
          <w:trHeight w:val="324"/>
        </w:trPr>
        <w:tc>
          <w:tcPr>
            <w:tcW w:w="13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DA2025E"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AST1</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2B41B7A0"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9.5</w:t>
            </w:r>
          </w:p>
        </w:tc>
        <w:tc>
          <w:tcPr>
            <w:tcW w:w="1658" w:type="dxa"/>
            <w:tcBorders>
              <w:top w:val="single" w:sz="4" w:space="0" w:color="auto"/>
              <w:left w:val="nil"/>
              <w:bottom w:val="single" w:sz="4" w:space="0" w:color="auto"/>
              <w:right w:val="single" w:sz="4" w:space="0" w:color="auto"/>
            </w:tcBorders>
            <w:shd w:val="clear" w:color="auto" w:fill="auto"/>
            <w:noWrap/>
            <w:vAlign w:val="center"/>
            <w:hideMark/>
          </w:tcPr>
          <w:p w14:paraId="132E490C"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V-1717</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71B5159E" w14:textId="77777777" w:rsidR="00C16EF1" w:rsidRPr="00C16EF1" w:rsidRDefault="00C16EF1" w:rsidP="00C16EF1">
            <w:pPr>
              <w:jc w:val="center"/>
              <w:rPr>
                <w:rFonts w:ascii="Times New Roman" w:eastAsia="Times New Roman" w:hAnsi="Times New Roman" w:cs="Times New Roman"/>
                <w:i/>
                <w:iCs/>
                <w:color w:val="000000"/>
              </w:rPr>
            </w:pPr>
            <w:r w:rsidRPr="00C16EF1">
              <w:rPr>
                <w:rFonts w:ascii="Times New Roman" w:eastAsia="Times New Roman" w:hAnsi="Times New Roman" w:cs="Times New Roman"/>
                <w:i/>
                <w:iCs/>
                <w:color w:val="000000"/>
              </w:rPr>
              <w:t>Bárðarbunga</w:t>
            </w:r>
          </w:p>
        </w:tc>
        <w:tc>
          <w:tcPr>
            <w:tcW w:w="1923" w:type="dxa"/>
            <w:tcBorders>
              <w:top w:val="single" w:sz="4" w:space="0" w:color="auto"/>
              <w:left w:val="nil"/>
              <w:bottom w:val="single" w:sz="4" w:space="0" w:color="auto"/>
              <w:right w:val="single" w:sz="4" w:space="0" w:color="auto"/>
            </w:tcBorders>
            <w:shd w:val="clear" w:color="auto" w:fill="auto"/>
            <w:noWrap/>
            <w:vAlign w:val="center"/>
            <w:hideMark/>
          </w:tcPr>
          <w:p w14:paraId="4B0B3A72"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233 ± 10</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14:paraId="08CDFE8F" w14:textId="29E22C75" w:rsidR="00C16EF1" w:rsidRPr="00C16EF1" w:rsidRDefault="009F3DA5" w:rsidP="00C16EF1">
            <w:pPr>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50</w:t>
            </w:r>
          </w:p>
        </w:tc>
      </w:tr>
      <w:tr w:rsidR="00C16EF1" w:rsidRPr="00C16EF1" w14:paraId="2A33F574" w14:textId="77777777" w:rsidTr="009F3DA5">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0918A1D9"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AST2</w:t>
            </w:r>
          </w:p>
        </w:tc>
        <w:tc>
          <w:tcPr>
            <w:tcW w:w="1660" w:type="dxa"/>
            <w:tcBorders>
              <w:top w:val="nil"/>
              <w:left w:val="nil"/>
              <w:bottom w:val="single" w:sz="4" w:space="0" w:color="auto"/>
              <w:right w:val="single" w:sz="4" w:space="0" w:color="auto"/>
            </w:tcBorders>
            <w:shd w:val="clear" w:color="auto" w:fill="auto"/>
            <w:noWrap/>
            <w:vAlign w:val="center"/>
            <w:hideMark/>
          </w:tcPr>
          <w:p w14:paraId="1105C293"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69</w:t>
            </w:r>
          </w:p>
        </w:tc>
        <w:tc>
          <w:tcPr>
            <w:tcW w:w="1658" w:type="dxa"/>
            <w:tcBorders>
              <w:top w:val="nil"/>
              <w:left w:val="nil"/>
              <w:bottom w:val="single" w:sz="4" w:space="0" w:color="auto"/>
              <w:right w:val="single" w:sz="4" w:space="0" w:color="auto"/>
            </w:tcBorders>
            <w:shd w:val="clear" w:color="auto" w:fill="auto"/>
            <w:noWrap/>
            <w:vAlign w:val="center"/>
            <w:hideMark/>
          </w:tcPr>
          <w:p w14:paraId="2506327B"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1-113</w:t>
            </w:r>
          </w:p>
        </w:tc>
        <w:tc>
          <w:tcPr>
            <w:tcW w:w="1621" w:type="dxa"/>
            <w:tcBorders>
              <w:top w:val="nil"/>
              <w:left w:val="nil"/>
              <w:bottom w:val="single" w:sz="4" w:space="0" w:color="auto"/>
              <w:right w:val="single" w:sz="4" w:space="0" w:color="auto"/>
            </w:tcBorders>
            <w:shd w:val="clear" w:color="auto" w:fill="auto"/>
            <w:noWrap/>
            <w:vAlign w:val="center"/>
            <w:hideMark/>
          </w:tcPr>
          <w:p w14:paraId="79CB718C" w14:textId="77777777" w:rsidR="00C16EF1" w:rsidRPr="00C16EF1" w:rsidRDefault="00C16EF1" w:rsidP="00C16EF1">
            <w:pPr>
              <w:jc w:val="center"/>
              <w:rPr>
                <w:rFonts w:ascii="Times New Roman" w:eastAsia="Times New Roman" w:hAnsi="Times New Roman" w:cs="Times New Roman"/>
                <w:i/>
                <w:iCs/>
                <w:color w:val="000000"/>
              </w:rPr>
            </w:pPr>
            <w:r w:rsidRPr="00C16EF1">
              <w:rPr>
                <w:rFonts w:ascii="Times New Roman" w:eastAsia="Times New Roman" w:hAnsi="Times New Roman" w:cs="Times New Roman"/>
                <w:i/>
                <w:iCs/>
                <w:color w:val="000000"/>
              </w:rPr>
              <w:t>Kverkfjöll</w:t>
            </w:r>
          </w:p>
        </w:tc>
        <w:tc>
          <w:tcPr>
            <w:tcW w:w="1923" w:type="dxa"/>
            <w:tcBorders>
              <w:top w:val="nil"/>
              <w:left w:val="nil"/>
              <w:bottom w:val="single" w:sz="4" w:space="0" w:color="auto"/>
              <w:right w:val="single" w:sz="4" w:space="0" w:color="auto"/>
            </w:tcBorders>
            <w:shd w:val="clear" w:color="auto" w:fill="auto"/>
            <w:noWrap/>
            <w:vAlign w:val="center"/>
            <w:hideMark/>
          </w:tcPr>
          <w:p w14:paraId="0CCFF209"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1325 ± 100</w:t>
            </w:r>
          </w:p>
        </w:tc>
        <w:tc>
          <w:tcPr>
            <w:tcW w:w="1276" w:type="dxa"/>
            <w:tcBorders>
              <w:top w:val="nil"/>
              <w:left w:val="nil"/>
              <w:bottom w:val="single" w:sz="4" w:space="0" w:color="auto"/>
              <w:right w:val="single" w:sz="8" w:space="0" w:color="auto"/>
            </w:tcBorders>
            <w:shd w:val="clear" w:color="auto" w:fill="auto"/>
            <w:noWrap/>
            <w:vAlign w:val="center"/>
            <w:hideMark/>
          </w:tcPr>
          <w:p w14:paraId="20850595" w14:textId="4AFA5F35" w:rsidR="00C16EF1" w:rsidRPr="00C16EF1" w:rsidRDefault="009F3DA5" w:rsidP="00C16EF1">
            <w:pPr>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52</w:t>
            </w:r>
          </w:p>
        </w:tc>
      </w:tr>
      <w:tr w:rsidR="00C16EF1" w:rsidRPr="00C16EF1" w14:paraId="531BD6AA" w14:textId="77777777" w:rsidTr="009F3DA5">
        <w:trPr>
          <w:trHeight w:val="312"/>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265C3231"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AST3</w:t>
            </w:r>
          </w:p>
        </w:tc>
        <w:tc>
          <w:tcPr>
            <w:tcW w:w="1660" w:type="dxa"/>
            <w:tcBorders>
              <w:top w:val="nil"/>
              <w:left w:val="nil"/>
              <w:bottom w:val="single" w:sz="4" w:space="0" w:color="auto"/>
              <w:right w:val="single" w:sz="4" w:space="0" w:color="auto"/>
            </w:tcBorders>
            <w:shd w:val="clear" w:color="auto" w:fill="auto"/>
            <w:noWrap/>
            <w:vAlign w:val="center"/>
            <w:hideMark/>
          </w:tcPr>
          <w:p w14:paraId="39FE4D7B"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264</w:t>
            </w:r>
          </w:p>
        </w:tc>
        <w:tc>
          <w:tcPr>
            <w:tcW w:w="1658" w:type="dxa"/>
            <w:tcBorders>
              <w:top w:val="nil"/>
              <w:left w:val="nil"/>
              <w:bottom w:val="single" w:sz="4" w:space="0" w:color="auto"/>
              <w:right w:val="single" w:sz="4" w:space="0" w:color="auto"/>
            </w:tcBorders>
            <w:shd w:val="clear" w:color="auto" w:fill="auto"/>
            <w:noWrap/>
            <w:vAlign w:val="center"/>
            <w:hideMark/>
          </w:tcPr>
          <w:p w14:paraId="6BEF2CB1"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G-Svart</w:t>
            </w:r>
          </w:p>
        </w:tc>
        <w:tc>
          <w:tcPr>
            <w:tcW w:w="1621" w:type="dxa"/>
            <w:tcBorders>
              <w:top w:val="nil"/>
              <w:left w:val="nil"/>
              <w:bottom w:val="single" w:sz="4" w:space="0" w:color="auto"/>
              <w:right w:val="single" w:sz="4" w:space="0" w:color="auto"/>
            </w:tcBorders>
            <w:shd w:val="clear" w:color="auto" w:fill="auto"/>
            <w:noWrap/>
            <w:vAlign w:val="center"/>
            <w:hideMark/>
          </w:tcPr>
          <w:p w14:paraId="5192674E" w14:textId="77777777" w:rsidR="00C16EF1" w:rsidRPr="00C16EF1" w:rsidRDefault="00C16EF1" w:rsidP="00C16EF1">
            <w:pPr>
              <w:jc w:val="center"/>
              <w:rPr>
                <w:rFonts w:ascii="Times New Roman" w:eastAsia="Times New Roman" w:hAnsi="Times New Roman" w:cs="Times New Roman"/>
                <w:i/>
                <w:iCs/>
                <w:color w:val="000000"/>
              </w:rPr>
            </w:pPr>
            <w:r w:rsidRPr="00C16EF1">
              <w:rPr>
                <w:rFonts w:ascii="Times New Roman" w:eastAsia="Times New Roman" w:hAnsi="Times New Roman" w:cs="Times New Roman"/>
                <w:i/>
                <w:iCs/>
                <w:color w:val="000000"/>
              </w:rPr>
              <w:t>Grímsvötn</w:t>
            </w:r>
          </w:p>
        </w:tc>
        <w:tc>
          <w:tcPr>
            <w:tcW w:w="1923" w:type="dxa"/>
            <w:tcBorders>
              <w:top w:val="nil"/>
              <w:left w:val="nil"/>
              <w:bottom w:val="single" w:sz="4" w:space="0" w:color="auto"/>
              <w:right w:val="single" w:sz="4" w:space="0" w:color="auto"/>
            </w:tcBorders>
            <w:shd w:val="clear" w:color="auto" w:fill="auto"/>
            <w:noWrap/>
            <w:vAlign w:val="center"/>
            <w:hideMark/>
          </w:tcPr>
          <w:p w14:paraId="7891EF7A"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1698 ± 10</w:t>
            </w:r>
          </w:p>
        </w:tc>
        <w:tc>
          <w:tcPr>
            <w:tcW w:w="1276" w:type="dxa"/>
            <w:tcBorders>
              <w:top w:val="nil"/>
              <w:left w:val="nil"/>
              <w:bottom w:val="single" w:sz="4" w:space="0" w:color="auto"/>
              <w:right w:val="single" w:sz="8" w:space="0" w:color="auto"/>
            </w:tcBorders>
            <w:shd w:val="clear" w:color="auto" w:fill="auto"/>
            <w:noWrap/>
            <w:vAlign w:val="center"/>
            <w:hideMark/>
          </w:tcPr>
          <w:p w14:paraId="119D1ADA" w14:textId="4F654ABB" w:rsidR="00C16EF1" w:rsidRPr="00C16EF1" w:rsidRDefault="009F3DA5" w:rsidP="00C16EF1">
            <w:pPr>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57</w:t>
            </w:r>
          </w:p>
        </w:tc>
      </w:tr>
      <w:tr w:rsidR="00C16EF1" w:rsidRPr="00C16EF1" w14:paraId="1E2440BC" w14:textId="77777777" w:rsidTr="009F3DA5">
        <w:trPr>
          <w:trHeight w:val="324"/>
        </w:trPr>
        <w:tc>
          <w:tcPr>
            <w:tcW w:w="1360" w:type="dxa"/>
            <w:tcBorders>
              <w:top w:val="nil"/>
              <w:left w:val="single" w:sz="8" w:space="0" w:color="auto"/>
              <w:bottom w:val="single" w:sz="8" w:space="0" w:color="auto"/>
              <w:right w:val="single" w:sz="4" w:space="0" w:color="auto"/>
            </w:tcBorders>
            <w:shd w:val="clear" w:color="auto" w:fill="auto"/>
            <w:noWrap/>
            <w:vAlign w:val="center"/>
            <w:hideMark/>
          </w:tcPr>
          <w:p w14:paraId="6E071DCF"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AST4</w:t>
            </w:r>
          </w:p>
        </w:tc>
        <w:tc>
          <w:tcPr>
            <w:tcW w:w="1660" w:type="dxa"/>
            <w:tcBorders>
              <w:top w:val="nil"/>
              <w:left w:val="nil"/>
              <w:bottom w:val="single" w:sz="8" w:space="0" w:color="auto"/>
              <w:right w:val="single" w:sz="4" w:space="0" w:color="auto"/>
            </w:tcBorders>
            <w:shd w:val="clear" w:color="auto" w:fill="auto"/>
            <w:noWrap/>
            <w:vAlign w:val="center"/>
            <w:hideMark/>
          </w:tcPr>
          <w:p w14:paraId="220F772D" w14:textId="77777777" w:rsidR="00C16EF1" w:rsidRPr="00C16EF1" w:rsidRDefault="00C16EF1" w:rsidP="00C16EF1">
            <w:pPr>
              <w:jc w:val="center"/>
              <w:rPr>
                <w:rFonts w:ascii="Times New Roman" w:eastAsia="Times New Roman" w:hAnsi="Times New Roman" w:cs="Times New Roman"/>
                <w:color w:val="000000"/>
              </w:rPr>
            </w:pPr>
            <w:r w:rsidRPr="00C16EF1">
              <w:rPr>
                <w:rFonts w:ascii="Times New Roman" w:eastAsia="Times New Roman" w:hAnsi="Times New Roman" w:cs="Times New Roman"/>
                <w:color w:val="000000"/>
              </w:rPr>
              <w:t>292</w:t>
            </w:r>
          </w:p>
        </w:tc>
        <w:tc>
          <w:tcPr>
            <w:tcW w:w="1658" w:type="dxa"/>
            <w:tcBorders>
              <w:top w:val="nil"/>
              <w:left w:val="nil"/>
              <w:bottom w:val="single" w:sz="8" w:space="0" w:color="auto"/>
              <w:right w:val="single" w:sz="4" w:space="0" w:color="auto"/>
            </w:tcBorders>
            <w:shd w:val="clear" w:color="auto" w:fill="auto"/>
            <w:noWrap/>
            <w:vAlign w:val="center"/>
            <w:hideMark/>
          </w:tcPr>
          <w:p w14:paraId="465BBF41" w14:textId="30EAEE5A" w:rsidR="00C16EF1" w:rsidRPr="00C16EF1" w:rsidRDefault="009F3DA5" w:rsidP="00C16E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Tentative</w:t>
            </w:r>
          </w:p>
        </w:tc>
        <w:tc>
          <w:tcPr>
            <w:tcW w:w="1621" w:type="dxa"/>
            <w:tcBorders>
              <w:top w:val="nil"/>
              <w:left w:val="nil"/>
              <w:bottom w:val="single" w:sz="8" w:space="0" w:color="auto"/>
              <w:right w:val="single" w:sz="4" w:space="0" w:color="auto"/>
            </w:tcBorders>
            <w:shd w:val="clear" w:color="auto" w:fill="auto"/>
            <w:noWrap/>
            <w:vAlign w:val="center"/>
            <w:hideMark/>
          </w:tcPr>
          <w:p w14:paraId="48C50C83" w14:textId="4E8789AD" w:rsidR="00C16EF1" w:rsidRPr="00C16EF1" w:rsidRDefault="00C16EF1" w:rsidP="00C16EF1">
            <w:pPr>
              <w:jc w:val="center"/>
              <w:rPr>
                <w:rFonts w:ascii="Times New Roman" w:eastAsia="Times New Roman" w:hAnsi="Times New Roman" w:cs="Times New Roman"/>
                <w:i/>
                <w:iCs/>
                <w:color w:val="000000"/>
              </w:rPr>
            </w:pPr>
            <w:r w:rsidRPr="00C16EF1">
              <w:rPr>
                <w:rFonts w:ascii="Times New Roman" w:eastAsia="Times New Roman" w:hAnsi="Times New Roman" w:cs="Times New Roman"/>
                <w:i/>
                <w:iCs/>
                <w:color w:val="000000"/>
              </w:rPr>
              <w:t>Askja</w:t>
            </w:r>
            <w:r w:rsidR="009F3DA5">
              <w:rPr>
                <w:rFonts w:ascii="Times New Roman" w:eastAsia="Times New Roman" w:hAnsi="Times New Roman" w:cs="Times New Roman"/>
                <w:i/>
                <w:iCs/>
                <w:color w:val="000000"/>
              </w:rPr>
              <w:t>/Krafla?</w:t>
            </w:r>
          </w:p>
        </w:tc>
        <w:tc>
          <w:tcPr>
            <w:tcW w:w="1923" w:type="dxa"/>
            <w:tcBorders>
              <w:top w:val="nil"/>
              <w:left w:val="nil"/>
              <w:bottom w:val="single" w:sz="8" w:space="0" w:color="auto"/>
              <w:right w:val="single" w:sz="4" w:space="0" w:color="auto"/>
            </w:tcBorders>
            <w:shd w:val="clear" w:color="auto" w:fill="auto"/>
            <w:noWrap/>
            <w:vAlign w:val="center"/>
            <w:hideMark/>
          </w:tcPr>
          <w:p w14:paraId="4A7DC6A5" w14:textId="7D9DB0BB" w:rsidR="00C16EF1" w:rsidRPr="00C16EF1" w:rsidRDefault="009F3DA5" w:rsidP="00C16EF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2900-3500/2850±250</w:t>
            </w:r>
          </w:p>
        </w:tc>
        <w:tc>
          <w:tcPr>
            <w:tcW w:w="1276" w:type="dxa"/>
            <w:tcBorders>
              <w:top w:val="nil"/>
              <w:left w:val="nil"/>
              <w:bottom w:val="single" w:sz="8" w:space="0" w:color="auto"/>
              <w:right w:val="single" w:sz="8" w:space="0" w:color="auto"/>
            </w:tcBorders>
            <w:shd w:val="clear" w:color="auto" w:fill="auto"/>
            <w:noWrap/>
            <w:vAlign w:val="center"/>
            <w:hideMark/>
          </w:tcPr>
          <w:p w14:paraId="563A859A" w14:textId="500997F7" w:rsidR="00C16EF1" w:rsidRPr="00C16EF1" w:rsidRDefault="00A273D3" w:rsidP="00C16EF1">
            <w:pPr>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6</w:t>
            </w:r>
            <w:r w:rsidR="009F3DA5">
              <w:rPr>
                <w:rFonts w:ascii="Times New Roman" w:eastAsia="Times New Roman" w:hAnsi="Times New Roman" w:cs="Times New Roman"/>
                <w:color w:val="000000"/>
                <w:vertAlign w:val="superscript"/>
              </w:rPr>
              <w:t>1 62</w:t>
            </w:r>
          </w:p>
        </w:tc>
      </w:tr>
    </w:tbl>
    <w:p w14:paraId="6FD43354" w14:textId="77777777" w:rsidR="000F0B1B" w:rsidRDefault="000F0B1B" w:rsidP="00151F43">
      <w:pPr>
        <w:spacing w:line="480" w:lineRule="auto"/>
        <w:jc w:val="both"/>
        <w:rPr>
          <w:rFonts w:ascii="Times New Roman" w:hAnsi="Times New Roman" w:cs="Times New Roman"/>
          <w:b/>
          <w:sz w:val="24"/>
          <w:szCs w:val="24"/>
          <w:lang w:val="en-US"/>
        </w:rPr>
      </w:pPr>
    </w:p>
    <w:p w14:paraId="3AC1FED9" w14:textId="7B822AF0" w:rsidR="008539AE" w:rsidRDefault="00C16EF1" w:rsidP="00151F43">
      <w:pPr>
        <w:spacing w:line="480" w:lineRule="auto"/>
        <w:jc w:val="both"/>
        <w:rPr>
          <w:rFonts w:ascii="Times New Roman" w:hAnsi="Times New Roman" w:cs="Times New Roman"/>
          <w:color w:val="323232"/>
          <w:sz w:val="24"/>
          <w:szCs w:val="24"/>
          <w:lang w:val="en-US"/>
        </w:rPr>
      </w:pPr>
      <w:r w:rsidRPr="008539AE">
        <w:rPr>
          <w:rFonts w:ascii="Times New Roman" w:hAnsi="Times New Roman" w:cs="Times New Roman"/>
          <w:b/>
          <w:sz w:val="24"/>
          <w:szCs w:val="24"/>
          <w:lang w:val="en-US"/>
        </w:rPr>
        <w:t>Supplementary Table 2.</w:t>
      </w:r>
      <w:r w:rsidRPr="008539AE">
        <w:rPr>
          <w:rFonts w:ascii="Times New Roman" w:hAnsi="Times New Roman" w:cs="Times New Roman"/>
          <w:sz w:val="24"/>
          <w:szCs w:val="24"/>
          <w:lang w:val="en-US"/>
        </w:rPr>
        <w:t xml:space="preserve"> </w:t>
      </w:r>
      <w:r w:rsidRPr="008539AE">
        <w:rPr>
          <w:rFonts w:ascii="Times New Roman" w:hAnsi="Times New Roman" w:cs="Times New Roman"/>
          <w:color w:val="323232"/>
          <w:sz w:val="24"/>
          <w:szCs w:val="24"/>
          <w:lang w:val="en-US"/>
        </w:rPr>
        <w:t>Summary of tephra deposits investigated in this study with respect to their name, core depth, volcanic source and the reported ages of correlative isochrons</w:t>
      </w:r>
      <w:r w:rsidR="008539AE">
        <w:rPr>
          <w:rFonts w:ascii="Times New Roman" w:hAnsi="Times New Roman" w:cs="Times New Roman"/>
          <w:color w:val="323232"/>
          <w:sz w:val="24"/>
          <w:szCs w:val="24"/>
          <w:lang w:val="en-US"/>
        </w:rPr>
        <w:t xml:space="preserve">. </w:t>
      </w:r>
    </w:p>
    <w:p w14:paraId="3F5AA2E0" w14:textId="77777777" w:rsidR="008539AE" w:rsidRDefault="008539AE" w:rsidP="00151F43">
      <w:pPr>
        <w:spacing w:line="480" w:lineRule="auto"/>
        <w:jc w:val="both"/>
        <w:rPr>
          <w:rFonts w:ascii="Times New Roman" w:hAnsi="Times New Roman" w:cs="Times New Roman"/>
          <w:color w:val="323232"/>
          <w:sz w:val="24"/>
          <w:szCs w:val="24"/>
          <w:lang w:val="en-US"/>
        </w:rPr>
      </w:pPr>
    </w:p>
    <w:p w14:paraId="13272F43" w14:textId="77777777" w:rsidR="008539AE" w:rsidRDefault="008539AE" w:rsidP="00151F43">
      <w:pPr>
        <w:spacing w:line="480" w:lineRule="auto"/>
        <w:jc w:val="both"/>
        <w:rPr>
          <w:rFonts w:ascii="Times New Roman" w:hAnsi="Times New Roman" w:cs="Times New Roman"/>
          <w:color w:val="323232"/>
          <w:sz w:val="24"/>
          <w:szCs w:val="24"/>
          <w:lang w:val="en-US"/>
        </w:rPr>
      </w:pPr>
    </w:p>
    <w:p w14:paraId="614CE68B" w14:textId="77777777" w:rsidR="008539AE" w:rsidRDefault="008539AE" w:rsidP="00151F43">
      <w:pPr>
        <w:spacing w:line="480" w:lineRule="auto"/>
        <w:jc w:val="both"/>
        <w:rPr>
          <w:rFonts w:ascii="Times New Roman" w:hAnsi="Times New Roman" w:cs="Times New Roman"/>
          <w:color w:val="323232"/>
          <w:sz w:val="24"/>
          <w:szCs w:val="24"/>
          <w:lang w:val="en-US"/>
        </w:rPr>
      </w:pPr>
    </w:p>
    <w:p w14:paraId="5E354E17" w14:textId="77777777" w:rsidR="00066097" w:rsidRDefault="00151F43" w:rsidP="00AA5504">
      <w:pPr>
        <w:spacing w:line="480" w:lineRule="auto"/>
      </w:pPr>
      <w:r>
        <w:rPr>
          <w:noProof/>
        </w:rPr>
        <w:lastRenderedPageBreak/>
        <w:drawing>
          <wp:inline distT="0" distB="0" distL="0" distR="0" wp14:anchorId="0790E942" wp14:editId="5D514032">
            <wp:extent cx="2644140" cy="8258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_tephra visual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4140" cy="8258810"/>
                    </a:xfrm>
                    <a:prstGeom prst="rect">
                      <a:avLst/>
                    </a:prstGeom>
                  </pic:spPr>
                </pic:pic>
              </a:graphicData>
            </a:graphic>
          </wp:inline>
        </w:drawing>
      </w:r>
    </w:p>
    <w:p w14:paraId="3E01C244" w14:textId="77777777" w:rsidR="00066097" w:rsidRDefault="00066097" w:rsidP="00066097">
      <w:pPr>
        <w:spacing w:line="480" w:lineRule="auto"/>
        <w:jc w:val="both"/>
        <w:rPr>
          <w:rFonts w:ascii="Times New Roman" w:hAnsi="Times New Roman" w:cs="Times New Roman"/>
          <w:sz w:val="24"/>
          <w:lang w:val="en-US"/>
        </w:rPr>
      </w:pPr>
      <w:r w:rsidRPr="00066097">
        <w:rPr>
          <w:rFonts w:ascii="Times New Roman" w:hAnsi="Times New Roman" w:cs="Times New Roman"/>
          <w:b/>
          <w:sz w:val="24"/>
          <w:lang w:val="en-US"/>
        </w:rPr>
        <w:lastRenderedPageBreak/>
        <w:t>Supplementary Figure 1</w:t>
      </w:r>
      <w:r>
        <w:rPr>
          <w:rFonts w:ascii="Times New Roman" w:hAnsi="Times New Roman" w:cs="Times New Roman"/>
          <w:sz w:val="24"/>
          <w:lang w:val="en-US"/>
        </w:rPr>
        <w:t xml:space="preserve">. </w:t>
      </w:r>
      <w:r w:rsidRPr="00066097">
        <w:rPr>
          <w:rFonts w:ascii="Times New Roman" w:hAnsi="Times New Roman" w:cs="Times New Roman"/>
          <w:sz w:val="24"/>
          <w:lang w:val="en-US"/>
        </w:rPr>
        <w:t>CT ortho slices (2-D) and volume renderings (3-D) of analyzed visible tephra horizons (see Fig. 4) in colors that match Figs. 1, 6 and 7. Histograms show the greyscale distributions for each displayed core section in grey, while the range of volcanic ash is highlighted in color. On top of the CT imagery, we plot profiles of standardized XRF Titanium (Ti) and Manganese (Mn) counts; diagnos</w:t>
      </w:r>
      <w:r w:rsidR="00672678">
        <w:rPr>
          <w:rFonts w:ascii="Times New Roman" w:hAnsi="Times New Roman" w:cs="Times New Roman"/>
          <w:sz w:val="24"/>
          <w:lang w:val="en-US"/>
        </w:rPr>
        <w:t xml:space="preserve">tic elements for basaltic ash </w:t>
      </w:r>
      <w:proofErr w:type="gramStart"/>
      <w:r w:rsidR="00672678">
        <w:rPr>
          <w:rFonts w:ascii="Times New Roman" w:hAnsi="Times New Roman" w:cs="Times New Roman"/>
          <w:sz w:val="24"/>
          <w:lang w:val="en-US"/>
        </w:rPr>
        <w:t>(</w:t>
      </w:r>
      <w:r>
        <w:rPr>
          <w:rFonts w:ascii="Times New Roman" w:hAnsi="Times New Roman" w:cs="Times New Roman"/>
          <w:sz w:val="24"/>
          <w:lang w:val="en-US"/>
        </w:rPr>
        <w:t xml:space="preserve"> “</w:t>
      </w:r>
      <w:proofErr w:type="gramEnd"/>
      <w:r>
        <w:rPr>
          <w:rFonts w:ascii="Times New Roman" w:hAnsi="Times New Roman" w:cs="Times New Roman"/>
          <w:sz w:val="24"/>
          <w:lang w:val="en-US"/>
        </w:rPr>
        <w:t xml:space="preserve">methods”). </w:t>
      </w:r>
    </w:p>
    <w:p w14:paraId="6486727C" w14:textId="77777777" w:rsidR="00151F43" w:rsidRDefault="00151F43" w:rsidP="00AA5504">
      <w:pPr>
        <w:spacing w:line="480" w:lineRule="auto"/>
        <w:rPr>
          <w:lang w:val="en-US"/>
        </w:rPr>
      </w:pPr>
    </w:p>
    <w:p w14:paraId="14E2D957" w14:textId="77777777" w:rsidR="00066097" w:rsidRPr="00066097" w:rsidRDefault="00A273D3" w:rsidP="00AA5504">
      <w:pPr>
        <w:spacing w:line="480" w:lineRule="auto"/>
        <w:rPr>
          <w:lang w:val="en-US"/>
        </w:rPr>
      </w:pPr>
      <w:r>
        <w:rPr>
          <w:noProof/>
        </w:rPr>
        <w:drawing>
          <wp:inline distT="0" distB="0" distL="0" distR="0" wp14:anchorId="1118B959" wp14:editId="7C8B567B">
            <wp:extent cx="5760720" cy="3602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2_AST1 tephra_1611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602355"/>
                    </a:xfrm>
                    <a:prstGeom prst="rect">
                      <a:avLst/>
                    </a:prstGeom>
                  </pic:spPr>
                </pic:pic>
              </a:graphicData>
            </a:graphic>
          </wp:inline>
        </w:drawing>
      </w:r>
    </w:p>
    <w:p w14:paraId="5DB88D5C" w14:textId="496DB38B" w:rsidR="00066097" w:rsidRDefault="00066097" w:rsidP="00394167">
      <w:pPr>
        <w:spacing w:line="480" w:lineRule="auto"/>
        <w:jc w:val="both"/>
        <w:rPr>
          <w:lang w:val="en-US"/>
        </w:rPr>
      </w:pPr>
      <w:r w:rsidRPr="00066097">
        <w:rPr>
          <w:rFonts w:ascii="Times New Roman" w:hAnsi="Times New Roman" w:cs="Times New Roman"/>
          <w:b/>
          <w:sz w:val="24"/>
          <w:lang w:val="en-US"/>
        </w:rPr>
        <w:t>S</w:t>
      </w:r>
      <w:r w:rsidR="00394167">
        <w:rPr>
          <w:rFonts w:ascii="Times New Roman" w:hAnsi="Times New Roman" w:cs="Times New Roman"/>
          <w:b/>
          <w:sz w:val="24"/>
          <w:lang w:val="en-US"/>
        </w:rPr>
        <w:t xml:space="preserve">upplementary Figure 2. </w:t>
      </w:r>
      <w:r w:rsidR="00394167">
        <w:rPr>
          <w:rFonts w:ascii="Times New Roman" w:hAnsi="Times New Roman" w:cs="Times New Roman"/>
          <w:sz w:val="24"/>
          <w:lang w:val="en-US"/>
        </w:rPr>
        <w:t>K</w:t>
      </w:r>
      <w:r w:rsidR="00394167" w:rsidRPr="00394167">
        <w:rPr>
          <w:rFonts w:ascii="Times New Roman" w:hAnsi="Times New Roman" w:cs="Times New Roman"/>
          <w:sz w:val="24"/>
          <w:szCs w:val="24"/>
          <w:lang w:val="en-US"/>
        </w:rPr>
        <w:t>ey</w:t>
      </w:r>
      <w:r w:rsidR="00394167" w:rsidRPr="00E22232">
        <w:rPr>
          <w:rFonts w:ascii="Times New Roman" w:hAnsi="Times New Roman" w:cs="Times New Roman"/>
          <w:sz w:val="24"/>
          <w:szCs w:val="24"/>
          <w:lang w:val="en-US"/>
        </w:rPr>
        <w:t xml:space="preserve"> discriminatory element oxide </w:t>
      </w:r>
      <w:proofErr w:type="gramStart"/>
      <w:r w:rsidR="00394167">
        <w:rPr>
          <w:rFonts w:ascii="Times New Roman" w:hAnsi="Times New Roman" w:cs="Times New Roman"/>
          <w:sz w:val="24"/>
          <w:szCs w:val="24"/>
          <w:lang w:val="en-US"/>
        </w:rPr>
        <w:t>bi-plots</w:t>
      </w:r>
      <w:proofErr w:type="gramEnd"/>
      <w:r w:rsidR="00394167">
        <w:rPr>
          <w:rFonts w:ascii="Times New Roman" w:hAnsi="Times New Roman" w:cs="Times New Roman"/>
          <w:sz w:val="24"/>
          <w:szCs w:val="24"/>
          <w:lang w:val="en-US"/>
        </w:rPr>
        <w:t xml:space="preserve"> for the shard populations of horizon AST1 (see Fig. 4 and “chronology” in the main text for </w:t>
      </w:r>
      <w:r w:rsidR="00394167" w:rsidRPr="00F74FAE">
        <w:rPr>
          <w:rFonts w:ascii="Times New Roman" w:hAnsi="Times New Roman" w:cs="Times New Roman"/>
          <w:sz w:val="24"/>
          <w:szCs w:val="24"/>
          <w:lang w:val="en-US"/>
        </w:rPr>
        <w:t>additional details). Reference Compositional Fields (RCFs) of active Icelandic volcanoes are delineated after</w:t>
      </w:r>
      <w:r w:rsidR="00394167" w:rsidRPr="00F74FAE">
        <w:rPr>
          <w:rFonts w:ascii="Times New Roman" w:hAnsi="Times New Roman" w:cs="Times New Roman"/>
          <w:sz w:val="24"/>
          <w:szCs w:val="24"/>
          <w:lang w:val="en-US"/>
        </w:rPr>
        <w:fldChar w:fldCharType="begin"/>
      </w:r>
      <w:r w:rsidR="00394167" w:rsidRPr="00F74FAE">
        <w:rPr>
          <w:rFonts w:ascii="Times New Roman" w:hAnsi="Times New Roman" w:cs="Times New Roman"/>
          <w:sz w:val="24"/>
          <w:szCs w:val="24"/>
          <w:lang w:val="en-US"/>
        </w:rPr>
        <w:instrText xml:space="preserve"> ADDIN EN.CITE &lt;EndNote&gt;&lt;Cite&gt;&lt;Author&gt;Harning&lt;/Author&gt;&lt;Year&gt;2018&lt;/Year&gt;&lt;RecNum&gt;1331&lt;/RecNum&gt;&lt;DisplayText&gt;&lt;style face="superscript"&gt;82&lt;/style&gt;&lt;/DisplayText&gt;&lt;record&gt;&lt;rec-number&gt;1331&lt;/rec-number&gt;&lt;foreign-keys&gt;&lt;key app="EN" db-id="ratx0v0vg9vxd0et29mvw9rnfev2astrwv95" timestamp="1523722851"&gt;1331&lt;/key&gt;&lt;/foreign-keys&gt;&lt;ref-type name="Journal Article"&gt;17&lt;/ref-type&gt;&lt;contributors&gt;&lt;authors&gt;&lt;author&gt;Harning, David J.&lt;/author&gt;&lt;author&gt;Geirsdóttir, Áslaug&lt;/author&gt;&lt;author&gt;Miller, Gifford H.&lt;/author&gt;&lt;/authors&gt;&lt;/contributors&gt;&lt;titles&gt;&lt;title&gt;Punctuated Holocene climate of Vestfirðir, Iceland, linked to internal/external variables and oceanographic conditions&lt;/title&gt;&lt;secondary-title&gt;Quaternary Science Reviews&lt;/secondary-title&gt;&lt;/titles&gt;&lt;periodical&gt;&lt;full-title&gt;Quaternary Science Reviews&lt;/full-title&gt;&lt;/periodical&gt;&lt;pages&gt;31-42&lt;/pages&gt;&lt;volume&gt;189&lt;/volume&gt;&lt;keywords&gt;&lt;keyword&gt;North Atlantic&lt;/keyword&gt;&lt;keyword&gt;Iceland&lt;/keyword&gt;&lt;keyword&gt;Holocene&lt;/keyword&gt;&lt;keyword&gt;Glaciers&lt;/keyword&gt;&lt;keyword&gt;Lake sediment&lt;/keyword&gt;&lt;keyword&gt;Dead vegetation&lt;/keyword&gt;&lt;keyword&gt;Paleoclimate&lt;/keyword&gt;&lt;keyword&gt;8.2 ka event&lt;/keyword&gt;&lt;keyword&gt;Neoglaciation&lt;/keyword&gt;&lt;keyword&gt;Little Ice Age&lt;/keyword&gt;&lt;/keywords&gt;&lt;dates&gt;&lt;year&gt;2018&lt;/year&gt;&lt;pub-dates&gt;&lt;date&gt;6/1/&lt;/date&gt;&lt;/pub-dates&gt;&lt;/dates&gt;&lt;isbn&gt;0277-3791&lt;/isbn&gt;&lt;urls&gt;&lt;related-urls&gt;&lt;url&gt;https://www.sciencedirect.com/science/article/pii/S0277379117309563&lt;/url&gt;&lt;/related-urls&gt;&lt;/urls&gt;&lt;electronic-resource-num&gt;https://doi.org/10.1016/j.quascirev.2018.04.009&lt;/electronic-resource-num&gt;&lt;/record&gt;&lt;/Cite&gt;&lt;/EndNote&gt;</w:instrText>
      </w:r>
      <w:r w:rsidR="00394167" w:rsidRPr="00F74FAE">
        <w:rPr>
          <w:rFonts w:ascii="Times New Roman" w:hAnsi="Times New Roman" w:cs="Times New Roman"/>
          <w:sz w:val="24"/>
          <w:szCs w:val="24"/>
          <w:lang w:val="en-US"/>
        </w:rPr>
        <w:fldChar w:fldCharType="separate"/>
      </w:r>
      <w:r w:rsidR="00394167" w:rsidRPr="00F74FAE">
        <w:rPr>
          <w:rFonts w:ascii="Times New Roman" w:hAnsi="Times New Roman" w:cs="Times New Roman"/>
          <w:noProof/>
          <w:sz w:val="24"/>
          <w:szCs w:val="24"/>
          <w:vertAlign w:val="superscript"/>
          <w:lang w:val="en-US"/>
        </w:rPr>
        <w:t>82</w:t>
      </w:r>
      <w:r w:rsidR="00394167" w:rsidRPr="00F74FAE">
        <w:rPr>
          <w:rFonts w:ascii="Times New Roman" w:hAnsi="Times New Roman" w:cs="Times New Roman"/>
          <w:sz w:val="24"/>
          <w:szCs w:val="24"/>
          <w:lang w:val="en-US"/>
        </w:rPr>
        <w:fldChar w:fldCharType="end"/>
      </w:r>
      <w:r w:rsidR="00394167" w:rsidRPr="00F74FAE">
        <w:rPr>
          <w:rFonts w:ascii="Times New Roman" w:hAnsi="Times New Roman" w:cs="Times New Roman"/>
          <w:sz w:val="24"/>
          <w:szCs w:val="24"/>
          <w:lang w:val="en-US"/>
        </w:rPr>
        <w:t xml:space="preserve"> and</w:t>
      </w:r>
      <w:r w:rsidR="00A273D3">
        <w:rPr>
          <w:rFonts w:ascii="Times New Roman" w:hAnsi="Times New Roman" w:cs="Times New Roman"/>
          <w:sz w:val="24"/>
          <w:szCs w:val="24"/>
          <w:lang w:val="en-US"/>
        </w:rPr>
        <w:t xml:space="preserve"> </w:t>
      </w:r>
      <w:r w:rsidR="00394167" w:rsidRPr="00F74FAE">
        <w:rPr>
          <w:rFonts w:ascii="Times New Roman" w:hAnsi="Times New Roman" w:cs="Times New Roman"/>
          <w:sz w:val="24"/>
          <w:szCs w:val="24"/>
          <w:lang w:val="en-US"/>
        </w:rPr>
        <w:fldChar w:fldCharType="begin"/>
      </w:r>
      <w:r w:rsidR="00394167" w:rsidRPr="00F74FAE">
        <w:rPr>
          <w:rFonts w:ascii="Times New Roman" w:hAnsi="Times New Roman" w:cs="Times New Roman"/>
          <w:sz w:val="24"/>
          <w:szCs w:val="24"/>
          <w:lang w:val="en-US"/>
        </w:rPr>
        <w:instrText xml:space="preserve"> ADDIN EN.CITE &lt;EndNote&gt;&lt;Cite&gt;&lt;Author&gt;Óladóttir&lt;/Author&gt;&lt;Year&gt;2011&lt;/Year&gt;&lt;RecNum&gt;1618&lt;/RecNum&gt;&lt;DisplayText&gt;&lt;style face="superscript"&gt;36&lt;/style&gt;&lt;/DisplayText&gt;&lt;record&gt;&lt;rec-number&gt;1618&lt;/rec-number&gt;&lt;foreign-keys&gt;&lt;key app="EN" db-id="ratx0v0vg9vxd0et29mvw9rnfev2astrwv95" timestamp="1573724666"&gt;1618&lt;/key&gt;&lt;/foreign-keys&gt;&lt;ref-type name="Journal Article"&gt;17&lt;/ref-type&gt;&lt;contributors&gt;&lt;authors&gt;&lt;author&gt;Óladóttir, Bergrún Arna&lt;/author&gt;&lt;author&gt;Sigmarsson, Olgeir&lt;/author&gt;&lt;author&gt;Larsen, Gudrún&lt;/author&gt;&lt;author&gt;Devidal, Jean-Luc&lt;/author&gt;&lt;/authors&gt;&lt;/contributors&gt;&lt;titles&gt;&lt;title&gt;Provenance of basaltic tephra from Vatnajökull subglacial volcanoes, Iceland, as determined by major-and trace-element analyses&lt;/title&gt;&lt;secondary-title&gt;The Holocene&lt;/secondary-title&gt;&lt;/titles&gt;&lt;periodical&gt;&lt;full-title&gt;The Holocene&lt;/full-title&gt;&lt;/periodical&gt;&lt;pages&gt;1037-1048&lt;/pages&gt;&lt;volume&gt;21&lt;/volume&gt;&lt;number&gt;7&lt;/number&gt;&lt;dates&gt;&lt;year&gt;2011&lt;/year&gt;&lt;/dates&gt;&lt;isbn&gt;0959-6836&lt;/isbn&gt;&lt;urls&gt;&lt;/urls&gt;&lt;/record&gt;&lt;/Cite&gt;&lt;/EndNote&gt;</w:instrText>
      </w:r>
      <w:r w:rsidR="00394167" w:rsidRPr="00F74FAE">
        <w:rPr>
          <w:rFonts w:ascii="Times New Roman" w:hAnsi="Times New Roman" w:cs="Times New Roman"/>
          <w:sz w:val="24"/>
          <w:szCs w:val="24"/>
          <w:lang w:val="en-US"/>
        </w:rPr>
        <w:fldChar w:fldCharType="separate"/>
      </w:r>
      <w:r w:rsidR="00394167" w:rsidRPr="00F74FAE">
        <w:rPr>
          <w:rFonts w:ascii="Times New Roman" w:hAnsi="Times New Roman" w:cs="Times New Roman"/>
          <w:noProof/>
          <w:sz w:val="24"/>
          <w:szCs w:val="24"/>
          <w:vertAlign w:val="superscript"/>
          <w:lang w:val="en-US"/>
        </w:rPr>
        <w:t>36</w:t>
      </w:r>
      <w:r w:rsidR="00394167" w:rsidRPr="00F74FAE">
        <w:rPr>
          <w:rFonts w:ascii="Times New Roman" w:hAnsi="Times New Roman" w:cs="Times New Roman"/>
          <w:sz w:val="24"/>
          <w:szCs w:val="24"/>
          <w:lang w:val="en-US"/>
        </w:rPr>
        <w:fldChar w:fldCharType="end"/>
      </w:r>
      <w:r w:rsidR="00394167" w:rsidRPr="00E22232">
        <w:rPr>
          <w:rFonts w:ascii="Times New Roman" w:hAnsi="Times New Roman" w:cs="Times New Roman"/>
          <w:sz w:val="24"/>
          <w:szCs w:val="24"/>
          <w:lang w:val="en-US"/>
        </w:rPr>
        <w:t xml:space="preserve"> in colors matching those of Fig. 1. In-set red crosses mark the analytical uncertainty of measurements, bas</w:t>
      </w:r>
      <w:r w:rsidR="00394167">
        <w:rPr>
          <w:rFonts w:ascii="Times New Roman" w:hAnsi="Times New Roman" w:cs="Times New Roman"/>
          <w:sz w:val="24"/>
          <w:szCs w:val="24"/>
          <w:lang w:val="en-US"/>
        </w:rPr>
        <w:t>ed on the pooled and weighted 2σ</w:t>
      </w:r>
      <w:r w:rsidR="00394167" w:rsidRPr="00E22232">
        <w:rPr>
          <w:rFonts w:ascii="Times New Roman" w:hAnsi="Times New Roman" w:cs="Times New Roman"/>
          <w:sz w:val="24"/>
          <w:szCs w:val="24"/>
          <w:lang w:val="en-US"/>
        </w:rPr>
        <w:t xml:space="preserve"> of secondary standard analyses (</w:t>
      </w:r>
      <w:r w:rsidR="00394167">
        <w:rPr>
          <w:rFonts w:ascii="Times New Roman" w:hAnsi="Times New Roman" w:cs="Times New Roman"/>
          <w:sz w:val="24"/>
          <w:szCs w:val="24"/>
          <w:lang w:val="en-US"/>
        </w:rPr>
        <w:t>Supplementary</w:t>
      </w:r>
      <w:r w:rsidR="009F3DA5">
        <w:rPr>
          <w:rFonts w:ascii="Times New Roman" w:hAnsi="Times New Roman" w:cs="Times New Roman"/>
          <w:sz w:val="24"/>
          <w:szCs w:val="24"/>
          <w:lang w:val="en-US"/>
        </w:rPr>
        <w:t xml:space="preserve"> data</w:t>
      </w:r>
      <w:r w:rsidR="00394167">
        <w:rPr>
          <w:rFonts w:ascii="Times New Roman" w:hAnsi="Times New Roman" w:cs="Times New Roman"/>
          <w:sz w:val="24"/>
          <w:szCs w:val="24"/>
          <w:lang w:val="en-US"/>
        </w:rPr>
        <w:t xml:space="preserve">). </w:t>
      </w:r>
      <w:r w:rsidR="00394167" w:rsidRPr="00E22232">
        <w:rPr>
          <w:rFonts w:ascii="Times New Roman" w:hAnsi="Times New Roman" w:cs="Times New Roman"/>
          <w:sz w:val="24"/>
          <w:szCs w:val="24"/>
          <w:lang w:val="en-US"/>
        </w:rPr>
        <w:t xml:space="preserve"> </w:t>
      </w:r>
    </w:p>
    <w:p w14:paraId="0C13E974" w14:textId="77777777" w:rsidR="00066097" w:rsidRDefault="00066097" w:rsidP="00AA5504">
      <w:pPr>
        <w:spacing w:line="480" w:lineRule="auto"/>
        <w:rPr>
          <w:lang w:val="en-US"/>
        </w:rPr>
      </w:pPr>
    </w:p>
    <w:p w14:paraId="72EFB13F" w14:textId="77777777" w:rsidR="00394167" w:rsidRDefault="00394167" w:rsidP="00AA5504">
      <w:pPr>
        <w:spacing w:line="480" w:lineRule="auto"/>
        <w:rPr>
          <w:lang w:val="en-US"/>
        </w:rPr>
      </w:pPr>
    </w:p>
    <w:p w14:paraId="706FC13C" w14:textId="0B66ACBC" w:rsidR="005E3248" w:rsidRDefault="009F3DA5" w:rsidP="00394167">
      <w:pPr>
        <w:spacing w:line="480" w:lineRule="auto"/>
        <w:jc w:val="both"/>
        <w:rPr>
          <w:rFonts w:ascii="Times New Roman" w:hAnsi="Times New Roman" w:cs="Times New Roman"/>
          <w:b/>
          <w:sz w:val="24"/>
          <w:lang w:val="en-US"/>
        </w:rPr>
      </w:pPr>
      <w:r>
        <w:rPr>
          <w:rFonts w:ascii="Times New Roman" w:hAnsi="Times New Roman" w:cs="Times New Roman"/>
          <w:b/>
          <w:noProof/>
          <w:sz w:val="24"/>
          <w:lang w:val="en-US"/>
        </w:rPr>
        <w:lastRenderedPageBreak/>
        <w:drawing>
          <wp:inline distT="0" distB="0" distL="0" distR="0" wp14:anchorId="7CFD6B0E" wp14:editId="52509654">
            <wp:extent cx="5760720" cy="368236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82365"/>
                    </a:xfrm>
                    <a:prstGeom prst="rect">
                      <a:avLst/>
                    </a:prstGeom>
                  </pic:spPr>
                </pic:pic>
              </a:graphicData>
            </a:graphic>
          </wp:inline>
        </w:drawing>
      </w:r>
    </w:p>
    <w:p w14:paraId="0A5504AD" w14:textId="15E36A67" w:rsidR="00394167" w:rsidRDefault="00394167" w:rsidP="00394167">
      <w:pPr>
        <w:spacing w:line="480" w:lineRule="auto"/>
        <w:jc w:val="both"/>
        <w:rPr>
          <w:lang w:val="en-US"/>
        </w:rPr>
      </w:pPr>
      <w:r w:rsidRPr="00066097">
        <w:rPr>
          <w:rFonts w:ascii="Times New Roman" w:hAnsi="Times New Roman" w:cs="Times New Roman"/>
          <w:b/>
          <w:sz w:val="24"/>
          <w:lang w:val="en-US"/>
        </w:rPr>
        <w:t>S</w:t>
      </w:r>
      <w:r>
        <w:rPr>
          <w:rFonts w:ascii="Times New Roman" w:hAnsi="Times New Roman" w:cs="Times New Roman"/>
          <w:b/>
          <w:sz w:val="24"/>
          <w:lang w:val="en-US"/>
        </w:rPr>
        <w:t xml:space="preserve">upplementary Figure 3. </w:t>
      </w:r>
      <w:r>
        <w:rPr>
          <w:rFonts w:ascii="Times New Roman" w:hAnsi="Times New Roman" w:cs="Times New Roman"/>
          <w:sz w:val="24"/>
          <w:lang w:val="en-US"/>
        </w:rPr>
        <w:t>K</w:t>
      </w:r>
      <w:r w:rsidRPr="00394167">
        <w:rPr>
          <w:rFonts w:ascii="Times New Roman" w:hAnsi="Times New Roman" w:cs="Times New Roman"/>
          <w:sz w:val="24"/>
          <w:szCs w:val="24"/>
          <w:lang w:val="en-US"/>
        </w:rPr>
        <w:t>ey</w:t>
      </w:r>
      <w:r w:rsidRPr="00E22232">
        <w:rPr>
          <w:rFonts w:ascii="Times New Roman" w:hAnsi="Times New Roman" w:cs="Times New Roman"/>
          <w:sz w:val="24"/>
          <w:szCs w:val="24"/>
          <w:lang w:val="en-US"/>
        </w:rPr>
        <w:t xml:space="preserve"> discriminatory element oxide </w:t>
      </w:r>
      <w:proofErr w:type="gramStart"/>
      <w:r>
        <w:rPr>
          <w:rFonts w:ascii="Times New Roman" w:hAnsi="Times New Roman" w:cs="Times New Roman"/>
          <w:sz w:val="24"/>
          <w:szCs w:val="24"/>
          <w:lang w:val="en-US"/>
        </w:rPr>
        <w:t>bi-plots</w:t>
      </w:r>
      <w:proofErr w:type="gramEnd"/>
      <w:r>
        <w:rPr>
          <w:rFonts w:ascii="Times New Roman" w:hAnsi="Times New Roman" w:cs="Times New Roman"/>
          <w:sz w:val="24"/>
          <w:szCs w:val="24"/>
          <w:lang w:val="en-US"/>
        </w:rPr>
        <w:t xml:space="preserve"> for the shard populations </w:t>
      </w:r>
      <w:r w:rsidR="005E3248">
        <w:rPr>
          <w:rFonts w:ascii="Times New Roman" w:hAnsi="Times New Roman" w:cs="Times New Roman"/>
          <w:sz w:val="24"/>
          <w:szCs w:val="24"/>
          <w:lang w:val="en-US"/>
        </w:rPr>
        <w:t>of horizon AST4</w:t>
      </w:r>
      <w:r>
        <w:rPr>
          <w:rFonts w:ascii="Times New Roman" w:hAnsi="Times New Roman" w:cs="Times New Roman"/>
          <w:sz w:val="24"/>
          <w:szCs w:val="24"/>
          <w:lang w:val="en-US"/>
        </w:rPr>
        <w:t xml:space="preserve"> (see Fig. 4 and “chronology” in the main text for additional details). </w:t>
      </w:r>
      <w:r w:rsidRPr="00E22232">
        <w:rPr>
          <w:rFonts w:ascii="Times New Roman" w:hAnsi="Times New Roman" w:cs="Times New Roman"/>
          <w:sz w:val="24"/>
          <w:szCs w:val="24"/>
          <w:lang w:val="en-US"/>
        </w:rPr>
        <w:t>Reference Compositional Fields (RCFs) of active Icelandic</w:t>
      </w:r>
      <w:r>
        <w:rPr>
          <w:rFonts w:ascii="Times New Roman" w:hAnsi="Times New Roman" w:cs="Times New Roman"/>
          <w:sz w:val="24"/>
          <w:szCs w:val="24"/>
          <w:lang w:val="en-US"/>
        </w:rPr>
        <w:t xml:space="preserve"> volcanoes are delineated </w:t>
      </w:r>
      <w:r w:rsidRPr="00F74FAE">
        <w:rPr>
          <w:rFonts w:ascii="Times New Roman" w:hAnsi="Times New Roman" w:cs="Times New Roman"/>
          <w:sz w:val="24"/>
          <w:szCs w:val="24"/>
          <w:lang w:val="en-US"/>
        </w:rPr>
        <w:t>after</w:t>
      </w:r>
      <w:r w:rsidRPr="00F74FAE">
        <w:rPr>
          <w:rFonts w:ascii="Times New Roman" w:hAnsi="Times New Roman" w:cs="Times New Roman"/>
          <w:sz w:val="24"/>
          <w:szCs w:val="24"/>
          <w:lang w:val="en-US"/>
        </w:rPr>
        <w:fldChar w:fldCharType="begin"/>
      </w:r>
      <w:r w:rsidRPr="00F74FAE">
        <w:rPr>
          <w:rFonts w:ascii="Times New Roman" w:hAnsi="Times New Roman" w:cs="Times New Roman"/>
          <w:sz w:val="24"/>
          <w:szCs w:val="24"/>
          <w:lang w:val="en-US"/>
        </w:rPr>
        <w:instrText xml:space="preserve"> ADDIN EN.CITE &lt;EndNote&gt;&lt;Cite&gt;&lt;Author&gt;Harning&lt;/Author&gt;&lt;Year&gt;2018&lt;/Year&gt;&lt;RecNum&gt;1331&lt;/RecNum&gt;&lt;DisplayText&gt;&lt;style face="superscript"&gt;82&lt;/style&gt;&lt;/DisplayText&gt;&lt;record&gt;&lt;rec-number&gt;1331&lt;/rec-number&gt;&lt;foreign-keys&gt;&lt;key app="EN" db-id="ratx0v0vg9vxd0et29mvw9rnfev2astrwv95" timestamp="1523722851"&gt;1331&lt;/key&gt;&lt;/foreign-keys&gt;&lt;ref-type name="Journal Article"&gt;17&lt;/ref-type&gt;&lt;contributors&gt;&lt;authors&gt;&lt;author&gt;Harning, David J.&lt;/author&gt;&lt;author&gt;Geirsdóttir, Áslaug&lt;/author&gt;&lt;author&gt;Miller, Gifford H.&lt;/author&gt;&lt;/authors&gt;&lt;/contributors&gt;&lt;titles&gt;&lt;title&gt;Punctuated Holocene climate of Vestfirðir, Iceland, linked to internal/external variables and oceanographic conditions&lt;/title&gt;&lt;secondary-title&gt;Quaternary Science Reviews&lt;/secondary-title&gt;&lt;/titles&gt;&lt;periodical&gt;&lt;full-title&gt;Quaternary Science Reviews&lt;/full-title&gt;&lt;/periodical&gt;&lt;pages&gt;31-42&lt;/pages&gt;&lt;volume&gt;189&lt;/volume&gt;&lt;keywords&gt;&lt;keyword&gt;North Atlantic&lt;/keyword&gt;&lt;keyword&gt;Iceland&lt;/keyword&gt;&lt;keyword&gt;Holocene&lt;/keyword&gt;&lt;keyword&gt;Glaciers&lt;/keyword&gt;&lt;keyword&gt;Lake sediment&lt;/keyword&gt;&lt;keyword&gt;Dead vegetation&lt;/keyword&gt;&lt;keyword&gt;Paleoclimate&lt;/keyword&gt;&lt;keyword&gt;8.2 ka event&lt;/keyword&gt;&lt;keyword&gt;Neoglaciation&lt;/keyword&gt;&lt;keyword&gt;Little Ice Age&lt;/keyword&gt;&lt;/keywords&gt;&lt;dates&gt;&lt;year&gt;2018&lt;/year&gt;&lt;pub-dates&gt;&lt;date&gt;6/1/&lt;/date&gt;&lt;/pub-dates&gt;&lt;/dates&gt;&lt;isbn&gt;0277-3791&lt;/isbn&gt;&lt;urls&gt;&lt;related-urls&gt;&lt;url&gt;https://www.sciencedirect.com/science/article/pii/S0277379117309563&lt;/url&gt;&lt;/related-urls&gt;&lt;/urls&gt;&lt;electronic-resource-num&gt;https://doi.org/10.1016/j.quascirev.2018.04.009&lt;/electronic-resource-num&gt;&lt;/record&gt;&lt;/Cite&gt;&lt;/EndNote&gt;</w:instrText>
      </w:r>
      <w:r w:rsidRPr="00F74FAE">
        <w:rPr>
          <w:rFonts w:ascii="Times New Roman" w:hAnsi="Times New Roman" w:cs="Times New Roman"/>
          <w:sz w:val="24"/>
          <w:szCs w:val="24"/>
          <w:lang w:val="en-US"/>
        </w:rPr>
        <w:fldChar w:fldCharType="separate"/>
      </w:r>
      <w:r w:rsidRPr="00F74FAE">
        <w:rPr>
          <w:rFonts w:ascii="Times New Roman" w:hAnsi="Times New Roman" w:cs="Times New Roman"/>
          <w:noProof/>
          <w:sz w:val="24"/>
          <w:szCs w:val="24"/>
          <w:vertAlign w:val="superscript"/>
          <w:lang w:val="en-US"/>
        </w:rPr>
        <w:t>82</w:t>
      </w:r>
      <w:r w:rsidRPr="00F74FAE">
        <w:rPr>
          <w:rFonts w:ascii="Times New Roman" w:hAnsi="Times New Roman" w:cs="Times New Roman"/>
          <w:sz w:val="24"/>
          <w:szCs w:val="24"/>
          <w:lang w:val="en-US"/>
        </w:rPr>
        <w:fldChar w:fldCharType="end"/>
      </w:r>
      <w:r w:rsidRPr="00F74FAE">
        <w:rPr>
          <w:rFonts w:ascii="Times New Roman" w:hAnsi="Times New Roman" w:cs="Times New Roman"/>
          <w:sz w:val="24"/>
          <w:szCs w:val="24"/>
          <w:lang w:val="en-US"/>
        </w:rPr>
        <w:t xml:space="preserve"> and</w:t>
      </w:r>
      <w:r w:rsidRPr="00F74FAE">
        <w:rPr>
          <w:rFonts w:ascii="Times New Roman" w:hAnsi="Times New Roman" w:cs="Times New Roman"/>
          <w:sz w:val="24"/>
          <w:szCs w:val="24"/>
          <w:lang w:val="en-US"/>
        </w:rPr>
        <w:fldChar w:fldCharType="begin"/>
      </w:r>
      <w:r w:rsidRPr="00F74FAE">
        <w:rPr>
          <w:rFonts w:ascii="Times New Roman" w:hAnsi="Times New Roman" w:cs="Times New Roman"/>
          <w:sz w:val="24"/>
          <w:szCs w:val="24"/>
          <w:lang w:val="en-US"/>
        </w:rPr>
        <w:instrText xml:space="preserve"> ADDIN EN.CITE &lt;EndNote&gt;&lt;Cite&gt;&lt;Author&gt;Óladóttir&lt;/Author&gt;&lt;Year&gt;2011&lt;/Year&gt;&lt;RecNum&gt;1618&lt;/RecNum&gt;&lt;DisplayText&gt;&lt;style face="superscript"&gt;36&lt;/style&gt;&lt;/DisplayText&gt;&lt;record&gt;&lt;rec-number&gt;1618&lt;/rec-number&gt;&lt;foreign-keys&gt;&lt;key app="EN" db-id="ratx0v0vg9vxd0et29mvw9rnfev2astrwv95" timestamp="1573724666"&gt;1618&lt;/key&gt;&lt;/foreign-keys&gt;&lt;ref-type name="Journal Article"&gt;17&lt;/ref-type&gt;&lt;contributors&gt;&lt;authors&gt;&lt;author&gt;Óladóttir, Bergrún Arna&lt;/author&gt;&lt;author&gt;Sigmarsson, Olgeir&lt;/author&gt;&lt;author&gt;Larsen, Gudrún&lt;/author&gt;&lt;author&gt;Devidal, Jean-Luc&lt;/author&gt;&lt;/authors&gt;&lt;/contributors&gt;&lt;titles&gt;&lt;title&gt;Provenance of basaltic tephra from Vatnajökull subglacial volcanoes, Iceland, as determined by major-and trace-element analyses&lt;/title&gt;&lt;secondary-title&gt;The Holocene&lt;/secondary-title&gt;&lt;/titles&gt;&lt;periodical&gt;&lt;full-title&gt;The Holocene&lt;/full-title&gt;&lt;/periodical&gt;&lt;pages&gt;1037-1048&lt;/pages&gt;&lt;volume&gt;21&lt;/volume&gt;&lt;number&gt;7&lt;/number&gt;&lt;dates&gt;&lt;year&gt;2011&lt;/year&gt;&lt;/dates&gt;&lt;isbn&gt;0959-6836&lt;/isbn&gt;&lt;urls&gt;&lt;/urls&gt;&lt;/record&gt;&lt;/Cite&gt;&lt;/EndNote&gt;</w:instrText>
      </w:r>
      <w:r w:rsidRPr="00F74FAE">
        <w:rPr>
          <w:rFonts w:ascii="Times New Roman" w:hAnsi="Times New Roman" w:cs="Times New Roman"/>
          <w:sz w:val="24"/>
          <w:szCs w:val="24"/>
          <w:lang w:val="en-US"/>
        </w:rPr>
        <w:fldChar w:fldCharType="separate"/>
      </w:r>
      <w:r w:rsidRPr="00F74FAE">
        <w:rPr>
          <w:rFonts w:ascii="Times New Roman" w:hAnsi="Times New Roman" w:cs="Times New Roman"/>
          <w:noProof/>
          <w:sz w:val="24"/>
          <w:szCs w:val="24"/>
          <w:vertAlign w:val="superscript"/>
          <w:lang w:val="en-US"/>
        </w:rPr>
        <w:t>36</w:t>
      </w:r>
      <w:r w:rsidRPr="00F74FAE">
        <w:rPr>
          <w:rFonts w:ascii="Times New Roman" w:hAnsi="Times New Roman" w:cs="Times New Roman"/>
          <w:sz w:val="24"/>
          <w:szCs w:val="24"/>
          <w:lang w:val="en-US"/>
        </w:rPr>
        <w:fldChar w:fldCharType="end"/>
      </w:r>
      <w:r w:rsidRPr="00E22232">
        <w:rPr>
          <w:rFonts w:ascii="Times New Roman" w:hAnsi="Times New Roman" w:cs="Times New Roman"/>
          <w:sz w:val="24"/>
          <w:szCs w:val="24"/>
          <w:lang w:val="en-US"/>
        </w:rPr>
        <w:t xml:space="preserve"> in colors matching those of Fig. 1. In-set red crosses mark the analytical uncertainty of measurements, bas</w:t>
      </w:r>
      <w:r>
        <w:rPr>
          <w:rFonts w:ascii="Times New Roman" w:hAnsi="Times New Roman" w:cs="Times New Roman"/>
          <w:sz w:val="24"/>
          <w:szCs w:val="24"/>
          <w:lang w:val="en-US"/>
        </w:rPr>
        <w:t>ed on the pooled and weighted 2σ</w:t>
      </w:r>
      <w:r w:rsidRPr="00E22232">
        <w:rPr>
          <w:rFonts w:ascii="Times New Roman" w:hAnsi="Times New Roman" w:cs="Times New Roman"/>
          <w:sz w:val="24"/>
          <w:szCs w:val="24"/>
          <w:lang w:val="en-US"/>
        </w:rPr>
        <w:t xml:space="preserve"> of secondary standard analyses (</w:t>
      </w:r>
      <w:r>
        <w:rPr>
          <w:rFonts w:ascii="Times New Roman" w:hAnsi="Times New Roman" w:cs="Times New Roman"/>
          <w:sz w:val="24"/>
          <w:szCs w:val="24"/>
          <w:lang w:val="en-US"/>
        </w:rPr>
        <w:t xml:space="preserve">Supplementary </w:t>
      </w:r>
      <w:r w:rsidR="009F3DA5">
        <w:rPr>
          <w:rFonts w:ascii="Times New Roman" w:hAnsi="Times New Roman" w:cs="Times New Roman"/>
          <w:sz w:val="24"/>
          <w:szCs w:val="24"/>
          <w:lang w:val="en-US"/>
        </w:rPr>
        <w:t>data</w:t>
      </w:r>
      <w:r>
        <w:rPr>
          <w:rFonts w:ascii="Times New Roman" w:hAnsi="Times New Roman" w:cs="Times New Roman"/>
          <w:sz w:val="24"/>
          <w:szCs w:val="24"/>
          <w:lang w:val="en-US"/>
        </w:rPr>
        <w:t xml:space="preserve">). </w:t>
      </w:r>
      <w:r w:rsidRPr="00E22232">
        <w:rPr>
          <w:rFonts w:ascii="Times New Roman" w:hAnsi="Times New Roman" w:cs="Times New Roman"/>
          <w:sz w:val="24"/>
          <w:szCs w:val="24"/>
          <w:lang w:val="en-US"/>
        </w:rPr>
        <w:t xml:space="preserve"> </w:t>
      </w:r>
    </w:p>
    <w:p w14:paraId="7AA10748" w14:textId="77777777" w:rsidR="00622D96" w:rsidRDefault="00622D96" w:rsidP="00622D96">
      <w:pPr>
        <w:autoSpaceDE w:val="0"/>
        <w:autoSpaceDN w:val="0"/>
        <w:adjustRightInd w:val="0"/>
        <w:spacing w:line="480" w:lineRule="auto"/>
        <w:rPr>
          <w:lang w:val="en-US"/>
        </w:rPr>
      </w:pPr>
    </w:p>
    <w:p w14:paraId="0EA15C55" w14:textId="77777777" w:rsidR="00672678" w:rsidRDefault="00672678" w:rsidP="00622D96">
      <w:pPr>
        <w:autoSpaceDE w:val="0"/>
        <w:autoSpaceDN w:val="0"/>
        <w:adjustRightInd w:val="0"/>
        <w:spacing w:line="480" w:lineRule="auto"/>
        <w:rPr>
          <w:lang w:val="en-US"/>
        </w:rPr>
      </w:pPr>
    </w:p>
    <w:p w14:paraId="5F5FD011" w14:textId="77777777" w:rsidR="00F74FAE" w:rsidRDefault="00F74FAE" w:rsidP="00F74FAE">
      <w:pPr>
        <w:autoSpaceDE w:val="0"/>
        <w:autoSpaceDN w:val="0"/>
        <w:adjustRightInd w:val="0"/>
        <w:spacing w:line="480" w:lineRule="auto"/>
        <w:rPr>
          <w:lang w:val="en-US"/>
        </w:rPr>
      </w:pPr>
    </w:p>
    <w:p w14:paraId="79BDF5F0" w14:textId="77777777" w:rsidR="00F74FAE" w:rsidRPr="007614C2" w:rsidRDefault="00F74FAE" w:rsidP="00F74FAE">
      <w:pPr>
        <w:autoSpaceDE w:val="0"/>
        <w:autoSpaceDN w:val="0"/>
        <w:adjustRightInd w:val="0"/>
        <w:spacing w:line="480" w:lineRule="auto"/>
        <w:rPr>
          <w:rFonts w:ascii="AdvOTb83ee1dd.B" w:eastAsiaTheme="minorHAnsi" w:hAnsi="AdvOTb83ee1dd.B" w:cs="AdvOTb83ee1dd.B"/>
          <w:color w:val="000000"/>
          <w:sz w:val="21"/>
          <w:szCs w:val="13"/>
          <w:lang w:val="en-US"/>
        </w:rPr>
      </w:pPr>
    </w:p>
    <w:sectPr w:rsidR="00F74FAE" w:rsidRPr="007614C2" w:rsidSect="00F74FAE">
      <w:footerReference w:type="default" r:id="rId9"/>
      <w:pgSz w:w="11906" w:h="16838" w:code="9"/>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CCF4E" w14:textId="77777777" w:rsidR="0085654A" w:rsidRDefault="0085654A" w:rsidP="008539AE">
      <w:r>
        <w:separator/>
      </w:r>
    </w:p>
  </w:endnote>
  <w:endnote w:type="continuationSeparator" w:id="0">
    <w:p w14:paraId="7AC82DA3" w14:textId="77777777" w:rsidR="0085654A" w:rsidRDefault="0085654A" w:rsidP="0085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dvOTb83ee1dd.B">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585108"/>
      <w:docPartObj>
        <w:docPartGallery w:val="Page Numbers (Bottom of Page)"/>
        <w:docPartUnique/>
      </w:docPartObj>
    </w:sdtPr>
    <w:sdtEndPr>
      <w:rPr>
        <w:rFonts w:ascii="Times New Roman" w:hAnsi="Times New Roman" w:cs="Times New Roman"/>
      </w:rPr>
    </w:sdtEndPr>
    <w:sdtContent>
      <w:p w14:paraId="469BA766" w14:textId="77777777" w:rsidR="0085654A" w:rsidRPr="008539AE" w:rsidRDefault="0085654A">
        <w:pPr>
          <w:pStyle w:val="Footer"/>
          <w:jc w:val="right"/>
          <w:rPr>
            <w:rFonts w:ascii="Times New Roman" w:hAnsi="Times New Roman" w:cs="Times New Roman"/>
          </w:rPr>
        </w:pPr>
        <w:r w:rsidRPr="008539AE">
          <w:rPr>
            <w:rFonts w:ascii="Times New Roman" w:hAnsi="Times New Roman" w:cs="Times New Roman"/>
          </w:rPr>
          <w:fldChar w:fldCharType="begin"/>
        </w:r>
        <w:r w:rsidRPr="008539AE">
          <w:rPr>
            <w:rFonts w:ascii="Times New Roman" w:hAnsi="Times New Roman" w:cs="Times New Roman"/>
          </w:rPr>
          <w:instrText>PAGE   \* MERGEFORMAT</w:instrText>
        </w:r>
        <w:r w:rsidRPr="008539AE">
          <w:rPr>
            <w:rFonts w:ascii="Times New Roman" w:hAnsi="Times New Roman" w:cs="Times New Roman"/>
          </w:rPr>
          <w:fldChar w:fldCharType="separate"/>
        </w:r>
        <w:r w:rsidR="00A273D3">
          <w:rPr>
            <w:rFonts w:ascii="Times New Roman" w:hAnsi="Times New Roman" w:cs="Times New Roman"/>
            <w:noProof/>
          </w:rPr>
          <w:t>4</w:t>
        </w:r>
        <w:r w:rsidRPr="008539AE">
          <w:rPr>
            <w:rFonts w:ascii="Times New Roman" w:hAnsi="Times New Roman" w:cs="Times New Roman"/>
          </w:rPr>
          <w:fldChar w:fldCharType="end"/>
        </w:r>
      </w:p>
    </w:sdtContent>
  </w:sdt>
  <w:p w14:paraId="5C71C3DA" w14:textId="77777777" w:rsidR="0085654A" w:rsidRDefault="00856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CED76" w14:textId="77777777" w:rsidR="0085654A" w:rsidRDefault="0085654A" w:rsidP="008539AE">
      <w:r>
        <w:separator/>
      </w:r>
    </w:p>
  </w:footnote>
  <w:footnote w:type="continuationSeparator" w:id="0">
    <w:p w14:paraId="10F0153A" w14:textId="77777777" w:rsidR="0085654A" w:rsidRDefault="0085654A" w:rsidP="008539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504"/>
    <w:rsid w:val="00066097"/>
    <w:rsid w:val="00067FBE"/>
    <w:rsid w:val="000F0B1B"/>
    <w:rsid w:val="00151F43"/>
    <w:rsid w:val="001A038E"/>
    <w:rsid w:val="00204CBE"/>
    <w:rsid w:val="00394167"/>
    <w:rsid w:val="00424582"/>
    <w:rsid w:val="00451362"/>
    <w:rsid w:val="004E6F4B"/>
    <w:rsid w:val="005D102A"/>
    <w:rsid w:val="005E3248"/>
    <w:rsid w:val="00622D96"/>
    <w:rsid w:val="00672678"/>
    <w:rsid w:val="007329F0"/>
    <w:rsid w:val="007614C2"/>
    <w:rsid w:val="008539AE"/>
    <w:rsid w:val="0085654A"/>
    <w:rsid w:val="009F3DA5"/>
    <w:rsid w:val="00A273D3"/>
    <w:rsid w:val="00AA5504"/>
    <w:rsid w:val="00C16EF1"/>
    <w:rsid w:val="00ED4626"/>
    <w:rsid w:val="00F74FAE"/>
  </w:rsids>
  <m:mathPr>
    <m:mathFont m:val="Cambria Math"/>
    <m:brkBin m:val="before"/>
    <m:brkBinSub m:val="--"/>
    <m:smallFrac m:val="0"/>
    <m:dispDef/>
    <m:lMargin m:val="0"/>
    <m:rMargin m:val="0"/>
    <m:defJc m:val="centerGroup"/>
    <m:wrapIndent m:val="288"/>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3CE36"/>
  <w15:chartTrackingRefBased/>
  <w15:docId w15:val="{27D35B9F-DFF2-49FE-862D-713EF259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A5504"/>
    <w:pPr>
      <w:spacing w:after="0" w:line="240" w:lineRule="auto"/>
    </w:pPr>
    <w:rPr>
      <w:rFonts w:ascii="Courier New" w:eastAsia="Courier New" w:hAnsi="Courier New" w:cs="Courier New"/>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A5504"/>
  </w:style>
  <w:style w:type="character" w:customStyle="1" w:styleId="label">
    <w:name w:val="label"/>
    <w:basedOn w:val="DefaultParagraphFont"/>
    <w:rsid w:val="00C16EF1"/>
  </w:style>
  <w:style w:type="paragraph" w:styleId="Header">
    <w:name w:val="header"/>
    <w:basedOn w:val="Normal"/>
    <w:link w:val="HeaderChar"/>
    <w:uiPriority w:val="99"/>
    <w:unhideWhenUsed/>
    <w:rsid w:val="008539AE"/>
    <w:pPr>
      <w:tabs>
        <w:tab w:val="center" w:pos="4536"/>
        <w:tab w:val="right" w:pos="9072"/>
      </w:tabs>
    </w:pPr>
  </w:style>
  <w:style w:type="character" w:customStyle="1" w:styleId="HeaderChar">
    <w:name w:val="Header Char"/>
    <w:basedOn w:val="DefaultParagraphFont"/>
    <w:link w:val="Header"/>
    <w:uiPriority w:val="99"/>
    <w:rsid w:val="008539AE"/>
    <w:rPr>
      <w:rFonts w:ascii="Courier New" w:eastAsia="Courier New" w:hAnsi="Courier New" w:cs="Courier New"/>
      <w:sz w:val="20"/>
      <w:szCs w:val="20"/>
    </w:rPr>
  </w:style>
  <w:style w:type="paragraph" w:styleId="Footer">
    <w:name w:val="footer"/>
    <w:basedOn w:val="Normal"/>
    <w:link w:val="FooterChar"/>
    <w:uiPriority w:val="99"/>
    <w:unhideWhenUsed/>
    <w:rsid w:val="008539AE"/>
    <w:pPr>
      <w:tabs>
        <w:tab w:val="center" w:pos="4536"/>
        <w:tab w:val="right" w:pos="9072"/>
      </w:tabs>
    </w:pPr>
  </w:style>
  <w:style w:type="character" w:customStyle="1" w:styleId="FooterChar">
    <w:name w:val="Footer Char"/>
    <w:basedOn w:val="DefaultParagraphFont"/>
    <w:link w:val="Footer"/>
    <w:uiPriority w:val="99"/>
    <w:rsid w:val="008539AE"/>
    <w:rPr>
      <w:rFonts w:ascii="Courier New" w:eastAsia="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40145">
      <w:bodyDiv w:val="1"/>
      <w:marLeft w:val="0"/>
      <w:marRight w:val="0"/>
      <w:marTop w:val="0"/>
      <w:marBottom w:val="0"/>
      <w:divBdr>
        <w:top w:val="none" w:sz="0" w:space="0" w:color="auto"/>
        <w:left w:val="none" w:sz="0" w:space="0" w:color="auto"/>
        <w:bottom w:val="none" w:sz="0" w:space="0" w:color="auto"/>
        <w:right w:val="none" w:sz="0" w:space="0" w:color="auto"/>
      </w:divBdr>
    </w:div>
    <w:div w:id="170142862">
      <w:bodyDiv w:val="1"/>
      <w:marLeft w:val="0"/>
      <w:marRight w:val="0"/>
      <w:marTop w:val="0"/>
      <w:marBottom w:val="0"/>
      <w:divBdr>
        <w:top w:val="none" w:sz="0" w:space="0" w:color="auto"/>
        <w:left w:val="none" w:sz="0" w:space="0" w:color="auto"/>
        <w:bottom w:val="none" w:sz="0" w:space="0" w:color="auto"/>
        <w:right w:val="none" w:sz="0" w:space="0" w:color="auto"/>
      </w:divBdr>
    </w:div>
    <w:div w:id="180290719">
      <w:bodyDiv w:val="1"/>
      <w:marLeft w:val="0"/>
      <w:marRight w:val="0"/>
      <w:marTop w:val="0"/>
      <w:marBottom w:val="0"/>
      <w:divBdr>
        <w:top w:val="none" w:sz="0" w:space="0" w:color="auto"/>
        <w:left w:val="none" w:sz="0" w:space="0" w:color="auto"/>
        <w:bottom w:val="none" w:sz="0" w:space="0" w:color="auto"/>
        <w:right w:val="none" w:sz="0" w:space="0" w:color="auto"/>
      </w:divBdr>
    </w:div>
    <w:div w:id="213733806">
      <w:bodyDiv w:val="1"/>
      <w:marLeft w:val="0"/>
      <w:marRight w:val="0"/>
      <w:marTop w:val="0"/>
      <w:marBottom w:val="0"/>
      <w:divBdr>
        <w:top w:val="none" w:sz="0" w:space="0" w:color="auto"/>
        <w:left w:val="none" w:sz="0" w:space="0" w:color="auto"/>
        <w:bottom w:val="none" w:sz="0" w:space="0" w:color="auto"/>
        <w:right w:val="none" w:sz="0" w:space="0" w:color="auto"/>
      </w:divBdr>
    </w:div>
    <w:div w:id="352072601">
      <w:bodyDiv w:val="1"/>
      <w:marLeft w:val="0"/>
      <w:marRight w:val="0"/>
      <w:marTop w:val="0"/>
      <w:marBottom w:val="0"/>
      <w:divBdr>
        <w:top w:val="none" w:sz="0" w:space="0" w:color="auto"/>
        <w:left w:val="none" w:sz="0" w:space="0" w:color="auto"/>
        <w:bottom w:val="none" w:sz="0" w:space="0" w:color="auto"/>
        <w:right w:val="none" w:sz="0" w:space="0" w:color="auto"/>
      </w:divBdr>
    </w:div>
    <w:div w:id="609047048">
      <w:bodyDiv w:val="1"/>
      <w:marLeft w:val="0"/>
      <w:marRight w:val="0"/>
      <w:marTop w:val="0"/>
      <w:marBottom w:val="0"/>
      <w:divBdr>
        <w:top w:val="none" w:sz="0" w:space="0" w:color="auto"/>
        <w:left w:val="none" w:sz="0" w:space="0" w:color="auto"/>
        <w:bottom w:val="none" w:sz="0" w:space="0" w:color="auto"/>
        <w:right w:val="none" w:sz="0" w:space="0" w:color="auto"/>
      </w:divBdr>
    </w:div>
    <w:div w:id="843086046">
      <w:bodyDiv w:val="1"/>
      <w:marLeft w:val="0"/>
      <w:marRight w:val="0"/>
      <w:marTop w:val="0"/>
      <w:marBottom w:val="0"/>
      <w:divBdr>
        <w:top w:val="none" w:sz="0" w:space="0" w:color="auto"/>
        <w:left w:val="none" w:sz="0" w:space="0" w:color="auto"/>
        <w:bottom w:val="none" w:sz="0" w:space="0" w:color="auto"/>
        <w:right w:val="none" w:sz="0" w:space="0" w:color="auto"/>
      </w:divBdr>
    </w:div>
    <w:div w:id="1232960354">
      <w:bodyDiv w:val="1"/>
      <w:marLeft w:val="0"/>
      <w:marRight w:val="0"/>
      <w:marTop w:val="0"/>
      <w:marBottom w:val="0"/>
      <w:divBdr>
        <w:top w:val="none" w:sz="0" w:space="0" w:color="auto"/>
        <w:left w:val="none" w:sz="0" w:space="0" w:color="auto"/>
        <w:bottom w:val="none" w:sz="0" w:space="0" w:color="auto"/>
        <w:right w:val="none" w:sz="0" w:space="0" w:color="auto"/>
      </w:divBdr>
    </w:div>
    <w:div w:id="1299726187">
      <w:bodyDiv w:val="1"/>
      <w:marLeft w:val="0"/>
      <w:marRight w:val="0"/>
      <w:marTop w:val="0"/>
      <w:marBottom w:val="0"/>
      <w:divBdr>
        <w:top w:val="none" w:sz="0" w:space="0" w:color="auto"/>
        <w:left w:val="none" w:sz="0" w:space="0" w:color="auto"/>
        <w:bottom w:val="none" w:sz="0" w:space="0" w:color="auto"/>
        <w:right w:val="none" w:sz="0" w:space="0" w:color="auto"/>
      </w:divBdr>
    </w:div>
    <w:div w:id="1300187585">
      <w:bodyDiv w:val="1"/>
      <w:marLeft w:val="0"/>
      <w:marRight w:val="0"/>
      <w:marTop w:val="0"/>
      <w:marBottom w:val="0"/>
      <w:divBdr>
        <w:top w:val="none" w:sz="0" w:space="0" w:color="auto"/>
        <w:left w:val="none" w:sz="0" w:space="0" w:color="auto"/>
        <w:bottom w:val="none" w:sz="0" w:space="0" w:color="auto"/>
        <w:right w:val="none" w:sz="0" w:space="0" w:color="auto"/>
      </w:divBdr>
    </w:div>
    <w:div w:id="1346665727">
      <w:bodyDiv w:val="1"/>
      <w:marLeft w:val="0"/>
      <w:marRight w:val="0"/>
      <w:marTop w:val="0"/>
      <w:marBottom w:val="0"/>
      <w:divBdr>
        <w:top w:val="none" w:sz="0" w:space="0" w:color="auto"/>
        <w:left w:val="none" w:sz="0" w:space="0" w:color="auto"/>
        <w:bottom w:val="none" w:sz="0" w:space="0" w:color="auto"/>
        <w:right w:val="none" w:sz="0" w:space="0" w:color="auto"/>
      </w:divBdr>
    </w:div>
    <w:div w:id="1627345285">
      <w:bodyDiv w:val="1"/>
      <w:marLeft w:val="0"/>
      <w:marRight w:val="0"/>
      <w:marTop w:val="0"/>
      <w:marBottom w:val="0"/>
      <w:divBdr>
        <w:top w:val="none" w:sz="0" w:space="0" w:color="auto"/>
        <w:left w:val="none" w:sz="0" w:space="0" w:color="auto"/>
        <w:bottom w:val="none" w:sz="0" w:space="0" w:color="auto"/>
        <w:right w:val="none" w:sz="0" w:space="0" w:color="auto"/>
      </w:divBdr>
    </w:div>
    <w:div w:id="176383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4</Pages>
  <Words>1227</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UiB</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WvdBilt</dc:creator>
  <cp:keywords/>
  <dc:description/>
  <cp:lastModifiedBy>Willem Godert Maria van der Bilt</cp:lastModifiedBy>
  <cp:revision>6</cp:revision>
  <dcterms:created xsi:type="dcterms:W3CDTF">2020-04-16T08:03:00Z</dcterms:created>
  <dcterms:modified xsi:type="dcterms:W3CDTF">2021-01-28T19:53:00Z</dcterms:modified>
</cp:coreProperties>
</file>