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67C820" w14:textId="77777777" w:rsidR="000772B9" w:rsidRPr="007D545F" w:rsidRDefault="000772B9" w:rsidP="000772B9">
      <w:pPr>
        <w:jc w:val="center"/>
        <w:rPr>
          <w:rFonts w:ascii="Times New Roman" w:hAnsi="Times New Roman" w:cs="Times New Roman"/>
          <w:b/>
          <w:sz w:val="24"/>
          <w:szCs w:val="24"/>
        </w:rPr>
      </w:pPr>
      <w:r w:rsidRPr="007D545F">
        <w:rPr>
          <w:rFonts w:ascii="Times New Roman" w:hAnsi="Times New Roman" w:cs="Times New Roman"/>
          <w:b/>
          <w:sz w:val="24"/>
          <w:szCs w:val="24"/>
        </w:rPr>
        <w:t>Supplementary text</w:t>
      </w:r>
    </w:p>
    <w:p w14:paraId="7A3F3B03" w14:textId="11190485" w:rsidR="00DE2829" w:rsidRPr="007D545F" w:rsidRDefault="00DE2829" w:rsidP="00DE2829">
      <w:pPr>
        <w:spacing w:before="240" w:after="240" w:line="480" w:lineRule="auto"/>
        <w:jc w:val="both"/>
        <w:rPr>
          <w:rFonts w:ascii="Times New Roman" w:eastAsia="Times New Roman" w:hAnsi="Times New Roman" w:cs="Times New Roman"/>
          <w:b/>
          <w:sz w:val="24"/>
          <w:szCs w:val="24"/>
        </w:rPr>
      </w:pPr>
      <w:r w:rsidRPr="007D545F">
        <w:rPr>
          <w:rFonts w:ascii="Times New Roman" w:eastAsia="Times New Roman" w:hAnsi="Times New Roman" w:cs="Times New Roman"/>
          <w:b/>
          <w:sz w:val="24"/>
          <w:szCs w:val="24"/>
        </w:rPr>
        <w:t xml:space="preserve">Title: </w:t>
      </w:r>
      <w:r w:rsidR="00CF7445">
        <w:rPr>
          <w:rFonts w:ascii="Times New Roman" w:hAnsi="Times New Roman" w:cs="Times New Roman"/>
          <w:b/>
          <w:bCs/>
          <w:color w:val="222222"/>
          <w:shd w:val="clear" w:color="auto" w:fill="FFFFFF"/>
        </w:rPr>
        <w:t>Randomised clinical trial: Effect of adding branched chain amino acids to exercise and standard-of-care on muscle mass in cirrhotic patients with sarcopenia</w:t>
      </w:r>
    </w:p>
    <w:p w14:paraId="27FA787D" w14:textId="77777777" w:rsidR="00DE2829" w:rsidRPr="007D545F" w:rsidRDefault="00DE2829" w:rsidP="00DE2829">
      <w:pPr>
        <w:spacing w:before="240" w:after="240" w:line="480" w:lineRule="auto"/>
        <w:rPr>
          <w:rFonts w:ascii="Times New Roman" w:eastAsia="Times New Roman" w:hAnsi="Times New Roman" w:cs="Times New Roman"/>
          <w:b/>
          <w:sz w:val="24"/>
          <w:szCs w:val="24"/>
        </w:rPr>
      </w:pPr>
      <w:r w:rsidRPr="007D545F">
        <w:rPr>
          <w:rFonts w:ascii="Times New Roman" w:eastAsia="Times New Roman" w:hAnsi="Times New Roman" w:cs="Times New Roman"/>
          <w:b/>
          <w:sz w:val="24"/>
          <w:szCs w:val="24"/>
        </w:rPr>
        <w:t>Authors and degrees</w:t>
      </w:r>
    </w:p>
    <w:p w14:paraId="4EED2708" w14:textId="1B88B55E" w:rsidR="00DE2829" w:rsidRPr="007D545F" w:rsidRDefault="00DE2829" w:rsidP="00DE2829">
      <w:pPr>
        <w:spacing w:before="240" w:after="240" w:line="480" w:lineRule="auto"/>
        <w:jc w:val="both"/>
        <w:rPr>
          <w:rFonts w:ascii="Times New Roman" w:eastAsia="Times New Roman" w:hAnsi="Times New Roman" w:cs="Times New Roman"/>
          <w:sz w:val="24"/>
          <w:szCs w:val="24"/>
          <w:vertAlign w:val="superscript"/>
        </w:rPr>
      </w:pPr>
      <w:r w:rsidRPr="007D545F">
        <w:rPr>
          <w:rFonts w:ascii="Times New Roman" w:eastAsia="Times New Roman" w:hAnsi="Times New Roman" w:cs="Times New Roman"/>
          <w:sz w:val="24"/>
          <w:szCs w:val="24"/>
        </w:rPr>
        <w:t xml:space="preserve">Srikant Mohta, Abhinav Anand, Sanchit Sharma, Sumaira Qamar, Samagra Agarwal, Deepak Gunjan, </w:t>
      </w:r>
      <w:r w:rsidRPr="00BB5180">
        <w:rPr>
          <w:rFonts w:ascii="Times New Roman" w:eastAsia="Times New Roman" w:hAnsi="Times New Roman" w:cs="Times New Roman"/>
          <w:sz w:val="24"/>
          <w:szCs w:val="24"/>
        </w:rPr>
        <w:t xml:space="preserve">Namrata </w:t>
      </w:r>
      <w:r w:rsidR="00BB5180">
        <w:rPr>
          <w:rFonts w:ascii="Times New Roman" w:eastAsia="Times New Roman" w:hAnsi="Times New Roman" w:cs="Times New Roman"/>
          <w:sz w:val="24"/>
          <w:szCs w:val="24"/>
        </w:rPr>
        <w:t>Singh</w:t>
      </w:r>
      <w:r w:rsidRPr="007D545F">
        <w:rPr>
          <w:rFonts w:ascii="Times New Roman" w:eastAsia="Times New Roman" w:hAnsi="Times New Roman" w:cs="Times New Roman"/>
          <w:sz w:val="24"/>
          <w:szCs w:val="24"/>
        </w:rPr>
        <w:t>, Kumble Seetarama Madhusudhan,</w:t>
      </w:r>
      <w:r w:rsidRPr="007D545F">
        <w:rPr>
          <w:rFonts w:ascii="Times New Roman" w:eastAsia="Times New Roman" w:hAnsi="Times New Roman" w:cs="Times New Roman"/>
          <w:sz w:val="24"/>
          <w:szCs w:val="24"/>
          <w:vertAlign w:val="superscript"/>
        </w:rPr>
        <w:t xml:space="preserve"> </w:t>
      </w:r>
      <w:r w:rsidRPr="007D545F">
        <w:rPr>
          <w:rFonts w:ascii="Times New Roman" w:eastAsia="Times New Roman" w:hAnsi="Times New Roman" w:cs="Times New Roman"/>
          <w:sz w:val="24"/>
          <w:szCs w:val="24"/>
        </w:rPr>
        <w:t>R</w:t>
      </w:r>
      <w:r w:rsidR="000C3E04" w:rsidRPr="007D545F">
        <w:rPr>
          <w:rFonts w:ascii="Times New Roman" w:eastAsia="Times New Roman" w:hAnsi="Times New Roman" w:cs="Times New Roman"/>
          <w:sz w:val="24"/>
          <w:szCs w:val="24"/>
        </w:rPr>
        <w:t>avindra Mohan</w:t>
      </w:r>
      <w:r w:rsidRPr="007D545F">
        <w:rPr>
          <w:rFonts w:ascii="Times New Roman" w:eastAsia="Times New Roman" w:hAnsi="Times New Roman" w:cs="Times New Roman"/>
          <w:sz w:val="24"/>
          <w:szCs w:val="24"/>
        </w:rPr>
        <w:t xml:space="preserve"> Pandey </w:t>
      </w:r>
      <w:r w:rsidR="000C3E04" w:rsidRPr="007D545F">
        <w:rPr>
          <w:rFonts w:ascii="Times New Roman" w:eastAsia="Times New Roman" w:hAnsi="Times New Roman" w:cs="Times New Roman"/>
          <w:sz w:val="24"/>
          <w:szCs w:val="24"/>
        </w:rPr>
        <w:t xml:space="preserve">and </w:t>
      </w:r>
      <w:r w:rsidRPr="007D545F">
        <w:rPr>
          <w:rFonts w:ascii="Times New Roman" w:eastAsia="Times New Roman" w:hAnsi="Times New Roman" w:cs="Times New Roman"/>
          <w:sz w:val="24"/>
          <w:szCs w:val="24"/>
        </w:rPr>
        <w:t xml:space="preserve">Anoop Saraya </w:t>
      </w:r>
    </w:p>
    <w:p w14:paraId="5E245C24" w14:textId="135B31BC" w:rsidR="00DE2829" w:rsidRPr="007D545F" w:rsidRDefault="002F219E" w:rsidP="00DE2829">
      <w:pPr>
        <w:spacing w:before="240" w:after="240" w:line="480" w:lineRule="auto"/>
        <w:jc w:val="both"/>
        <w:rPr>
          <w:rFonts w:ascii="Times New Roman" w:eastAsia="Times New Roman" w:hAnsi="Times New Roman" w:cs="Times New Roman"/>
          <w:b/>
          <w:sz w:val="24"/>
          <w:szCs w:val="24"/>
        </w:rPr>
      </w:pPr>
      <w:r w:rsidRPr="007D545F">
        <w:rPr>
          <w:rFonts w:ascii="Times New Roman" w:eastAsia="Times New Roman" w:hAnsi="Times New Roman" w:cs="Times New Roman"/>
          <w:b/>
          <w:sz w:val="24"/>
          <w:szCs w:val="24"/>
        </w:rPr>
        <w:t>Table of contents</w:t>
      </w:r>
    </w:p>
    <w:tbl>
      <w:tblPr>
        <w:tblStyle w:val="TableGrid"/>
        <w:tblW w:w="10156" w:type="dxa"/>
        <w:tblLook w:val="04A0" w:firstRow="1" w:lastRow="0" w:firstColumn="1" w:lastColumn="0" w:noHBand="0" w:noVBand="1"/>
      </w:tblPr>
      <w:tblGrid>
        <w:gridCol w:w="10156"/>
      </w:tblGrid>
      <w:tr w:rsidR="000C3E04" w:rsidRPr="007D545F" w14:paraId="4B5B0A56" w14:textId="77777777" w:rsidTr="000C3E04">
        <w:trPr>
          <w:trHeight w:val="924"/>
        </w:trPr>
        <w:tc>
          <w:tcPr>
            <w:tcW w:w="10156" w:type="dxa"/>
          </w:tcPr>
          <w:p w14:paraId="6542FB4C" w14:textId="4177FDA0" w:rsidR="000C3E04" w:rsidRPr="007D545F" w:rsidRDefault="000C3E04" w:rsidP="00DE2829">
            <w:pPr>
              <w:spacing w:before="240" w:after="240" w:line="480" w:lineRule="auto"/>
              <w:jc w:val="both"/>
              <w:rPr>
                <w:rFonts w:ascii="Times New Roman" w:eastAsia="Times New Roman" w:hAnsi="Times New Roman" w:cs="Times New Roman"/>
                <w:bCs/>
                <w:sz w:val="24"/>
                <w:szCs w:val="24"/>
              </w:rPr>
            </w:pPr>
            <w:r w:rsidRPr="007D545F">
              <w:rPr>
                <w:rFonts w:ascii="Times New Roman" w:eastAsia="Times New Roman" w:hAnsi="Times New Roman" w:cs="Times New Roman"/>
                <w:bCs/>
                <w:sz w:val="24"/>
                <w:szCs w:val="24"/>
              </w:rPr>
              <w:t>Dietary assessment and counselling</w:t>
            </w:r>
          </w:p>
        </w:tc>
      </w:tr>
      <w:tr w:rsidR="000C3E04" w:rsidRPr="007D545F" w14:paraId="03CF3165" w14:textId="77777777" w:rsidTr="000C3E04">
        <w:trPr>
          <w:trHeight w:val="937"/>
        </w:trPr>
        <w:tc>
          <w:tcPr>
            <w:tcW w:w="10156" w:type="dxa"/>
          </w:tcPr>
          <w:p w14:paraId="56087530" w14:textId="0CCA7E2E" w:rsidR="000C3E04" w:rsidRPr="007D545F" w:rsidRDefault="000C3E04" w:rsidP="00DE2829">
            <w:pPr>
              <w:spacing w:before="240" w:after="240" w:line="480" w:lineRule="auto"/>
              <w:jc w:val="both"/>
              <w:rPr>
                <w:rFonts w:ascii="Times New Roman" w:eastAsia="Times New Roman" w:hAnsi="Times New Roman" w:cs="Times New Roman"/>
                <w:bCs/>
                <w:sz w:val="24"/>
                <w:szCs w:val="24"/>
              </w:rPr>
            </w:pPr>
            <w:r w:rsidRPr="007D545F">
              <w:rPr>
                <w:rFonts w:ascii="Times New Roman" w:eastAsia="Times New Roman" w:hAnsi="Times New Roman" w:cs="Times New Roman"/>
                <w:bCs/>
                <w:sz w:val="24"/>
                <w:szCs w:val="24"/>
              </w:rPr>
              <w:t>CLDQ questionnaire</w:t>
            </w:r>
          </w:p>
        </w:tc>
      </w:tr>
      <w:tr w:rsidR="000C3E04" w:rsidRPr="007D545F" w14:paraId="4E2C092C" w14:textId="77777777" w:rsidTr="000C3E04">
        <w:trPr>
          <w:trHeight w:val="924"/>
        </w:trPr>
        <w:tc>
          <w:tcPr>
            <w:tcW w:w="10156" w:type="dxa"/>
          </w:tcPr>
          <w:p w14:paraId="3EA6B081" w14:textId="4CE71B7C" w:rsidR="000C3E04" w:rsidRPr="007D545F" w:rsidRDefault="000C3E04" w:rsidP="00DE2829">
            <w:pPr>
              <w:spacing w:before="240" w:after="240" w:line="480" w:lineRule="auto"/>
              <w:jc w:val="both"/>
              <w:rPr>
                <w:rFonts w:ascii="Times New Roman" w:eastAsia="Times New Roman" w:hAnsi="Times New Roman" w:cs="Times New Roman"/>
                <w:bCs/>
                <w:sz w:val="24"/>
                <w:szCs w:val="24"/>
              </w:rPr>
            </w:pPr>
            <w:r w:rsidRPr="007D545F">
              <w:rPr>
                <w:rFonts w:ascii="Times New Roman" w:eastAsia="Times New Roman" w:hAnsi="Times New Roman" w:cs="Times New Roman"/>
                <w:bCs/>
                <w:sz w:val="24"/>
                <w:szCs w:val="24"/>
              </w:rPr>
              <w:t>Standard medical therapy</w:t>
            </w:r>
          </w:p>
        </w:tc>
      </w:tr>
      <w:tr w:rsidR="000C3E04" w:rsidRPr="007D545F" w14:paraId="66C91D28" w14:textId="77777777" w:rsidTr="000C3E04">
        <w:trPr>
          <w:trHeight w:val="1440"/>
        </w:trPr>
        <w:tc>
          <w:tcPr>
            <w:tcW w:w="10156" w:type="dxa"/>
          </w:tcPr>
          <w:p w14:paraId="0A68C789" w14:textId="1FA4CD32" w:rsidR="000C3E04" w:rsidRPr="007D545F" w:rsidRDefault="007D545F" w:rsidP="00DE2829">
            <w:pPr>
              <w:spacing w:before="240" w:after="240" w:line="480" w:lineRule="auto"/>
              <w:jc w:val="both"/>
              <w:rPr>
                <w:rFonts w:ascii="Times New Roman" w:eastAsia="Times New Roman" w:hAnsi="Times New Roman" w:cs="Times New Roman"/>
                <w:bCs/>
                <w:sz w:val="24"/>
                <w:szCs w:val="24"/>
              </w:rPr>
            </w:pPr>
            <w:r w:rsidRPr="007D545F">
              <w:rPr>
                <w:rFonts w:ascii="Times New Roman" w:eastAsia="Times New Roman" w:hAnsi="Times New Roman" w:cs="Times New Roman"/>
                <w:bCs/>
                <w:sz w:val="24"/>
                <w:szCs w:val="24"/>
              </w:rPr>
              <w:t>Supplementary table 1 and 2</w:t>
            </w:r>
          </w:p>
        </w:tc>
      </w:tr>
    </w:tbl>
    <w:p w14:paraId="2C8FB4DE" w14:textId="5541DC75" w:rsidR="002F219E" w:rsidRPr="007D545F" w:rsidRDefault="002F219E" w:rsidP="00DE2829">
      <w:pPr>
        <w:spacing w:before="240" w:after="240" w:line="480" w:lineRule="auto"/>
        <w:jc w:val="both"/>
        <w:rPr>
          <w:rFonts w:ascii="Times New Roman" w:eastAsia="Times New Roman" w:hAnsi="Times New Roman" w:cs="Times New Roman"/>
          <w:bCs/>
          <w:sz w:val="24"/>
          <w:szCs w:val="24"/>
        </w:rPr>
      </w:pPr>
    </w:p>
    <w:p w14:paraId="5AB34CD8" w14:textId="2B97DA3B" w:rsidR="00BE60F7" w:rsidRPr="007D545F" w:rsidRDefault="00BE60F7" w:rsidP="00DE2829">
      <w:pPr>
        <w:spacing w:before="240" w:after="240" w:line="480" w:lineRule="auto"/>
        <w:jc w:val="both"/>
        <w:rPr>
          <w:rFonts w:ascii="Times New Roman" w:eastAsia="Times New Roman" w:hAnsi="Times New Roman" w:cs="Times New Roman"/>
          <w:bCs/>
          <w:sz w:val="24"/>
          <w:szCs w:val="24"/>
        </w:rPr>
      </w:pPr>
    </w:p>
    <w:p w14:paraId="7B9BC227" w14:textId="0C0BC707" w:rsidR="00BE60F7" w:rsidRPr="007D545F" w:rsidRDefault="00BE60F7" w:rsidP="00DE2829">
      <w:pPr>
        <w:spacing w:before="240" w:after="240" w:line="480" w:lineRule="auto"/>
        <w:jc w:val="both"/>
        <w:rPr>
          <w:rFonts w:ascii="Times New Roman" w:eastAsia="Times New Roman" w:hAnsi="Times New Roman" w:cs="Times New Roman"/>
          <w:bCs/>
          <w:sz w:val="24"/>
          <w:szCs w:val="24"/>
        </w:rPr>
      </w:pPr>
    </w:p>
    <w:p w14:paraId="3ADF1B34" w14:textId="0A0EFE47" w:rsidR="000C3E04" w:rsidRDefault="000C3E04" w:rsidP="00DE2829">
      <w:pPr>
        <w:spacing w:before="240" w:after="240" w:line="480" w:lineRule="auto"/>
        <w:jc w:val="both"/>
        <w:rPr>
          <w:rFonts w:ascii="Times New Roman" w:eastAsia="Times New Roman" w:hAnsi="Times New Roman" w:cs="Times New Roman"/>
          <w:bCs/>
          <w:sz w:val="24"/>
          <w:szCs w:val="24"/>
        </w:rPr>
      </w:pPr>
    </w:p>
    <w:p w14:paraId="7C3D9626" w14:textId="77777777" w:rsidR="00160BD7" w:rsidRPr="007D545F" w:rsidRDefault="00160BD7" w:rsidP="00DE2829">
      <w:pPr>
        <w:spacing w:before="240" w:after="240" w:line="480" w:lineRule="auto"/>
        <w:jc w:val="both"/>
        <w:rPr>
          <w:rFonts w:ascii="Times New Roman" w:eastAsia="Times New Roman" w:hAnsi="Times New Roman" w:cs="Times New Roman"/>
          <w:bCs/>
          <w:sz w:val="24"/>
          <w:szCs w:val="24"/>
        </w:rPr>
      </w:pPr>
    </w:p>
    <w:p w14:paraId="36C07304" w14:textId="77777777" w:rsidR="00DB03BC" w:rsidRPr="007D545F" w:rsidRDefault="00DB03BC" w:rsidP="00DB03BC">
      <w:pPr>
        <w:spacing w:before="240" w:after="240" w:line="480" w:lineRule="auto"/>
        <w:jc w:val="both"/>
        <w:rPr>
          <w:rFonts w:ascii="Times New Roman" w:eastAsia="Times New Roman" w:hAnsi="Times New Roman" w:cs="Times New Roman"/>
          <w:b/>
          <w:sz w:val="24"/>
          <w:szCs w:val="24"/>
        </w:rPr>
      </w:pPr>
      <w:r w:rsidRPr="007D545F">
        <w:rPr>
          <w:rFonts w:ascii="Times New Roman" w:eastAsia="Times New Roman" w:hAnsi="Times New Roman" w:cs="Times New Roman"/>
          <w:b/>
          <w:sz w:val="24"/>
          <w:szCs w:val="24"/>
        </w:rPr>
        <w:lastRenderedPageBreak/>
        <w:t>Dietary assessment and counselling</w:t>
      </w:r>
    </w:p>
    <w:p w14:paraId="100923AB" w14:textId="77B1B055" w:rsidR="00DB03BC" w:rsidRPr="007D545F" w:rsidRDefault="00DB03BC" w:rsidP="00DB03BC">
      <w:pPr>
        <w:spacing w:before="240" w:line="480" w:lineRule="auto"/>
        <w:jc w:val="both"/>
        <w:rPr>
          <w:rFonts w:ascii="Times New Roman" w:eastAsia="Times New Roman" w:hAnsi="Times New Roman" w:cs="Times New Roman"/>
          <w:sz w:val="24"/>
          <w:szCs w:val="24"/>
        </w:rPr>
      </w:pPr>
      <w:r w:rsidRPr="007D545F">
        <w:rPr>
          <w:rFonts w:ascii="Times New Roman" w:eastAsia="Times New Roman" w:hAnsi="Times New Roman" w:cs="Times New Roman"/>
          <w:sz w:val="24"/>
          <w:szCs w:val="24"/>
        </w:rPr>
        <w:t>All patients were seen by a dietician at the time of recruitment. A pretested open-ended semi-quantitative food frequency pro forma was used to collect nutrient and dietary information on seven food groups and miscellaneous food items from each patient at each visit. The pro forma consisted of three sections according to the guidelines prepared by National Institute of Nutrition, Hyderabad, India.</w:t>
      </w:r>
      <w:r w:rsidRPr="007D545F">
        <w:rPr>
          <w:rFonts w:ascii="Times New Roman" w:hAnsi="Times New Roman" w:cs="Times New Roman"/>
          <w:sz w:val="24"/>
          <w:szCs w:val="24"/>
        </w:rPr>
        <w:fldChar w:fldCharType="begin"/>
      </w:r>
      <w:r w:rsidR="007D545F" w:rsidRPr="007D545F">
        <w:rPr>
          <w:rFonts w:ascii="Times New Roman" w:hAnsi="Times New Roman" w:cs="Times New Roman"/>
          <w:sz w:val="24"/>
          <w:szCs w:val="24"/>
        </w:rPr>
        <w:instrText xml:space="preserve"> ADDIN ZOTERO_ITEM CSL_CITATION {"citationID":"4p8jxGOX","properties":{"formattedCitation":"\\super 1\\nosupersub{}","plainCitation":"1","noteIndex":0},"citationItems":[{"id":3511,"uris":["http://zotero.org/users/local/R8k0JasP/items/TUQ588PH"],"uri":["http://zotero.org/users/local/R8k0JasP/items/TUQ588PH"],"itemData":{"id":3511,"type":"book","title":"A Handbook of schedule and guidelines in socioeconomic and diet survey. 1987th ed. National Insitute of Nutrition:Indian Council of Medical Research; p. 1-8","author":[{"family":"Thimmayamma","given":"B"},{"family":"Rau","given":"P"}]}}],"schema":"https://github.com/citation-style-language/schema/raw/master/csl-citation.json"} </w:instrText>
      </w:r>
      <w:r w:rsidRPr="007D545F">
        <w:rPr>
          <w:rFonts w:ascii="Times New Roman" w:hAnsi="Times New Roman" w:cs="Times New Roman"/>
          <w:sz w:val="24"/>
          <w:szCs w:val="24"/>
        </w:rPr>
        <w:fldChar w:fldCharType="separate"/>
      </w:r>
      <w:r w:rsidR="007D545F" w:rsidRPr="007D545F">
        <w:rPr>
          <w:rFonts w:ascii="Times New Roman" w:hAnsi="Times New Roman" w:cs="Times New Roman"/>
          <w:sz w:val="24"/>
          <w:szCs w:val="24"/>
          <w:vertAlign w:val="superscript"/>
        </w:rPr>
        <w:t>1</w:t>
      </w:r>
      <w:r w:rsidRPr="007D545F">
        <w:rPr>
          <w:rFonts w:ascii="Times New Roman" w:hAnsi="Times New Roman" w:cs="Times New Roman"/>
          <w:sz w:val="24"/>
          <w:szCs w:val="24"/>
        </w:rPr>
        <w:fldChar w:fldCharType="end"/>
      </w:r>
      <w:r w:rsidRPr="007D545F">
        <w:rPr>
          <w:rFonts w:ascii="Times New Roman" w:eastAsia="Times New Roman" w:hAnsi="Times New Roman" w:cs="Times New Roman"/>
          <w:sz w:val="24"/>
          <w:szCs w:val="24"/>
        </w:rPr>
        <w:t xml:space="preserve"> The first, second and third part of the questionnaire consisted of 24</w:t>
      </w:r>
      <w:r w:rsidR="0040438A">
        <w:rPr>
          <w:rFonts w:ascii="Times New Roman" w:eastAsia="Times New Roman" w:hAnsi="Times New Roman" w:cs="Times New Roman"/>
          <w:sz w:val="24"/>
          <w:szCs w:val="24"/>
        </w:rPr>
        <w:t>-</w:t>
      </w:r>
      <w:r w:rsidRPr="007D545F">
        <w:rPr>
          <w:rFonts w:ascii="Times New Roman" w:eastAsia="Times New Roman" w:hAnsi="Times New Roman" w:cs="Times New Roman"/>
          <w:sz w:val="24"/>
          <w:szCs w:val="24"/>
        </w:rPr>
        <w:t>hour food recall, infrequently consumed food items (weekly or monthly) and cooking oils</w:t>
      </w:r>
      <w:r w:rsidR="0040438A">
        <w:rPr>
          <w:rFonts w:ascii="Times New Roman" w:eastAsia="Times New Roman" w:hAnsi="Times New Roman" w:cs="Times New Roman"/>
          <w:sz w:val="24"/>
          <w:szCs w:val="24"/>
        </w:rPr>
        <w:t>,</w:t>
      </w:r>
      <w:r w:rsidRPr="007D545F">
        <w:rPr>
          <w:rFonts w:ascii="Times New Roman" w:eastAsia="Times New Roman" w:hAnsi="Times New Roman" w:cs="Times New Roman"/>
          <w:sz w:val="24"/>
          <w:szCs w:val="24"/>
        </w:rPr>
        <w:t xml:space="preserve"> respectively. Standardised utensils with pre-determined portion size were shown to the patient for better recollection. Standard nutrient values of foods were calculated by conversion of raw food stuff into nutrients. Diet data was analysed using software ‘DietCal’ version 10.0; Profound Tech Solution;</w:t>
      </w:r>
      <w:hyperlink r:id="rId7" w:history="1">
        <w:r w:rsidRPr="007D545F">
          <w:rPr>
            <w:rStyle w:val="Hyperlink"/>
            <w:rFonts w:ascii="Times New Roman" w:eastAsia="Times New Roman" w:hAnsi="Times New Roman" w:cs="Times New Roman"/>
            <w:sz w:val="24"/>
            <w:szCs w:val="24"/>
          </w:rPr>
          <w:t xml:space="preserve"> </w:t>
        </w:r>
      </w:hyperlink>
      <w:hyperlink r:id="rId8" w:history="1">
        <w:r w:rsidRPr="007D545F">
          <w:rPr>
            <w:rStyle w:val="Hyperlink"/>
            <w:rFonts w:ascii="Times New Roman" w:eastAsia="Times New Roman" w:hAnsi="Times New Roman" w:cs="Times New Roman"/>
            <w:color w:val="1155CC"/>
            <w:sz w:val="24"/>
            <w:szCs w:val="24"/>
          </w:rPr>
          <w:t>http://dietcal.in/</w:t>
        </w:r>
      </w:hyperlink>
      <w:r w:rsidRPr="007D545F">
        <w:rPr>
          <w:rFonts w:ascii="Times New Roman" w:eastAsia="Times New Roman" w:hAnsi="Times New Roman" w:cs="Times New Roman"/>
          <w:sz w:val="24"/>
          <w:szCs w:val="24"/>
        </w:rPr>
        <w:t xml:space="preserve">  based on values from the Nutritive Value of Indian Foods, 2017.</w:t>
      </w:r>
      <w:r w:rsidRPr="007D545F">
        <w:rPr>
          <w:rFonts w:ascii="Times New Roman" w:hAnsi="Times New Roman" w:cs="Times New Roman"/>
          <w:sz w:val="24"/>
          <w:szCs w:val="24"/>
        </w:rPr>
        <w:fldChar w:fldCharType="begin"/>
      </w:r>
      <w:r w:rsidR="007D545F" w:rsidRPr="007D545F">
        <w:rPr>
          <w:rFonts w:ascii="Times New Roman" w:hAnsi="Times New Roman" w:cs="Times New Roman"/>
          <w:sz w:val="24"/>
          <w:szCs w:val="24"/>
        </w:rPr>
        <w:instrText xml:space="preserve"> ADDIN ZOTERO_ITEM CSL_CITATION {"citationID":"H6DHzMCS","properties":{"formattedCitation":"\\super 2\\nosupersub{}","plainCitation":"2","noteIndex":0},"citationItems":[{"id":3513,"uris":["http://zotero.org/users/local/R8k0JasP/items/YSCF94KF"],"uri":["http://zotero.org/users/local/R8k0JasP/items/YSCF94KF"],"itemData":{"id":3513,"type":"book","title":"Indian Food Composition Tables. National Institute of Nutrition, Indian Council of Medical Research 2017","author":[{"family":"Longvah","given":"T"},{"family":"Ananthan","given":"R"},{"family":"Bhaskarachary","given":"K"},{"family":"Venkaiah","given":"K"}]}}],"schema":"https://github.com/citation-style-language/schema/raw/master/csl-citation.json"} </w:instrText>
      </w:r>
      <w:r w:rsidRPr="007D545F">
        <w:rPr>
          <w:rFonts w:ascii="Times New Roman" w:hAnsi="Times New Roman" w:cs="Times New Roman"/>
          <w:sz w:val="24"/>
          <w:szCs w:val="24"/>
        </w:rPr>
        <w:fldChar w:fldCharType="separate"/>
      </w:r>
      <w:r w:rsidR="007D545F" w:rsidRPr="007D545F">
        <w:rPr>
          <w:rFonts w:ascii="Times New Roman" w:hAnsi="Times New Roman" w:cs="Times New Roman"/>
          <w:sz w:val="24"/>
          <w:szCs w:val="24"/>
          <w:vertAlign w:val="superscript"/>
        </w:rPr>
        <w:t>2</w:t>
      </w:r>
      <w:r w:rsidRPr="007D545F">
        <w:rPr>
          <w:rFonts w:ascii="Times New Roman" w:hAnsi="Times New Roman" w:cs="Times New Roman"/>
          <w:sz w:val="24"/>
          <w:szCs w:val="24"/>
        </w:rPr>
        <w:fldChar w:fldCharType="end"/>
      </w:r>
      <w:r w:rsidRPr="007D545F">
        <w:rPr>
          <w:rFonts w:ascii="Times New Roman" w:eastAsia="Times New Roman" w:hAnsi="Times New Roman" w:cs="Times New Roman"/>
          <w:sz w:val="24"/>
          <w:szCs w:val="24"/>
        </w:rPr>
        <w:t xml:space="preserve"> After calculation, </w:t>
      </w:r>
      <w:r w:rsidR="00BB5180">
        <w:rPr>
          <w:rFonts w:ascii="Times New Roman" w:eastAsia="Times New Roman" w:hAnsi="Times New Roman" w:cs="Times New Roman"/>
          <w:sz w:val="24"/>
          <w:szCs w:val="24"/>
        </w:rPr>
        <w:t xml:space="preserve">a diet comprising </w:t>
      </w:r>
      <w:r w:rsidRPr="007D545F">
        <w:rPr>
          <w:rFonts w:ascii="Times New Roman" w:eastAsia="Times New Roman" w:hAnsi="Times New Roman" w:cs="Times New Roman"/>
          <w:sz w:val="24"/>
          <w:szCs w:val="24"/>
        </w:rPr>
        <w:t>25-30</w:t>
      </w:r>
      <w:r w:rsidR="0040438A">
        <w:rPr>
          <w:rFonts w:ascii="Times New Roman" w:eastAsia="Times New Roman" w:hAnsi="Times New Roman" w:cs="Times New Roman"/>
          <w:sz w:val="24"/>
          <w:szCs w:val="24"/>
        </w:rPr>
        <w:t xml:space="preserve"> </w:t>
      </w:r>
      <w:r w:rsidRPr="007D545F">
        <w:rPr>
          <w:rFonts w:ascii="Times New Roman" w:eastAsia="Times New Roman" w:hAnsi="Times New Roman" w:cs="Times New Roman"/>
          <w:sz w:val="24"/>
          <w:szCs w:val="24"/>
        </w:rPr>
        <w:t xml:space="preserve">kcal/day </w:t>
      </w:r>
      <w:r w:rsidR="0040438A">
        <w:rPr>
          <w:rFonts w:ascii="Times New Roman" w:eastAsia="Times New Roman" w:hAnsi="Times New Roman" w:cs="Times New Roman"/>
          <w:sz w:val="24"/>
          <w:szCs w:val="24"/>
        </w:rPr>
        <w:t xml:space="preserve">energy </w:t>
      </w:r>
      <w:r w:rsidRPr="007D545F">
        <w:rPr>
          <w:rFonts w:ascii="Times New Roman" w:eastAsia="Times New Roman" w:hAnsi="Times New Roman" w:cs="Times New Roman"/>
          <w:sz w:val="24"/>
          <w:szCs w:val="24"/>
        </w:rPr>
        <w:t>along with 1-1.2g/kg/day of protein intake was advised to all patients.</w:t>
      </w:r>
    </w:p>
    <w:p w14:paraId="6D162BBF" w14:textId="77777777" w:rsidR="00BE60F7" w:rsidRPr="007D545F" w:rsidRDefault="00BE60F7" w:rsidP="00DE2829">
      <w:pPr>
        <w:spacing w:before="240" w:after="240" w:line="480" w:lineRule="auto"/>
        <w:jc w:val="both"/>
        <w:rPr>
          <w:rFonts w:ascii="Times New Roman" w:eastAsia="Times New Roman" w:hAnsi="Times New Roman" w:cs="Times New Roman"/>
          <w:bCs/>
          <w:sz w:val="24"/>
          <w:szCs w:val="24"/>
        </w:rPr>
      </w:pPr>
    </w:p>
    <w:p w14:paraId="4E9CDAC7" w14:textId="1C23748E" w:rsidR="00DE2829" w:rsidRPr="007D545F" w:rsidRDefault="00DE2829" w:rsidP="000772B9">
      <w:pPr>
        <w:spacing w:before="240" w:after="240" w:line="480" w:lineRule="auto"/>
        <w:rPr>
          <w:rFonts w:ascii="Times New Roman" w:eastAsia="Times New Roman" w:hAnsi="Times New Roman" w:cs="Times New Roman"/>
          <w:b/>
          <w:sz w:val="24"/>
          <w:szCs w:val="24"/>
        </w:rPr>
      </w:pPr>
    </w:p>
    <w:p w14:paraId="173B3D30" w14:textId="56A7067F"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60B1087B" w14:textId="029F486E"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33AA4D19" w14:textId="275C8736"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23BBE5E8" w14:textId="7A6FAD19"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2950A4A6" w14:textId="15C944DB"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65634326" w14:textId="77777777" w:rsidR="000C3E04" w:rsidRPr="007D545F" w:rsidRDefault="000C3E04" w:rsidP="000772B9">
      <w:pPr>
        <w:spacing w:before="240" w:after="240" w:line="480" w:lineRule="auto"/>
        <w:rPr>
          <w:rFonts w:ascii="Times New Roman" w:eastAsia="Times New Roman" w:hAnsi="Times New Roman" w:cs="Times New Roman"/>
          <w:b/>
          <w:sz w:val="24"/>
          <w:szCs w:val="24"/>
        </w:rPr>
      </w:pPr>
    </w:p>
    <w:p w14:paraId="08756E96" w14:textId="187EAC18" w:rsidR="000772B9" w:rsidRPr="007D545F" w:rsidRDefault="000772B9" w:rsidP="000772B9">
      <w:pPr>
        <w:spacing w:before="240" w:after="240" w:line="480" w:lineRule="auto"/>
        <w:rPr>
          <w:rFonts w:ascii="Times New Roman" w:eastAsia="Times New Roman" w:hAnsi="Times New Roman" w:cs="Times New Roman"/>
          <w:b/>
          <w:sz w:val="24"/>
          <w:szCs w:val="24"/>
        </w:rPr>
      </w:pPr>
      <w:r w:rsidRPr="007D545F">
        <w:rPr>
          <w:rFonts w:ascii="Times New Roman" w:eastAsia="Times New Roman" w:hAnsi="Times New Roman" w:cs="Times New Roman"/>
          <w:b/>
          <w:sz w:val="24"/>
          <w:szCs w:val="24"/>
        </w:rPr>
        <w:lastRenderedPageBreak/>
        <w:t>CLDQ questionnaire</w:t>
      </w:r>
    </w:p>
    <w:p w14:paraId="1C2026BE" w14:textId="7A637E0F" w:rsidR="000772B9" w:rsidRPr="007D545F" w:rsidRDefault="000772B9" w:rsidP="000772B9">
      <w:pPr>
        <w:spacing w:before="240" w:after="240" w:line="480" w:lineRule="auto"/>
        <w:rPr>
          <w:rFonts w:ascii="Times New Roman" w:hAnsi="Times New Roman" w:cs="Times New Roman"/>
          <w:sz w:val="24"/>
          <w:szCs w:val="24"/>
        </w:rPr>
      </w:pPr>
      <w:r w:rsidRPr="007D545F">
        <w:rPr>
          <w:rFonts w:ascii="Times New Roman" w:eastAsia="Times New Roman" w:hAnsi="Times New Roman" w:cs="Times New Roman"/>
          <w:sz w:val="24"/>
          <w:szCs w:val="24"/>
        </w:rPr>
        <w:t>Quality of life was assessed at baseline and at 6 months by a validated questionnaire in the form of chronic liver disease questionnaire (CLDQ).</w:t>
      </w:r>
      <w:r w:rsidRPr="007D545F">
        <w:rPr>
          <w:rFonts w:ascii="Times New Roman" w:hAnsi="Times New Roman" w:cs="Times New Roman"/>
          <w:sz w:val="24"/>
          <w:szCs w:val="24"/>
        </w:rPr>
        <w:t xml:space="preserve"> </w:t>
      </w:r>
      <w:r w:rsidRPr="007D545F">
        <w:rPr>
          <w:rFonts w:ascii="Times New Roman" w:hAnsi="Times New Roman" w:cs="Times New Roman"/>
          <w:sz w:val="24"/>
          <w:szCs w:val="24"/>
        </w:rPr>
        <w:fldChar w:fldCharType="begin"/>
      </w:r>
      <w:r w:rsidR="007D545F" w:rsidRPr="007D545F">
        <w:rPr>
          <w:rFonts w:ascii="Times New Roman" w:hAnsi="Times New Roman" w:cs="Times New Roman"/>
          <w:sz w:val="24"/>
          <w:szCs w:val="24"/>
        </w:rPr>
        <w:instrText xml:space="preserve"> ADDIN ZOTERO_ITEM CSL_CITATION {"citationID":"RBGanjfc","properties":{"formattedCitation":"\\super 3,4\\nosupersub{}","plainCitation":"3,4","noteIndex":0},"citationItems":[{"id":617,"uris":["http://zotero.org/users/local/R8k0JasP/items/55TA6T7W"],"uri":["http://zotero.org/users/local/R8k0JasP/items/55TA6T7W"],"itemData":{"id":617,"type":"article-journal","abstract":"BACKGROUND AND AIMS To develop and assess a disease specific instrument for measuring health related quality of life (HRQL) in patients with chronic liver disease (CLD).\nMETHODS Based on responses from 60 patients with chronic liver disease, from 20 liver experts, and from a Medline search of the literature, items potentially affecting the HRQL of these patients were identified. A separate sample of 75 patients identified which items they found problematic and rated their importance. Results were explored using factor analysis; domains were chosen and items placed within domains. Redundant questions were eliminated and the final questionnaire was pretested in 10 patients. Using this instrument, HRQL was assessed in a further 133 patients with various types and stages of liver disease.\nRESULTS Patients, experts, and the literature search identified 156 items of potential importance. Of these, 35 proved important to over 50% of 75 respondents in the item reduction sample. The factor analysis suggested six domains. After eliminating redundancies, the Chronic Liver Disease Questionnaire (CLDQ) included 29 items in the following domains: fatigue, activity, emotional function, abdominal symptoms, systemic symptoms, and worry. In pretesting, patients found the CLDQ clear and easy to complete in 10 minutes. In another 133 patients, the CLDQ showed a gradient between patients without cirrhosis, Child’s A cirrhosis, and those with Child’s B or C cirrhosis. CLDQ has evidence for moderate reliability at six months and seems to be responsive.\nCONCLUSION The CLDQ is short, easy to administer, produces both a summary score and domain scores, and correlates with the severity of liver disease.","container-title":"Gut","DOI":"10.1136/gut.45.2.295","ISSN":"0017-5749, 1468-3288","issue":"2","language":"en","note":"number: 2\nPMID: 10403745","page":"295-300","source":"gut.bmj.com","title":"Development of a disease specific questionnaire to measure health related quality of life in patients with chronic liver disease","volume":"45","author":[{"family":"Younossi","given":"Z. M."},{"family":"Guyatt","given":"G."},{"family":"Kiwi","given":"M."},{"family":"Boparai","given":"N."},{"family":"King","given":"D."}],"issued":{"date-parts":[["1999",8,1]]}}},{"id":3517,"uris":["http://zotero.org/users/local/R8k0JasP/items/2MZPHU6A"],"uri":["http://zotero.org/users/local/R8k0JasP/items/2MZPHU6A"],"itemData":{"id":3517,"type":"article-journal","container-title":"Tropical Gastroenterology","DOI":"10.7869/tg.335","ISSN":"0250-626X","issue":"2","page":"112-122","source":"www.tropicalgastro.com","title":"Translation and validation of the Hindi version of chronic liver disease questionnaire (CLDQ) for the assessment of health related quality of life in patient with chronic liver disease in India","volume":"37","author":[{"family":"J","given":"Benjamin"},{"family":"K","given":"Mani"},{"family":"A","given":"Saraya"},{"family":"Yk","given":"Joshi"}],"issued":{"date-parts":[["2017",6,1]]}}}],"schema":"https://github.com/citation-style-language/schema/raw/master/csl-citation.json"} </w:instrText>
      </w:r>
      <w:r w:rsidRPr="007D545F">
        <w:rPr>
          <w:rFonts w:ascii="Times New Roman" w:hAnsi="Times New Roman" w:cs="Times New Roman"/>
          <w:sz w:val="24"/>
          <w:szCs w:val="24"/>
        </w:rPr>
        <w:fldChar w:fldCharType="separate"/>
      </w:r>
      <w:r w:rsidR="007D545F" w:rsidRPr="007D545F">
        <w:rPr>
          <w:rFonts w:ascii="Times New Roman" w:hAnsi="Times New Roman" w:cs="Times New Roman"/>
          <w:sz w:val="24"/>
          <w:szCs w:val="24"/>
          <w:vertAlign w:val="superscript"/>
        </w:rPr>
        <w:t>3,4</w:t>
      </w:r>
      <w:r w:rsidRPr="007D545F">
        <w:rPr>
          <w:rFonts w:ascii="Times New Roman" w:hAnsi="Times New Roman" w:cs="Times New Roman"/>
          <w:sz w:val="24"/>
          <w:szCs w:val="24"/>
        </w:rPr>
        <w:fldChar w:fldCharType="end"/>
      </w:r>
      <w:r w:rsidRPr="007D545F">
        <w:rPr>
          <w:rFonts w:ascii="Times New Roman" w:hAnsi="Times New Roman" w:cs="Times New Roman"/>
          <w:sz w:val="24"/>
          <w:szCs w:val="24"/>
        </w:rPr>
        <w:t xml:space="preserve"> </w:t>
      </w:r>
      <w:r w:rsidRPr="007D545F">
        <w:rPr>
          <w:rFonts w:ascii="Times New Roman" w:eastAsia="Times New Roman" w:hAnsi="Times New Roman" w:cs="Times New Roman"/>
          <w:sz w:val="24"/>
          <w:szCs w:val="24"/>
        </w:rPr>
        <w:t xml:space="preserve">It was administered in regional </w:t>
      </w:r>
      <w:r w:rsidR="00FE25FB" w:rsidRPr="007D545F">
        <w:rPr>
          <w:rFonts w:ascii="Times New Roman" w:eastAsia="Times New Roman" w:hAnsi="Times New Roman" w:cs="Times New Roman"/>
          <w:sz w:val="24"/>
          <w:szCs w:val="24"/>
        </w:rPr>
        <w:t>language (</w:t>
      </w:r>
      <w:r w:rsidRPr="007D545F">
        <w:rPr>
          <w:rFonts w:ascii="Times New Roman" w:eastAsia="Times New Roman" w:hAnsi="Times New Roman" w:cs="Times New Roman"/>
          <w:sz w:val="24"/>
          <w:szCs w:val="24"/>
        </w:rPr>
        <w:t>Hindi</w:t>
      </w:r>
      <w:proofErr w:type="gramStart"/>
      <w:r w:rsidRPr="007D545F">
        <w:rPr>
          <w:rFonts w:ascii="Times New Roman" w:eastAsia="Times New Roman" w:hAnsi="Times New Roman" w:cs="Times New Roman"/>
          <w:sz w:val="24"/>
          <w:szCs w:val="24"/>
        </w:rPr>
        <w:t>)</w:t>
      </w:r>
      <w:proofErr w:type="gramEnd"/>
      <w:r w:rsidRPr="007D545F">
        <w:rPr>
          <w:rFonts w:ascii="Times New Roman" w:eastAsia="Times New Roman" w:hAnsi="Times New Roman" w:cs="Times New Roman"/>
          <w:sz w:val="24"/>
          <w:szCs w:val="24"/>
        </w:rPr>
        <w:t xml:space="preserve"> or English depending on the patients’ preference and comprised a total of 29 questions with 7 options. A score for each question is graded from 1 to 7 with 7 being the most satisfactory response. It helps in assessing the physical, </w:t>
      </w:r>
      <w:proofErr w:type="gramStart"/>
      <w:r w:rsidRPr="007D545F">
        <w:rPr>
          <w:rFonts w:ascii="Times New Roman" w:eastAsia="Times New Roman" w:hAnsi="Times New Roman" w:cs="Times New Roman"/>
          <w:sz w:val="24"/>
          <w:szCs w:val="24"/>
        </w:rPr>
        <w:t>psychological</w:t>
      </w:r>
      <w:proofErr w:type="gramEnd"/>
      <w:r w:rsidRPr="007D545F">
        <w:rPr>
          <w:rFonts w:ascii="Times New Roman" w:eastAsia="Times New Roman" w:hAnsi="Times New Roman" w:cs="Times New Roman"/>
          <w:sz w:val="24"/>
          <w:szCs w:val="24"/>
        </w:rPr>
        <w:t xml:space="preserve"> and social aspects of health in patients with chronic liver disease. Overall score was obtained by obtaining the mean score of all questions.</w:t>
      </w:r>
      <w:r w:rsidRPr="007D545F">
        <w:rPr>
          <w:rFonts w:ascii="Times New Roman" w:hAnsi="Times New Roman" w:cs="Times New Roman"/>
          <w:sz w:val="24"/>
          <w:szCs w:val="24"/>
        </w:rPr>
        <w:t xml:space="preserve">  </w:t>
      </w:r>
    </w:p>
    <w:p w14:paraId="13B0D12F" w14:textId="0155AC27" w:rsidR="000C3E04" w:rsidRPr="007D545F" w:rsidRDefault="000C3E04" w:rsidP="000772B9">
      <w:pPr>
        <w:spacing w:before="240" w:after="240" w:line="480" w:lineRule="auto"/>
        <w:rPr>
          <w:rFonts w:ascii="Times New Roman" w:hAnsi="Times New Roman" w:cs="Times New Roman"/>
          <w:sz w:val="24"/>
          <w:szCs w:val="24"/>
        </w:rPr>
      </w:pPr>
    </w:p>
    <w:p w14:paraId="4EBA10DC" w14:textId="5325A6B5" w:rsidR="000C3E04" w:rsidRPr="007D545F" w:rsidRDefault="000C3E04" w:rsidP="000772B9">
      <w:pPr>
        <w:spacing w:before="240" w:after="240" w:line="480" w:lineRule="auto"/>
        <w:rPr>
          <w:rFonts w:ascii="Times New Roman" w:hAnsi="Times New Roman" w:cs="Times New Roman"/>
          <w:sz w:val="24"/>
          <w:szCs w:val="24"/>
        </w:rPr>
      </w:pPr>
    </w:p>
    <w:p w14:paraId="66794A70" w14:textId="56299EFA" w:rsidR="000C3E04" w:rsidRPr="007D545F" w:rsidRDefault="000C3E04" w:rsidP="000772B9">
      <w:pPr>
        <w:spacing w:before="240" w:after="240" w:line="480" w:lineRule="auto"/>
        <w:rPr>
          <w:rFonts w:ascii="Times New Roman" w:hAnsi="Times New Roman" w:cs="Times New Roman"/>
          <w:sz w:val="24"/>
          <w:szCs w:val="24"/>
        </w:rPr>
      </w:pPr>
    </w:p>
    <w:p w14:paraId="15C4B311" w14:textId="36164946" w:rsidR="000C3E04" w:rsidRPr="007D545F" w:rsidRDefault="000C3E04" w:rsidP="000772B9">
      <w:pPr>
        <w:spacing w:before="240" w:after="240" w:line="480" w:lineRule="auto"/>
        <w:rPr>
          <w:rFonts w:ascii="Times New Roman" w:hAnsi="Times New Roman" w:cs="Times New Roman"/>
          <w:sz w:val="24"/>
          <w:szCs w:val="24"/>
        </w:rPr>
      </w:pPr>
    </w:p>
    <w:p w14:paraId="1005E1D1" w14:textId="4CB4CB2B" w:rsidR="000C3E04" w:rsidRPr="007D545F" w:rsidRDefault="000C3E04" w:rsidP="000772B9">
      <w:pPr>
        <w:spacing w:before="240" w:after="240" w:line="480" w:lineRule="auto"/>
        <w:rPr>
          <w:rFonts w:ascii="Times New Roman" w:hAnsi="Times New Roman" w:cs="Times New Roman"/>
          <w:sz w:val="24"/>
          <w:szCs w:val="24"/>
        </w:rPr>
      </w:pPr>
    </w:p>
    <w:p w14:paraId="4EE30BF5" w14:textId="774E9FF3" w:rsidR="000C3E04" w:rsidRPr="007D545F" w:rsidRDefault="000C3E04" w:rsidP="000772B9">
      <w:pPr>
        <w:spacing w:before="240" w:after="240" w:line="480" w:lineRule="auto"/>
        <w:rPr>
          <w:rFonts w:ascii="Times New Roman" w:hAnsi="Times New Roman" w:cs="Times New Roman"/>
          <w:sz w:val="24"/>
          <w:szCs w:val="24"/>
        </w:rPr>
      </w:pPr>
    </w:p>
    <w:p w14:paraId="1E5B2757" w14:textId="2A00E409" w:rsidR="000C3E04" w:rsidRPr="007D545F" w:rsidRDefault="000C3E04" w:rsidP="000772B9">
      <w:pPr>
        <w:spacing w:before="240" w:after="240" w:line="480" w:lineRule="auto"/>
        <w:rPr>
          <w:rFonts w:ascii="Times New Roman" w:hAnsi="Times New Roman" w:cs="Times New Roman"/>
          <w:sz w:val="24"/>
          <w:szCs w:val="24"/>
        </w:rPr>
      </w:pPr>
    </w:p>
    <w:p w14:paraId="7F390648" w14:textId="49B2F044" w:rsidR="000C3E04" w:rsidRPr="007D545F" w:rsidRDefault="000C3E04" w:rsidP="000772B9">
      <w:pPr>
        <w:spacing w:before="240" w:after="240" w:line="480" w:lineRule="auto"/>
        <w:rPr>
          <w:rFonts w:ascii="Times New Roman" w:hAnsi="Times New Roman" w:cs="Times New Roman"/>
          <w:sz w:val="24"/>
          <w:szCs w:val="24"/>
        </w:rPr>
      </w:pPr>
    </w:p>
    <w:p w14:paraId="70B84122" w14:textId="67A7ACC9" w:rsidR="000C3E04" w:rsidRPr="007D545F" w:rsidRDefault="000C3E04" w:rsidP="000772B9">
      <w:pPr>
        <w:spacing w:before="240" w:after="240" w:line="480" w:lineRule="auto"/>
        <w:rPr>
          <w:rFonts w:ascii="Times New Roman" w:hAnsi="Times New Roman" w:cs="Times New Roman"/>
          <w:sz w:val="24"/>
          <w:szCs w:val="24"/>
        </w:rPr>
      </w:pPr>
    </w:p>
    <w:p w14:paraId="269C898A" w14:textId="5E5549E6" w:rsidR="000C3E04" w:rsidRPr="007D545F" w:rsidRDefault="000C3E04" w:rsidP="000772B9">
      <w:pPr>
        <w:spacing w:before="240" w:after="240" w:line="480" w:lineRule="auto"/>
        <w:rPr>
          <w:rFonts w:ascii="Times New Roman" w:hAnsi="Times New Roman" w:cs="Times New Roman"/>
          <w:sz w:val="24"/>
          <w:szCs w:val="24"/>
        </w:rPr>
      </w:pPr>
    </w:p>
    <w:p w14:paraId="0900E36F" w14:textId="0221DBDD" w:rsidR="000C3E04" w:rsidRPr="007D545F" w:rsidRDefault="000C3E04" w:rsidP="000772B9">
      <w:pPr>
        <w:spacing w:before="240" w:after="240" w:line="480" w:lineRule="auto"/>
        <w:rPr>
          <w:rFonts w:ascii="Times New Roman" w:hAnsi="Times New Roman" w:cs="Times New Roman"/>
          <w:sz w:val="24"/>
          <w:szCs w:val="24"/>
        </w:rPr>
      </w:pPr>
    </w:p>
    <w:p w14:paraId="67FC6C26" w14:textId="77777777" w:rsidR="000C3E04" w:rsidRPr="007D545F" w:rsidRDefault="000C3E04" w:rsidP="000772B9">
      <w:pPr>
        <w:spacing w:before="240" w:after="240" w:line="480" w:lineRule="auto"/>
        <w:rPr>
          <w:rFonts w:ascii="Times New Roman" w:hAnsi="Times New Roman" w:cs="Times New Roman"/>
          <w:sz w:val="24"/>
          <w:szCs w:val="24"/>
        </w:rPr>
      </w:pPr>
    </w:p>
    <w:p w14:paraId="187B0DFC" w14:textId="77777777" w:rsidR="000772B9" w:rsidRPr="007D545F" w:rsidRDefault="000772B9" w:rsidP="000772B9">
      <w:pPr>
        <w:spacing w:line="480" w:lineRule="auto"/>
        <w:rPr>
          <w:rFonts w:ascii="Times New Roman" w:hAnsi="Times New Roman" w:cs="Times New Roman"/>
          <w:b/>
          <w:sz w:val="24"/>
          <w:szCs w:val="24"/>
        </w:rPr>
      </w:pPr>
      <w:r w:rsidRPr="007D545F">
        <w:rPr>
          <w:rFonts w:ascii="Times New Roman" w:hAnsi="Times New Roman" w:cs="Times New Roman"/>
          <w:b/>
          <w:sz w:val="24"/>
          <w:szCs w:val="24"/>
        </w:rPr>
        <w:lastRenderedPageBreak/>
        <w:t>Standard medical therapy for cirrhosis</w:t>
      </w:r>
    </w:p>
    <w:p w14:paraId="3E5746F2" w14:textId="63B35B3F" w:rsidR="000772B9" w:rsidRPr="00BB5180" w:rsidRDefault="000772B9" w:rsidP="00BB5180">
      <w:pPr>
        <w:pStyle w:val="ListParagraph"/>
        <w:numPr>
          <w:ilvl w:val="0"/>
          <w:numId w:val="1"/>
        </w:numPr>
        <w:spacing w:line="480" w:lineRule="auto"/>
        <w:rPr>
          <w:sz w:val="24"/>
          <w:szCs w:val="24"/>
        </w:rPr>
      </w:pPr>
      <w:r w:rsidRPr="007D545F">
        <w:rPr>
          <w:sz w:val="24"/>
          <w:szCs w:val="24"/>
        </w:rPr>
        <w:t>Etiology based management – Specific management was offered to all patients whenever possible. These included, alcohol abstinence, antivirals for hepatitis B (</w:t>
      </w:r>
      <w:r w:rsidR="00FE25FB">
        <w:rPr>
          <w:sz w:val="24"/>
          <w:szCs w:val="24"/>
        </w:rPr>
        <w:t>t</w:t>
      </w:r>
      <w:r w:rsidRPr="007D545F">
        <w:rPr>
          <w:sz w:val="24"/>
          <w:szCs w:val="24"/>
        </w:rPr>
        <w:t xml:space="preserve">enofovir or entecavir), </w:t>
      </w:r>
      <w:r w:rsidR="00FE25FB">
        <w:rPr>
          <w:sz w:val="24"/>
          <w:szCs w:val="24"/>
        </w:rPr>
        <w:t>d</w:t>
      </w:r>
      <w:r w:rsidRPr="007D545F">
        <w:rPr>
          <w:sz w:val="24"/>
          <w:szCs w:val="24"/>
        </w:rPr>
        <w:t xml:space="preserve">irect acting antivirals against hepatitis C and steroids for eligible </w:t>
      </w:r>
      <w:r w:rsidR="00FE25FB" w:rsidRPr="007D545F">
        <w:rPr>
          <w:sz w:val="24"/>
          <w:szCs w:val="24"/>
        </w:rPr>
        <w:t>autoimmune</w:t>
      </w:r>
      <w:r w:rsidRPr="007D545F">
        <w:rPr>
          <w:sz w:val="24"/>
          <w:szCs w:val="24"/>
        </w:rPr>
        <w:t xml:space="preserve"> hepatitis.</w:t>
      </w:r>
    </w:p>
    <w:p w14:paraId="62DF0D23" w14:textId="50E64DD5" w:rsidR="000772B9" w:rsidRPr="00BB5180" w:rsidRDefault="000772B9" w:rsidP="00BB5180">
      <w:pPr>
        <w:pStyle w:val="ListParagraph"/>
        <w:numPr>
          <w:ilvl w:val="0"/>
          <w:numId w:val="1"/>
        </w:numPr>
        <w:spacing w:line="480" w:lineRule="auto"/>
        <w:rPr>
          <w:sz w:val="24"/>
          <w:szCs w:val="24"/>
        </w:rPr>
      </w:pPr>
      <w:r w:rsidRPr="007D545F">
        <w:rPr>
          <w:sz w:val="24"/>
          <w:szCs w:val="24"/>
        </w:rPr>
        <w:t xml:space="preserve">Diuretics – All patients with moderate or gross ascites were given diuretics which included a combination of furosemide and spironolactone. </w:t>
      </w:r>
    </w:p>
    <w:p w14:paraId="13932A47" w14:textId="2D90941B" w:rsidR="00BB5180" w:rsidRPr="00BB5180" w:rsidRDefault="00BB5180" w:rsidP="00BB5180">
      <w:pPr>
        <w:pStyle w:val="ListParagraph"/>
        <w:numPr>
          <w:ilvl w:val="0"/>
          <w:numId w:val="1"/>
        </w:numPr>
        <w:spacing w:line="480" w:lineRule="auto"/>
        <w:rPr>
          <w:sz w:val="24"/>
          <w:szCs w:val="24"/>
        </w:rPr>
      </w:pPr>
      <w:r>
        <w:rPr>
          <w:sz w:val="24"/>
          <w:szCs w:val="24"/>
        </w:rPr>
        <w:t>Esophageal variceal screening – All patients who had mean liver stiffness &gt;20kPa and platelets &lt;1,50,000/mm3 underwent gastroscopy for screening of varcies. All aptients who had undergone variceal screening previously underwent surveillance as per Baveno VI recommendations.</w:t>
      </w:r>
      <w:r>
        <w:rPr>
          <w:sz w:val="24"/>
          <w:szCs w:val="24"/>
        </w:rPr>
        <w:fldChar w:fldCharType="begin"/>
      </w:r>
      <w:r>
        <w:rPr>
          <w:sz w:val="24"/>
          <w:szCs w:val="24"/>
        </w:rPr>
        <w:instrText xml:space="preserve"> ADDIN ZOTERO_ITEM CSL_CITATION {"citationID":"IZCh4AVa","properties":{"formattedCitation":"\\super 5\\nosupersub{}","plainCitation":"5","noteIndex":0},"citationItems":[{"id":3607,"uris":["http://zotero.org/users/local/R8k0JasP/items/MHLR2U4B"],"uri":["http://zotero.org/users/local/R8k0JasP/items/MHLR2U4B"],"itemData":{"id":3607,"type":"article-journal","abstract":"Portal hypertension is the haemodynamic abnormality associated with the most severe\ncomplications of cirrhosis, including ascites, hepatic encephalopathy and bleeding\nfrom gastroesophageal varices. Variceal bleeding is a medical emergency associated\nwith a mortality that, in spite of recent progress, is still in the order of 10–20%\nat 6weeks. The evaluation of diagnostic tools and the design and conduct of good clinical\ntrials for the treatment of portal hypertension have always been difficult. Awareness\nof these difficulties has led to the organisation of a series of consensus meetings.","container-title":"Journal of Hepatology","DOI":"10.1016/j.jhep.2015.05.022","ISSN":"0168-8278, 1600-0641","issue":"3","journalAbbreviation":"Journal of Hepatology","language":"English","note":"publisher: Elsevier\nPMID: 26047908","page":"743-752","source":"www.journal-of-hepatology.eu","title":"Expanding consensus in portal hypertension: Report of the Baveno VI Consensus Workshop: Stratifying risk and individualizing care for portal hypertension","title-short":"Expanding consensus in portal hypertension","volume":"63","author":[{"family":"Franchis","given":"Roberto","dropping-particle":"de"}],"issued":{"date-parts":[["2015",9,1]]}}}],"schema":"https://github.com/citation-style-language/schema/raw/master/csl-citation.json"} </w:instrText>
      </w:r>
      <w:r>
        <w:rPr>
          <w:sz w:val="24"/>
          <w:szCs w:val="24"/>
        </w:rPr>
        <w:fldChar w:fldCharType="separate"/>
      </w:r>
      <w:r w:rsidRPr="00BB5180">
        <w:rPr>
          <w:sz w:val="24"/>
          <w:szCs w:val="24"/>
          <w:vertAlign w:val="superscript"/>
        </w:rPr>
        <w:t>5</w:t>
      </w:r>
      <w:r>
        <w:rPr>
          <w:sz w:val="24"/>
          <w:szCs w:val="24"/>
        </w:rPr>
        <w:fldChar w:fldCharType="end"/>
      </w:r>
      <w:r>
        <w:rPr>
          <w:sz w:val="24"/>
          <w:szCs w:val="24"/>
        </w:rPr>
        <w:t xml:space="preserve"> </w:t>
      </w:r>
    </w:p>
    <w:p w14:paraId="20F0A6E8" w14:textId="7442E793" w:rsidR="000772B9" w:rsidRPr="00BB5180" w:rsidRDefault="000772B9" w:rsidP="00BB5180">
      <w:pPr>
        <w:pStyle w:val="ListParagraph"/>
        <w:numPr>
          <w:ilvl w:val="0"/>
          <w:numId w:val="1"/>
        </w:numPr>
        <w:spacing w:line="480" w:lineRule="auto"/>
        <w:rPr>
          <w:sz w:val="24"/>
          <w:szCs w:val="24"/>
        </w:rPr>
      </w:pPr>
      <w:r w:rsidRPr="007D545F">
        <w:rPr>
          <w:sz w:val="24"/>
          <w:szCs w:val="24"/>
        </w:rPr>
        <w:t xml:space="preserve">Prophylaxis </w:t>
      </w:r>
      <w:r w:rsidR="00FE25FB">
        <w:rPr>
          <w:sz w:val="24"/>
          <w:szCs w:val="24"/>
        </w:rPr>
        <w:t xml:space="preserve">for variceal </w:t>
      </w:r>
      <w:r w:rsidRPr="007D545F">
        <w:rPr>
          <w:sz w:val="24"/>
          <w:szCs w:val="24"/>
        </w:rPr>
        <w:t xml:space="preserve">bleeding – All patients who </w:t>
      </w:r>
      <w:r w:rsidR="00FE25FB">
        <w:rPr>
          <w:sz w:val="24"/>
          <w:szCs w:val="24"/>
        </w:rPr>
        <w:t>had</w:t>
      </w:r>
      <w:r w:rsidR="00FE25FB" w:rsidRPr="007D545F">
        <w:rPr>
          <w:sz w:val="24"/>
          <w:szCs w:val="24"/>
        </w:rPr>
        <w:t xml:space="preserve"> </w:t>
      </w:r>
      <w:r w:rsidRPr="007D545F">
        <w:rPr>
          <w:sz w:val="24"/>
          <w:szCs w:val="24"/>
        </w:rPr>
        <w:t>high</w:t>
      </w:r>
      <w:r w:rsidR="00FE25FB">
        <w:rPr>
          <w:sz w:val="24"/>
          <w:szCs w:val="24"/>
        </w:rPr>
        <w:t>-</w:t>
      </w:r>
      <w:r w:rsidRPr="007D545F">
        <w:rPr>
          <w:sz w:val="24"/>
          <w:szCs w:val="24"/>
        </w:rPr>
        <w:t xml:space="preserve">risk </w:t>
      </w:r>
      <w:proofErr w:type="gramStart"/>
      <w:r w:rsidRPr="007D545F">
        <w:rPr>
          <w:sz w:val="24"/>
          <w:szCs w:val="24"/>
        </w:rPr>
        <w:t>varices</w:t>
      </w:r>
      <w:proofErr w:type="gramEnd"/>
      <w:r w:rsidRPr="007D545F">
        <w:rPr>
          <w:sz w:val="24"/>
          <w:szCs w:val="24"/>
        </w:rPr>
        <w:t xml:space="preserve"> but no prior history of bleed received beta blockers unless contraindicated. In case of prior history of bleed, a combination of endotherapy and beta blockers was </w:t>
      </w:r>
      <w:r w:rsidR="00FE25FB">
        <w:rPr>
          <w:sz w:val="24"/>
          <w:szCs w:val="24"/>
        </w:rPr>
        <w:t>prescribed</w:t>
      </w:r>
      <w:r w:rsidR="00FE25FB" w:rsidRPr="007D545F">
        <w:rPr>
          <w:sz w:val="24"/>
          <w:szCs w:val="24"/>
        </w:rPr>
        <w:t xml:space="preserve"> </w:t>
      </w:r>
      <w:r w:rsidRPr="007D545F">
        <w:rPr>
          <w:sz w:val="24"/>
          <w:szCs w:val="24"/>
        </w:rPr>
        <w:t xml:space="preserve">to prevent </w:t>
      </w:r>
      <w:proofErr w:type="gramStart"/>
      <w:r w:rsidR="00FE25FB">
        <w:rPr>
          <w:sz w:val="24"/>
          <w:szCs w:val="24"/>
        </w:rPr>
        <w:t>re</w:t>
      </w:r>
      <w:r w:rsidRPr="007D545F">
        <w:rPr>
          <w:sz w:val="24"/>
          <w:szCs w:val="24"/>
        </w:rPr>
        <w:t>bleed</w:t>
      </w:r>
      <w:proofErr w:type="gramEnd"/>
    </w:p>
    <w:p w14:paraId="5B6EC60E" w14:textId="1B6EB37A" w:rsidR="00BB5180" w:rsidRPr="00BB5180" w:rsidRDefault="000772B9" w:rsidP="00BB5180">
      <w:pPr>
        <w:pStyle w:val="ListParagraph"/>
        <w:numPr>
          <w:ilvl w:val="0"/>
          <w:numId w:val="1"/>
        </w:numPr>
        <w:spacing w:line="480" w:lineRule="auto"/>
        <w:rPr>
          <w:sz w:val="24"/>
          <w:szCs w:val="24"/>
        </w:rPr>
      </w:pPr>
      <w:r w:rsidRPr="007D545F">
        <w:rPr>
          <w:sz w:val="24"/>
          <w:szCs w:val="24"/>
        </w:rPr>
        <w:t xml:space="preserve">Hepatic encephalopathy – Those patients with history of overt hepatic encephalopathy received </w:t>
      </w:r>
      <w:r w:rsidR="00FE25FB">
        <w:rPr>
          <w:sz w:val="24"/>
          <w:szCs w:val="24"/>
        </w:rPr>
        <w:t>l</w:t>
      </w:r>
      <w:r w:rsidRPr="007D545F">
        <w:rPr>
          <w:sz w:val="24"/>
          <w:szCs w:val="24"/>
        </w:rPr>
        <w:t xml:space="preserve">actulose and rifaximin for secondary prophylaxis. </w:t>
      </w:r>
    </w:p>
    <w:p w14:paraId="6B97B25B" w14:textId="57B23F45" w:rsidR="000772B9" w:rsidRDefault="00BB5180" w:rsidP="000772B9">
      <w:pPr>
        <w:pStyle w:val="ListParagraph"/>
        <w:numPr>
          <w:ilvl w:val="0"/>
          <w:numId w:val="1"/>
        </w:numPr>
        <w:spacing w:line="480" w:lineRule="auto"/>
        <w:rPr>
          <w:sz w:val="24"/>
          <w:szCs w:val="24"/>
        </w:rPr>
      </w:pPr>
      <w:r>
        <w:rPr>
          <w:sz w:val="24"/>
          <w:szCs w:val="24"/>
        </w:rPr>
        <w:t>S</w:t>
      </w:r>
      <w:r w:rsidR="000772B9" w:rsidRPr="007D545F">
        <w:rPr>
          <w:sz w:val="24"/>
          <w:szCs w:val="24"/>
        </w:rPr>
        <w:t>urveillance</w:t>
      </w:r>
      <w:r>
        <w:rPr>
          <w:sz w:val="24"/>
          <w:szCs w:val="24"/>
        </w:rPr>
        <w:t xml:space="preserve"> for hepatocellular carcinoma</w:t>
      </w:r>
      <w:r w:rsidR="000772B9" w:rsidRPr="007D545F">
        <w:rPr>
          <w:sz w:val="24"/>
          <w:szCs w:val="24"/>
        </w:rPr>
        <w:t xml:space="preserve"> – Patients were screened for hepatocellular carcinoma with 6 monthly </w:t>
      </w:r>
      <w:r w:rsidR="00FE25FB">
        <w:rPr>
          <w:sz w:val="24"/>
          <w:szCs w:val="24"/>
        </w:rPr>
        <w:t xml:space="preserve">abdominal </w:t>
      </w:r>
      <w:r w:rsidR="000772B9" w:rsidRPr="007D545F">
        <w:rPr>
          <w:sz w:val="24"/>
          <w:szCs w:val="24"/>
        </w:rPr>
        <w:t xml:space="preserve">ultrasonography and </w:t>
      </w:r>
      <w:r w:rsidR="00FE25FB">
        <w:rPr>
          <w:sz w:val="24"/>
          <w:szCs w:val="24"/>
        </w:rPr>
        <w:t xml:space="preserve">serum </w:t>
      </w:r>
      <w:r w:rsidR="000772B9" w:rsidRPr="007D545F">
        <w:rPr>
          <w:sz w:val="24"/>
          <w:szCs w:val="24"/>
        </w:rPr>
        <w:t>alfa-feto protein</w:t>
      </w:r>
      <w:r w:rsidR="00FE25FB">
        <w:rPr>
          <w:sz w:val="24"/>
          <w:szCs w:val="24"/>
        </w:rPr>
        <w:t xml:space="preserve"> level</w:t>
      </w:r>
      <w:r w:rsidR="000772B9" w:rsidRPr="007D545F">
        <w:rPr>
          <w:sz w:val="24"/>
          <w:szCs w:val="24"/>
        </w:rPr>
        <w:t xml:space="preserve">. </w:t>
      </w:r>
    </w:p>
    <w:p w14:paraId="1ECA1D20" w14:textId="645D540D" w:rsidR="00BB5180" w:rsidRDefault="00BB5180" w:rsidP="000772B9">
      <w:pPr>
        <w:pStyle w:val="ListParagraph"/>
        <w:numPr>
          <w:ilvl w:val="0"/>
          <w:numId w:val="1"/>
        </w:numPr>
        <w:spacing w:line="480" w:lineRule="auto"/>
        <w:rPr>
          <w:sz w:val="24"/>
          <w:szCs w:val="24"/>
        </w:rPr>
      </w:pPr>
      <w:r>
        <w:rPr>
          <w:sz w:val="24"/>
          <w:szCs w:val="24"/>
        </w:rPr>
        <w:t xml:space="preserve">All hepatotoxic medications and complementary/alternate medications which were potentially hepatotoxic were </w:t>
      </w:r>
      <w:proofErr w:type="gramStart"/>
      <w:r>
        <w:rPr>
          <w:sz w:val="24"/>
          <w:szCs w:val="24"/>
        </w:rPr>
        <w:t>stopped</w:t>
      </w:r>
      <w:proofErr w:type="gramEnd"/>
    </w:p>
    <w:p w14:paraId="6B6E6E02" w14:textId="77777777" w:rsidR="00BB5180" w:rsidRPr="007D545F" w:rsidRDefault="00BB5180" w:rsidP="00BB5180">
      <w:pPr>
        <w:pStyle w:val="ListParagraph"/>
        <w:spacing w:line="480" w:lineRule="auto"/>
        <w:rPr>
          <w:sz w:val="24"/>
          <w:szCs w:val="24"/>
        </w:rPr>
      </w:pPr>
    </w:p>
    <w:p w14:paraId="35A250C9" w14:textId="4EDF4D8D" w:rsidR="000772B9" w:rsidRDefault="000772B9" w:rsidP="000772B9">
      <w:pPr>
        <w:pStyle w:val="ListParagraph"/>
        <w:spacing w:line="480" w:lineRule="auto"/>
        <w:rPr>
          <w:b/>
          <w:sz w:val="24"/>
          <w:szCs w:val="24"/>
        </w:rPr>
      </w:pPr>
    </w:p>
    <w:p w14:paraId="67AEF58F" w14:textId="77777777" w:rsidR="00BB5180" w:rsidRPr="007D545F" w:rsidRDefault="00BB5180" w:rsidP="000772B9">
      <w:pPr>
        <w:pStyle w:val="ListParagraph"/>
        <w:spacing w:line="480" w:lineRule="auto"/>
        <w:rPr>
          <w:b/>
          <w:sz w:val="24"/>
          <w:szCs w:val="24"/>
        </w:rPr>
      </w:pPr>
    </w:p>
    <w:p w14:paraId="2F01EF16" w14:textId="77777777" w:rsidR="000772B9" w:rsidRPr="007D545F" w:rsidRDefault="000772B9" w:rsidP="000772B9">
      <w:pPr>
        <w:pStyle w:val="ListParagraph"/>
        <w:spacing w:line="480" w:lineRule="auto"/>
        <w:rPr>
          <w:b/>
          <w:sz w:val="24"/>
          <w:szCs w:val="24"/>
        </w:rPr>
      </w:pPr>
    </w:p>
    <w:p w14:paraId="13EF8752" w14:textId="77777777" w:rsidR="000772B9" w:rsidRPr="007D545F" w:rsidRDefault="000772B9" w:rsidP="000772B9">
      <w:pPr>
        <w:pStyle w:val="ListParagraph"/>
        <w:spacing w:line="480" w:lineRule="auto"/>
        <w:rPr>
          <w:b/>
          <w:sz w:val="24"/>
          <w:szCs w:val="24"/>
        </w:rPr>
      </w:pPr>
    </w:p>
    <w:p w14:paraId="48B8735D" w14:textId="77777777" w:rsidR="000C3E04" w:rsidRPr="007D545F" w:rsidRDefault="000C3E04" w:rsidP="000772B9">
      <w:pPr>
        <w:rPr>
          <w:rFonts w:ascii="Times New Roman" w:hAnsi="Times New Roman" w:cs="Times New Roman"/>
          <w:b/>
          <w:sz w:val="24"/>
          <w:szCs w:val="24"/>
        </w:rPr>
      </w:pPr>
    </w:p>
    <w:p w14:paraId="74EAE947" w14:textId="77777777" w:rsidR="00BB5180" w:rsidRDefault="000772B9" w:rsidP="000772B9">
      <w:pPr>
        <w:rPr>
          <w:rFonts w:ascii="Times New Roman" w:hAnsi="Times New Roman" w:cs="Times New Roman"/>
          <w:b/>
          <w:sz w:val="24"/>
          <w:szCs w:val="24"/>
        </w:rPr>
      </w:pPr>
      <w:r w:rsidRPr="007D545F">
        <w:rPr>
          <w:rFonts w:ascii="Times New Roman" w:hAnsi="Times New Roman" w:cs="Times New Roman"/>
          <w:b/>
          <w:sz w:val="24"/>
          <w:szCs w:val="24"/>
        </w:rPr>
        <w:t xml:space="preserve"> </w:t>
      </w:r>
    </w:p>
    <w:p w14:paraId="5031136C" w14:textId="6D266483" w:rsidR="000772B9" w:rsidRPr="007D545F" w:rsidRDefault="000772B9" w:rsidP="000772B9">
      <w:pPr>
        <w:rPr>
          <w:rFonts w:ascii="Times New Roman" w:hAnsi="Times New Roman" w:cs="Times New Roman"/>
          <w:b/>
          <w:sz w:val="24"/>
          <w:szCs w:val="24"/>
        </w:rPr>
      </w:pPr>
      <w:r w:rsidRPr="007D545F">
        <w:rPr>
          <w:rFonts w:ascii="Times New Roman" w:hAnsi="Times New Roman" w:cs="Times New Roman"/>
          <w:b/>
          <w:sz w:val="24"/>
          <w:szCs w:val="24"/>
        </w:rPr>
        <w:t xml:space="preserve">Supplementary table 1: Composition of sachet containing </w:t>
      </w:r>
      <w:r w:rsidR="00FE25FB">
        <w:rPr>
          <w:rFonts w:ascii="Times New Roman" w:hAnsi="Times New Roman" w:cs="Times New Roman"/>
          <w:b/>
          <w:sz w:val="24"/>
          <w:szCs w:val="24"/>
        </w:rPr>
        <w:t>b</w:t>
      </w:r>
      <w:r w:rsidRPr="007D545F">
        <w:rPr>
          <w:rFonts w:ascii="Times New Roman" w:hAnsi="Times New Roman" w:cs="Times New Roman"/>
          <w:b/>
          <w:sz w:val="24"/>
          <w:szCs w:val="24"/>
        </w:rPr>
        <w:t xml:space="preserve">ranched chain amino </w:t>
      </w:r>
      <w:proofErr w:type="gramStart"/>
      <w:r w:rsidRPr="007D545F">
        <w:rPr>
          <w:rFonts w:ascii="Times New Roman" w:hAnsi="Times New Roman" w:cs="Times New Roman"/>
          <w:b/>
          <w:sz w:val="24"/>
          <w:szCs w:val="24"/>
        </w:rPr>
        <w:t>acids</w:t>
      </w:r>
      <w:proofErr w:type="gramEnd"/>
    </w:p>
    <w:tbl>
      <w:tblPr>
        <w:tblStyle w:val="TableGrid"/>
        <w:tblpPr w:leftFromText="180" w:rightFromText="180" w:vertAnchor="page" w:horzAnchor="margin" w:tblpXSpec="center" w:tblpY="3105"/>
        <w:tblW w:w="0" w:type="auto"/>
        <w:tblLook w:val="04A0" w:firstRow="1" w:lastRow="0" w:firstColumn="1" w:lastColumn="0" w:noHBand="0" w:noVBand="1"/>
      </w:tblPr>
      <w:tblGrid>
        <w:gridCol w:w="4158"/>
        <w:gridCol w:w="2160"/>
      </w:tblGrid>
      <w:tr w:rsidR="000772B9" w:rsidRPr="007D545F" w14:paraId="28B4B10B" w14:textId="77777777" w:rsidTr="00B6329A">
        <w:trPr>
          <w:trHeight w:val="294"/>
        </w:trPr>
        <w:tc>
          <w:tcPr>
            <w:tcW w:w="4158" w:type="dxa"/>
          </w:tcPr>
          <w:p w14:paraId="05C2F147" w14:textId="77777777" w:rsidR="000772B9" w:rsidRPr="007D545F" w:rsidRDefault="000772B9" w:rsidP="00B6329A">
            <w:pPr>
              <w:autoSpaceDE w:val="0"/>
              <w:autoSpaceDN w:val="0"/>
              <w:adjustRightInd w:val="0"/>
              <w:spacing w:after="100"/>
              <w:jc w:val="both"/>
              <w:rPr>
                <w:rFonts w:ascii="Times New Roman" w:hAnsi="Times New Roman" w:cs="Times New Roman"/>
                <w:b/>
                <w:sz w:val="24"/>
                <w:szCs w:val="24"/>
              </w:rPr>
            </w:pPr>
            <w:r w:rsidRPr="007D545F">
              <w:rPr>
                <w:rFonts w:ascii="Times New Roman" w:hAnsi="Times New Roman" w:cs="Times New Roman"/>
                <w:b/>
                <w:sz w:val="24"/>
                <w:szCs w:val="24"/>
              </w:rPr>
              <w:t>Ingredient</w:t>
            </w:r>
          </w:p>
        </w:tc>
        <w:tc>
          <w:tcPr>
            <w:tcW w:w="2160" w:type="dxa"/>
          </w:tcPr>
          <w:p w14:paraId="22AED882" w14:textId="093F8C66" w:rsidR="000772B9" w:rsidRPr="007D545F" w:rsidRDefault="000772B9" w:rsidP="00B6329A">
            <w:pPr>
              <w:autoSpaceDE w:val="0"/>
              <w:autoSpaceDN w:val="0"/>
              <w:adjustRightInd w:val="0"/>
              <w:spacing w:after="100"/>
              <w:rPr>
                <w:rFonts w:ascii="Times New Roman" w:hAnsi="Times New Roman" w:cs="Times New Roman"/>
                <w:b/>
                <w:sz w:val="24"/>
                <w:szCs w:val="24"/>
              </w:rPr>
            </w:pPr>
            <w:r w:rsidRPr="007D545F">
              <w:rPr>
                <w:rFonts w:ascii="Times New Roman" w:hAnsi="Times New Roman" w:cs="Times New Roman"/>
                <w:b/>
                <w:sz w:val="24"/>
                <w:szCs w:val="24"/>
              </w:rPr>
              <w:t>Weight per sachet</w:t>
            </w:r>
            <w:r w:rsidR="00FE25FB">
              <w:rPr>
                <w:rFonts w:ascii="Times New Roman" w:hAnsi="Times New Roman" w:cs="Times New Roman"/>
                <w:b/>
                <w:sz w:val="24"/>
                <w:szCs w:val="24"/>
              </w:rPr>
              <w:t xml:space="preserve"> </w:t>
            </w:r>
            <w:r w:rsidRPr="007D545F">
              <w:rPr>
                <w:rFonts w:ascii="Times New Roman" w:hAnsi="Times New Roman" w:cs="Times New Roman"/>
                <w:b/>
                <w:sz w:val="24"/>
                <w:szCs w:val="24"/>
              </w:rPr>
              <w:t>(mg)</w:t>
            </w:r>
          </w:p>
        </w:tc>
      </w:tr>
      <w:tr w:rsidR="000772B9" w:rsidRPr="007D545F" w14:paraId="61705919" w14:textId="77777777" w:rsidTr="00B6329A">
        <w:trPr>
          <w:trHeight w:val="281"/>
        </w:trPr>
        <w:tc>
          <w:tcPr>
            <w:tcW w:w="4158" w:type="dxa"/>
          </w:tcPr>
          <w:p w14:paraId="36F8C737"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L-Leucine</w:t>
            </w:r>
          </w:p>
        </w:tc>
        <w:tc>
          <w:tcPr>
            <w:tcW w:w="2160" w:type="dxa"/>
          </w:tcPr>
          <w:p w14:paraId="00FF691E"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2760</w:t>
            </w:r>
          </w:p>
        </w:tc>
      </w:tr>
      <w:tr w:rsidR="000772B9" w:rsidRPr="007D545F" w14:paraId="5354F15A" w14:textId="77777777" w:rsidTr="00B6329A">
        <w:trPr>
          <w:trHeight w:val="281"/>
        </w:trPr>
        <w:tc>
          <w:tcPr>
            <w:tcW w:w="4158" w:type="dxa"/>
          </w:tcPr>
          <w:p w14:paraId="2E16EC93"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L -Isoleucine</w:t>
            </w:r>
          </w:p>
        </w:tc>
        <w:tc>
          <w:tcPr>
            <w:tcW w:w="2160" w:type="dxa"/>
          </w:tcPr>
          <w:p w14:paraId="407E9633"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1920</w:t>
            </w:r>
          </w:p>
        </w:tc>
      </w:tr>
      <w:tr w:rsidR="000772B9" w:rsidRPr="007D545F" w14:paraId="60A78BC7" w14:textId="77777777" w:rsidTr="00B6329A">
        <w:trPr>
          <w:trHeight w:val="281"/>
        </w:trPr>
        <w:tc>
          <w:tcPr>
            <w:tcW w:w="4158" w:type="dxa"/>
          </w:tcPr>
          <w:p w14:paraId="7CBBE6D4"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L-Valine</w:t>
            </w:r>
          </w:p>
        </w:tc>
        <w:tc>
          <w:tcPr>
            <w:tcW w:w="2160" w:type="dxa"/>
          </w:tcPr>
          <w:p w14:paraId="4F934AC0"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1656</w:t>
            </w:r>
          </w:p>
        </w:tc>
      </w:tr>
      <w:tr w:rsidR="000772B9" w:rsidRPr="007D545F" w14:paraId="3AB05720" w14:textId="77777777" w:rsidTr="00B6329A">
        <w:trPr>
          <w:trHeight w:val="294"/>
        </w:trPr>
        <w:tc>
          <w:tcPr>
            <w:tcW w:w="4158" w:type="dxa"/>
          </w:tcPr>
          <w:p w14:paraId="16AA3DF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Sucralose</w:t>
            </w:r>
          </w:p>
        </w:tc>
        <w:tc>
          <w:tcPr>
            <w:tcW w:w="2160" w:type="dxa"/>
          </w:tcPr>
          <w:p w14:paraId="1C17089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5</w:t>
            </w:r>
          </w:p>
        </w:tc>
      </w:tr>
      <w:tr w:rsidR="000772B9" w:rsidRPr="007D545F" w14:paraId="3FF27500" w14:textId="77777777" w:rsidTr="00B6329A">
        <w:trPr>
          <w:trHeight w:val="281"/>
        </w:trPr>
        <w:tc>
          <w:tcPr>
            <w:tcW w:w="4158" w:type="dxa"/>
          </w:tcPr>
          <w:p w14:paraId="1A0B4629"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Sodium starch glycolate</w:t>
            </w:r>
          </w:p>
        </w:tc>
        <w:tc>
          <w:tcPr>
            <w:tcW w:w="2160" w:type="dxa"/>
          </w:tcPr>
          <w:p w14:paraId="3D8F5D13"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66.8</w:t>
            </w:r>
          </w:p>
        </w:tc>
      </w:tr>
      <w:tr w:rsidR="000772B9" w:rsidRPr="007D545F" w14:paraId="37490F9B" w14:textId="77777777" w:rsidTr="00B6329A">
        <w:trPr>
          <w:trHeight w:val="281"/>
        </w:trPr>
        <w:tc>
          <w:tcPr>
            <w:tcW w:w="4158" w:type="dxa"/>
          </w:tcPr>
          <w:p w14:paraId="537F4555"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 xml:space="preserve">MCCP </w:t>
            </w:r>
          </w:p>
          <w:p w14:paraId="5493C0E5"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w:t>
            </w:r>
            <w:proofErr w:type="gramStart"/>
            <w:r w:rsidRPr="007D545F">
              <w:rPr>
                <w:rFonts w:ascii="Times New Roman" w:hAnsi="Times New Roman" w:cs="Times New Roman"/>
                <w:sz w:val="24"/>
                <w:szCs w:val="24"/>
              </w:rPr>
              <w:t>microcrystalline</w:t>
            </w:r>
            <w:proofErr w:type="gramEnd"/>
            <w:r w:rsidRPr="007D545F">
              <w:rPr>
                <w:rFonts w:ascii="Times New Roman" w:hAnsi="Times New Roman" w:cs="Times New Roman"/>
                <w:sz w:val="24"/>
                <w:szCs w:val="24"/>
              </w:rPr>
              <w:t xml:space="preserve"> cellulose powder)</w:t>
            </w:r>
          </w:p>
        </w:tc>
        <w:tc>
          <w:tcPr>
            <w:tcW w:w="2160" w:type="dxa"/>
          </w:tcPr>
          <w:p w14:paraId="435BE410"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500</w:t>
            </w:r>
          </w:p>
        </w:tc>
      </w:tr>
      <w:tr w:rsidR="000772B9" w:rsidRPr="007D545F" w14:paraId="56812AE9" w14:textId="77777777" w:rsidTr="00B6329A">
        <w:trPr>
          <w:trHeight w:val="281"/>
        </w:trPr>
        <w:tc>
          <w:tcPr>
            <w:tcW w:w="4158" w:type="dxa"/>
          </w:tcPr>
          <w:p w14:paraId="08E88654"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Aerosil</w:t>
            </w:r>
          </w:p>
        </w:tc>
        <w:tc>
          <w:tcPr>
            <w:tcW w:w="2160" w:type="dxa"/>
          </w:tcPr>
          <w:p w14:paraId="5B75EFE6"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16</w:t>
            </w:r>
          </w:p>
        </w:tc>
      </w:tr>
      <w:tr w:rsidR="000772B9" w:rsidRPr="007D545F" w14:paraId="45501B37" w14:textId="77777777" w:rsidTr="00B6329A">
        <w:trPr>
          <w:trHeight w:val="294"/>
        </w:trPr>
        <w:tc>
          <w:tcPr>
            <w:tcW w:w="4158" w:type="dxa"/>
          </w:tcPr>
          <w:p w14:paraId="34581D1D"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Starch</w:t>
            </w:r>
          </w:p>
        </w:tc>
        <w:tc>
          <w:tcPr>
            <w:tcW w:w="2160" w:type="dxa"/>
          </w:tcPr>
          <w:p w14:paraId="3361ADAA"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1670</w:t>
            </w:r>
          </w:p>
        </w:tc>
      </w:tr>
      <w:tr w:rsidR="000772B9" w:rsidRPr="007D545F" w14:paraId="4487F38C" w14:textId="77777777" w:rsidTr="00B6329A">
        <w:trPr>
          <w:trHeight w:val="281"/>
        </w:trPr>
        <w:tc>
          <w:tcPr>
            <w:tcW w:w="4158" w:type="dxa"/>
          </w:tcPr>
          <w:p w14:paraId="2D30D942"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Lactose</w:t>
            </w:r>
          </w:p>
        </w:tc>
        <w:tc>
          <w:tcPr>
            <w:tcW w:w="2160" w:type="dxa"/>
          </w:tcPr>
          <w:p w14:paraId="460B8F5E"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1060</w:t>
            </w:r>
          </w:p>
        </w:tc>
      </w:tr>
      <w:tr w:rsidR="000772B9" w:rsidRPr="007D545F" w14:paraId="21928F5B" w14:textId="77777777" w:rsidTr="00B6329A">
        <w:trPr>
          <w:trHeight w:val="294"/>
        </w:trPr>
        <w:tc>
          <w:tcPr>
            <w:tcW w:w="4158" w:type="dxa"/>
          </w:tcPr>
          <w:p w14:paraId="2E97190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Orange flavour</w:t>
            </w:r>
          </w:p>
        </w:tc>
        <w:tc>
          <w:tcPr>
            <w:tcW w:w="2160" w:type="dxa"/>
          </w:tcPr>
          <w:p w14:paraId="75A6F85A"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770</w:t>
            </w:r>
          </w:p>
        </w:tc>
      </w:tr>
    </w:tbl>
    <w:p w14:paraId="0E9256E0" w14:textId="77777777" w:rsidR="000772B9" w:rsidRPr="007D545F" w:rsidRDefault="000772B9" w:rsidP="000772B9">
      <w:pPr>
        <w:rPr>
          <w:rFonts w:ascii="Times New Roman" w:hAnsi="Times New Roman" w:cs="Times New Roman"/>
          <w:b/>
          <w:sz w:val="24"/>
          <w:szCs w:val="24"/>
        </w:rPr>
      </w:pPr>
    </w:p>
    <w:p w14:paraId="1F1B876C" w14:textId="77777777" w:rsidR="000772B9" w:rsidRPr="007D545F" w:rsidRDefault="000772B9" w:rsidP="000772B9">
      <w:pPr>
        <w:rPr>
          <w:rFonts w:ascii="Times New Roman" w:hAnsi="Times New Roman" w:cs="Times New Roman"/>
          <w:b/>
          <w:sz w:val="24"/>
          <w:szCs w:val="24"/>
        </w:rPr>
      </w:pPr>
    </w:p>
    <w:p w14:paraId="7E270EFA" w14:textId="77777777" w:rsidR="000772B9" w:rsidRPr="007D545F" w:rsidRDefault="000772B9" w:rsidP="000772B9">
      <w:pPr>
        <w:rPr>
          <w:rFonts w:ascii="Times New Roman" w:hAnsi="Times New Roman" w:cs="Times New Roman"/>
          <w:b/>
          <w:sz w:val="24"/>
          <w:szCs w:val="24"/>
        </w:rPr>
      </w:pPr>
    </w:p>
    <w:p w14:paraId="3B76775E" w14:textId="77777777" w:rsidR="000772B9" w:rsidRPr="007D545F" w:rsidRDefault="000772B9" w:rsidP="000772B9">
      <w:pPr>
        <w:rPr>
          <w:rFonts w:ascii="Times New Roman" w:hAnsi="Times New Roman" w:cs="Times New Roman"/>
          <w:b/>
          <w:sz w:val="24"/>
          <w:szCs w:val="24"/>
        </w:rPr>
      </w:pPr>
    </w:p>
    <w:p w14:paraId="4ACE3660" w14:textId="77777777" w:rsidR="000772B9" w:rsidRPr="007D545F" w:rsidRDefault="000772B9" w:rsidP="000772B9">
      <w:pPr>
        <w:rPr>
          <w:rFonts w:ascii="Times New Roman" w:hAnsi="Times New Roman" w:cs="Times New Roman"/>
          <w:b/>
          <w:sz w:val="24"/>
          <w:szCs w:val="24"/>
        </w:rPr>
      </w:pPr>
    </w:p>
    <w:p w14:paraId="6408E9EC" w14:textId="77777777" w:rsidR="000772B9" w:rsidRPr="007D545F" w:rsidRDefault="000772B9" w:rsidP="000772B9">
      <w:pPr>
        <w:rPr>
          <w:rFonts w:ascii="Times New Roman" w:hAnsi="Times New Roman" w:cs="Times New Roman"/>
          <w:b/>
          <w:sz w:val="24"/>
          <w:szCs w:val="24"/>
        </w:rPr>
      </w:pPr>
    </w:p>
    <w:p w14:paraId="4502F5E6" w14:textId="77777777" w:rsidR="000772B9" w:rsidRPr="007D545F" w:rsidRDefault="000772B9" w:rsidP="000772B9">
      <w:pPr>
        <w:rPr>
          <w:rFonts w:ascii="Times New Roman" w:hAnsi="Times New Roman" w:cs="Times New Roman"/>
          <w:b/>
          <w:sz w:val="24"/>
          <w:szCs w:val="24"/>
        </w:rPr>
      </w:pPr>
    </w:p>
    <w:p w14:paraId="1DA0595D" w14:textId="77777777" w:rsidR="000772B9" w:rsidRPr="007D545F" w:rsidRDefault="000772B9" w:rsidP="000772B9">
      <w:pPr>
        <w:rPr>
          <w:rFonts w:ascii="Times New Roman" w:hAnsi="Times New Roman" w:cs="Times New Roman"/>
          <w:b/>
          <w:sz w:val="24"/>
          <w:szCs w:val="24"/>
        </w:rPr>
      </w:pPr>
    </w:p>
    <w:p w14:paraId="2B911256" w14:textId="77777777" w:rsidR="000772B9" w:rsidRPr="007D545F" w:rsidRDefault="000772B9" w:rsidP="000772B9">
      <w:pPr>
        <w:rPr>
          <w:rFonts w:ascii="Times New Roman" w:hAnsi="Times New Roman" w:cs="Times New Roman"/>
          <w:b/>
          <w:sz w:val="24"/>
          <w:szCs w:val="24"/>
        </w:rPr>
      </w:pPr>
    </w:p>
    <w:p w14:paraId="77794701" w14:textId="77777777" w:rsidR="000772B9" w:rsidRPr="007D545F" w:rsidRDefault="000772B9" w:rsidP="000772B9">
      <w:pPr>
        <w:rPr>
          <w:rFonts w:ascii="Times New Roman" w:hAnsi="Times New Roman" w:cs="Times New Roman"/>
          <w:b/>
          <w:sz w:val="24"/>
          <w:szCs w:val="24"/>
        </w:rPr>
      </w:pPr>
    </w:p>
    <w:p w14:paraId="02A5E26F" w14:textId="77777777" w:rsidR="000772B9" w:rsidRPr="007D545F" w:rsidRDefault="000772B9" w:rsidP="000772B9">
      <w:pPr>
        <w:rPr>
          <w:rFonts w:ascii="Times New Roman" w:hAnsi="Times New Roman" w:cs="Times New Roman"/>
          <w:b/>
          <w:sz w:val="24"/>
          <w:szCs w:val="24"/>
        </w:rPr>
      </w:pPr>
    </w:p>
    <w:p w14:paraId="30EC738C" w14:textId="77777777" w:rsidR="000772B9" w:rsidRPr="007D545F" w:rsidRDefault="000772B9" w:rsidP="000772B9">
      <w:pPr>
        <w:rPr>
          <w:rFonts w:ascii="Times New Roman" w:hAnsi="Times New Roman" w:cs="Times New Roman"/>
          <w:b/>
          <w:sz w:val="24"/>
          <w:szCs w:val="24"/>
        </w:rPr>
      </w:pPr>
    </w:p>
    <w:p w14:paraId="7A1996AD" w14:textId="77777777" w:rsidR="000772B9" w:rsidRPr="007D545F" w:rsidRDefault="000772B9" w:rsidP="000772B9">
      <w:pPr>
        <w:rPr>
          <w:rFonts w:ascii="Times New Roman" w:hAnsi="Times New Roman" w:cs="Times New Roman"/>
          <w:b/>
          <w:sz w:val="24"/>
          <w:szCs w:val="24"/>
        </w:rPr>
      </w:pPr>
    </w:p>
    <w:p w14:paraId="42B6735E" w14:textId="77777777" w:rsidR="000772B9" w:rsidRPr="007D545F" w:rsidRDefault="000772B9" w:rsidP="000772B9">
      <w:pPr>
        <w:rPr>
          <w:rFonts w:ascii="Times New Roman" w:hAnsi="Times New Roman" w:cs="Times New Roman"/>
          <w:b/>
          <w:sz w:val="24"/>
          <w:szCs w:val="24"/>
        </w:rPr>
      </w:pPr>
    </w:p>
    <w:p w14:paraId="6C74B530" w14:textId="77777777" w:rsidR="000772B9" w:rsidRPr="007D545F" w:rsidRDefault="000772B9" w:rsidP="000772B9">
      <w:pPr>
        <w:rPr>
          <w:rFonts w:ascii="Times New Roman" w:hAnsi="Times New Roman" w:cs="Times New Roman"/>
          <w:b/>
          <w:sz w:val="24"/>
          <w:szCs w:val="24"/>
        </w:rPr>
      </w:pPr>
    </w:p>
    <w:p w14:paraId="5457DCAF" w14:textId="77777777" w:rsidR="000772B9" w:rsidRPr="007D545F" w:rsidRDefault="000772B9" w:rsidP="000772B9">
      <w:pPr>
        <w:rPr>
          <w:rFonts w:ascii="Times New Roman" w:hAnsi="Times New Roman" w:cs="Times New Roman"/>
          <w:b/>
          <w:sz w:val="24"/>
          <w:szCs w:val="24"/>
        </w:rPr>
      </w:pPr>
    </w:p>
    <w:p w14:paraId="49BA154B" w14:textId="77777777" w:rsidR="000772B9" w:rsidRPr="007D545F" w:rsidRDefault="000772B9" w:rsidP="000772B9">
      <w:pPr>
        <w:rPr>
          <w:rFonts w:ascii="Times New Roman" w:hAnsi="Times New Roman" w:cs="Times New Roman"/>
          <w:b/>
          <w:sz w:val="24"/>
          <w:szCs w:val="24"/>
        </w:rPr>
      </w:pPr>
    </w:p>
    <w:p w14:paraId="02CFB16C" w14:textId="77777777" w:rsidR="000772B9" w:rsidRPr="007D545F" w:rsidRDefault="000772B9" w:rsidP="000772B9">
      <w:pPr>
        <w:rPr>
          <w:rFonts w:ascii="Times New Roman" w:hAnsi="Times New Roman" w:cs="Times New Roman"/>
          <w:b/>
          <w:sz w:val="24"/>
          <w:szCs w:val="24"/>
        </w:rPr>
      </w:pPr>
    </w:p>
    <w:p w14:paraId="74D6212C" w14:textId="77777777" w:rsidR="000772B9" w:rsidRPr="007D545F" w:rsidRDefault="000772B9" w:rsidP="000772B9">
      <w:pPr>
        <w:rPr>
          <w:rFonts w:ascii="Times New Roman" w:hAnsi="Times New Roman" w:cs="Times New Roman"/>
          <w:b/>
          <w:sz w:val="24"/>
          <w:szCs w:val="24"/>
        </w:rPr>
      </w:pPr>
    </w:p>
    <w:p w14:paraId="55C383E1" w14:textId="77777777" w:rsidR="000772B9" w:rsidRPr="007D545F" w:rsidRDefault="000772B9" w:rsidP="000772B9">
      <w:pPr>
        <w:rPr>
          <w:rFonts w:ascii="Times New Roman" w:hAnsi="Times New Roman" w:cs="Times New Roman"/>
          <w:b/>
          <w:sz w:val="24"/>
          <w:szCs w:val="24"/>
        </w:rPr>
      </w:pPr>
    </w:p>
    <w:p w14:paraId="48A73910" w14:textId="77777777" w:rsidR="000772B9" w:rsidRPr="007D545F" w:rsidRDefault="000772B9" w:rsidP="000772B9">
      <w:pPr>
        <w:rPr>
          <w:rFonts w:ascii="Times New Roman" w:hAnsi="Times New Roman" w:cs="Times New Roman"/>
          <w:b/>
          <w:sz w:val="24"/>
          <w:szCs w:val="24"/>
        </w:rPr>
      </w:pPr>
    </w:p>
    <w:p w14:paraId="5244EAFC" w14:textId="77777777" w:rsidR="000772B9" w:rsidRPr="007D545F" w:rsidRDefault="000772B9" w:rsidP="000772B9">
      <w:pPr>
        <w:rPr>
          <w:rFonts w:ascii="Times New Roman" w:hAnsi="Times New Roman" w:cs="Times New Roman"/>
          <w:b/>
          <w:sz w:val="24"/>
          <w:szCs w:val="24"/>
        </w:rPr>
      </w:pPr>
    </w:p>
    <w:p w14:paraId="38F7AD06" w14:textId="3CF58706" w:rsidR="000772B9" w:rsidRDefault="000772B9" w:rsidP="000772B9">
      <w:pPr>
        <w:rPr>
          <w:rFonts w:ascii="Times New Roman" w:hAnsi="Times New Roman" w:cs="Times New Roman"/>
          <w:b/>
          <w:sz w:val="24"/>
          <w:szCs w:val="24"/>
        </w:rPr>
      </w:pPr>
    </w:p>
    <w:p w14:paraId="115BBAE7" w14:textId="4E993EAE" w:rsidR="00BE60F7" w:rsidRPr="007D545F" w:rsidRDefault="00581871" w:rsidP="00581871">
      <w:pPr>
        <w:jc w:val="center"/>
        <w:rPr>
          <w:rFonts w:ascii="Times New Roman" w:hAnsi="Times New Roman" w:cs="Times New Roman"/>
          <w:b/>
          <w:sz w:val="24"/>
          <w:szCs w:val="24"/>
        </w:rPr>
      </w:pPr>
      <w:r w:rsidRPr="007D545F">
        <w:rPr>
          <w:rFonts w:ascii="Times New Roman" w:hAnsi="Times New Roman" w:cs="Times New Roman"/>
          <w:b/>
          <w:sz w:val="24"/>
          <w:szCs w:val="24"/>
        </w:rPr>
        <w:t xml:space="preserve">Supplementary table 2: Composition of sachet containing </w:t>
      </w:r>
      <w:proofErr w:type="gramStart"/>
      <w:r w:rsidRPr="007D545F">
        <w:rPr>
          <w:rFonts w:ascii="Times New Roman" w:hAnsi="Times New Roman" w:cs="Times New Roman"/>
          <w:b/>
          <w:sz w:val="24"/>
          <w:szCs w:val="24"/>
        </w:rPr>
        <w:t>placebo</w:t>
      </w:r>
      <w:proofErr w:type="gramEnd"/>
    </w:p>
    <w:p w14:paraId="10B5931A" w14:textId="77777777" w:rsidR="000772B9" w:rsidRPr="007D545F" w:rsidRDefault="000772B9" w:rsidP="000772B9">
      <w:pPr>
        <w:rPr>
          <w:rFonts w:ascii="Times New Roman" w:hAnsi="Times New Roman" w:cs="Times New Roman"/>
          <w:b/>
          <w:sz w:val="24"/>
          <w:szCs w:val="24"/>
        </w:rPr>
      </w:pPr>
    </w:p>
    <w:p w14:paraId="20D910B5" w14:textId="573CB283" w:rsidR="000772B9" w:rsidRPr="007D545F" w:rsidRDefault="000772B9" w:rsidP="000772B9">
      <w:pPr>
        <w:rPr>
          <w:rFonts w:ascii="Times New Roman" w:hAnsi="Times New Roman" w:cs="Times New Roman"/>
          <w:b/>
          <w:sz w:val="24"/>
          <w:szCs w:val="24"/>
        </w:rPr>
      </w:pPr>
    </w:p>
    <w:tbl>
      <w:tblPr>
        <w:tblStyle w:val="TableGrid"/>
        <w:tblpPr w:leftFromText="180" w:rightFromText="180" w:horzAnchor="margin" w:tblpXSpec="center" w:tblpY="904"/>
        <w:tblW w:w="0" w:type="auto"/>
        <w:tblLook w:val="04A0" w:firstRow="1" w:lastRow="0" w:firstColumn="1" w:lastColumn="0" w:noHBand="0" w:noVBand="1"/>
      </w:tblPr>
      <w:tblGrid>
        <w:gridCol w:w="3168"/>
        <w:gridCol w:w="3150"/>
      </w:tblGrid>
      <w:tr w:rsidR="000772B9" w:rsidRPr="007D545F" w14:paraId="64A4C8A1" w14:textId="77777777" w:rsidTr="00B6329A">
        <w:trPr>
          <w:trHeight w:val="317"/>
        </w:trPr>
        <w:tc>
          <w:tcPr>
            <w:tcW w:w="3168" w:type="dxa"/>
          </w:tcPr>
          <w:p w14:paraId="4262B570" w14:textId="77777777" w:rsidR="000772B9" w:rsidRPr="007D545F" w:rsidRDefault="000772B9" w:rsidP="00B6329A">
            <w:pPr>
              <w:autoSpaceDE w:val="0"/>
              <w:autoSpaceDN w:val="0"/>
              <w:adjustRightInd w:val="0"/>
              <w:spacing w:after="100"/>
              <w:jc w:val="both"/>
              <w:rPr>
                <w:rFonts w:ascii="Times New Roman" w:hAnsi="Times New Roman" w:cs="Times New Roman"/>
                <w:b/>
                <w:sz w:val="24"/>
                <w:szCs w:val="24"/>
              </w:rPr>
            </w:pPr>
            <w:r w:rsidRPr="007D545F">
              <w:rPr>
                <w:rFonts w:ascii="Times New Roman" w:hAnsi="Times New Roman" w:cs="Times New Roman"/>
                <w:b/>
                <w:sz w:val="24"/>
                <w:szCs w:val="24"/>
              </w:rPr>
              <w:t>Ingredient</w:t>
            </w:r>
          </w:p>
        </w:tc>
        <w:tc>
          <w:tcPr>
            <w:tcW w:w="3150" w:type="dxa"/>
          </w:tcPr>
          <w:p w14:paraId="5FD760AD" w14:textId="5226E558" w:rsidR="000772B9" w:rsidRPr="007D545F" w:rsidRDefault="000772B9" w:rsidP="00B6329A">
            <w:pPr>
              <w:autoSpaceDE w:val="0"/>
              <w:autoSpaceDN w:val="0"/>
              <w:adjustRightInd w:val="0"/>
              <w:spacing w:after="100"/>
              <w:jc w:val="both"/>
              <w:rPr>
                <w:rFonts w:ascii="Times New Roman" w:hAnsi="Times New Roman" w:cs="Times New Roman"/>
                <w:b/>
                <w:sz w:val="24"/>
                <w:szCs w:val="24"/>
              </w:rPr>
            </w:pPr>
            <w:r w:rsidRPr="007D545F">
              <w:rPr>
                <w:rFonts w:ascii="Times New Roman" w:hAnsi="Times New Roman" w:cs="Times New Roman"/>
                <w:b/>
                <w:sz w:val="24"/>
                <w:szCs w:val="24"/>
              </w:rPr>
              <w:t>Weight per sachet</w:t>
            </w:r>
            <w:r w:rsidR="00FE25FB">
              <w:rPr>
                <w:rFonts w:ascii="Times New Roman" w:hAnsi="Times New Roman" w:cs="Times New Roman"/>
                <w:b/>
                <w:sz w:val="24"/>
                <w:szCs w:val="24"/>
              </w:rPr>
              <w:t xml:space="preserve"> </w:t>
            </w:r>
            <w:r w:rsidRPr="007D545F">
              <w:rPr>
                <w:rFonts w:ascii="Times New Roman" w:hAnsi="Times New Roman" w:cs="Times New Roman"/>
                <w:b/>
                <w:sz w:val="24"/>
                <w:szCs w:val="24"/>
              </w:rPr>
              <w:t>(mg)</w:t>
            </w:r>
          </w:p>
        </w:tc>
      </w:tr>
      <w:tr w:rsidR="000772B9" w:rsidRPr="007D545F" w14:paraId="68B7E8E3" w14:textId="77777777" w:rsidTr="00B6329A">
        <w:trPr>
          <w:trHeight w:val="317"/>
        </w:trPr>
        <w:tc>
          <w:tcPr>
            <w:tcW w:w="3168" w:type="dxa"/>
          </w:tcPr>
          <w:p w14:paraId="20B1A507" w14:textId="0EF2875C"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Malto</w:t>
            </w:r>
            <w:r w:rsidR="00FE25FB">
              <w:rPr>
                <w:rFonts w:ascii="Times New Roman" w:hAnsi="Times New Roman" w:cs="Times New Roman"/>
                <w:sz w:val="24"/>
                <w:szCs w:val="24"/>
              </w:rPr>
              <w:t>-</w:t>
            </w:r>
            <w:r w:rsidRPr="007D545F">
              <w:rPr>
                <w:rFonts w:ascii="Times New Roman" w:hAnsi="Times New Roman" w:cs="Times New Roman"/>
                <w:sz w:val="24"/>
                <w:szCs w:val="24"/>
              </w:rPr>
              <w:t>dextrine</w:t>
            </w:r>
          </w:p>
        </w:tc>
        <w:tc>
          <w:tcPr>
            <w:tcW w:w="3150" w:type="dxa"/>
          </w:tcPr>
          <w:p w14:paraId="5A14BD88"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3640</w:t>
            </w:r>
          </w:p>
        </w:tc>
      </w:tr>
      <w:tr w:rsidR="000772B9" w:rsidRPr="007D545F" w14:paraId="6C7E557A" w14:textId="77777777" w:rsidTr="00B6329A">
        <w:trPr>
          <w:trHeight w:val="317"/>
        </w:trPr>
        <w:tc>
          <w:tcPr>
            <w:tcW w:w="3168" w:type="dxa"/>
          </w:tcPr>
          <w:p w14:paraId="726E4E8A"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Sucralose</w:t>
            </w:r>
          </w:p>
        </w:tc>
        <w:tc>
          <w:tcPr>
            <w:tcW w:w="3150" w:type="dxa"/>
          </w:tcPr>
          <w:p w14:paraId="0CC7EA90"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3000</w:t>
            </w:r>
          </w:p>
        </w:tc>
      </w:tr>
      <w:tr w:rsidR="000772B9" w:rsidRPr="007D545F" w14:paraId="6A4F1BEB" w14:textId="77777777" w:rsidTr="00B6329A">
        <w:trPr>
          <w:trHeight w:val="317"/>
        </w:trPr>
        <w:tc>
          <w:tcPr>
            <w:tcW w:w="3168" w:type="dxa"/>
          </w:tcPr>
          <w:p w14:paraId="2B2E9670" w14:textId="77777777" w:rsidR="000772B9"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MCCP</w:t>
            </w:r>
          </w:p>
          <w:p w14:paraId="45A207E1" w14:textId="354E1118" w:rsidR="00FE25FB" w:rsidRPr="007D545F" w:rsidRDefault="00FE25FB"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w:t>
            </w:r>
            <w:proofErr w:type="gramStart"/>
            <w:r w:rsidRPr="007D545F">
              <w:rPr>
                <w:rFonts w:ascii="Times New Roman" w:hAnsi="Times New Roman" w:cs="Times New Roman"/>
                <w:sz w:val="24"/>
                <w:szCs w:val="24"/>
              </w:rPr>
              <w:t>microcrystalline</w:t>
            </w:r>
            <w:proofErr w:type="gramEnd"/>
            <w:r w:rsidRPr="007D545F">
              <w:rPr>
                <w:rFonts w:ascii="Times New Roman" w:hAnsi="Times New Roman" w:cs="Times New Roman"/>
                <w:sz w:val="24"/>
                <w:szCs w:val="24"/>
              </w:rPr>
              <w:t xml:space="preserve"> cellulose powder)</w:t>
            </w:r>
          </w:p>
        </w:tc>
        <w:tc>
          <w:tcPr>
            <w:tcW w:w="3150" w:type="dxa"/>
          </w:tcPr>
          <w:p w14:paraId="7415259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1900</w:t>
            </w:r>
          </w:p>
        </w:tc>
      </w:tr>
      <w:tr w:rsidR="000772B9" w:rsidRPr="007D545F" w14:paraId="1881F7BD" w14:textId="77777777" w:rsidTr="00B6329A">
        <w:trPr>
          <w:trHeight w:val="334"/>
        </w:trPr>
        <w:tc>
          <w:tcPr>
            <w:tcW w:w="3168" w:type="dxa"/>
          </w:tcPr>
          <w:p w14:paraId="77EEE41A"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Aerosil</w:t>
            </w:r>
          </w:p>
        </w:tc>
        <w:tc>
          <w:tcPr>
            <w:tcW w:w="3150" w:type="dxa"/>
          </w:tcPr>
          <w:p w14:paraId="22B1C29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20</w:t>
            </w:r>
          </w:p>
        </w:tc>
      </w:tr>
      <w:tr w:rsidR="000772B9" w:rsidRPr="007D545F" w14:paraId="283B668A" w14:textId="77777777" w:rsidTr="00B6329A">
        <w:trPr>
          <w:trHeight w:val="334"/>
        </w:trPr>
        <w:tc>
          <w:tcPr>
            <w:tcW w:w="3168" w:type="dxa"/>
          </w:tcPr>
          <w:p w14:paraId="4D09D6F1"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Gelatin</w:t>
            </w:r>
          </w:p>
        </w:tc>
        <w:tc>
          <w:tcPr>
            <w:tcW w:w="3150" w:type="dxa"/>
          </w:tcPr>
          <w:p w14:paraId="0D87A7C2"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20</w:t>
            </w:r>
          </w:p>
        </w:tc>
      </w:tr>
      <w:tr w:rsidR="000772B9" w:rsidRPr="007D545F" w14:paraId="4E41842E" w14:textId="77777777" w:rsidTr="00B6329A">
        <w:trPr>
          <w:trHeight w:val="334"/>
        </w:trPr>
        <w:tc>
          <w:tcPr>
            <w:tcW w:w="3168" w:type="dxa"/>
          </w:tcPr>
          <w:p w14:paraId="09D9844B"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Orange flavor</w:t>
            </w:r>
          </w:p>
        </w:tc>
        <w:tc>
          <w:tcPr>
            <w:tcW w:w="3150" w:type="dxa"/>
          </w:tcPr>
          <w:p w14:paraId="78B4E1A6" w14:textId="77777777" w:rsidR="000772B9" w:rsidRPr="007D545F" w:rsidRDefault="000772B9" w:rsidP="00B6329A">
            <w:pPr>
              <w:autoSpaceDE w:val="0"/>
              <w:autoSpaceDN w:val="0"/>
              <w:adjustRightInd w:val="0"/>
              <w:spacing w:after="100"/>
              <w:jc w:val="both"/>
              <w:rPr>
                <w:rFonts w:ascii="Times New Roman" w:hAnsi="Times New Roman" w:cs="Times New Roman"/>
                <w:sz w:val="24"/>
                <w:szCs w:val="24"/>
              </w:rPr>
            </w:pPr>
            <w:r w:rsidRPr="007D545F">
              <w:rPr>
                <w:rFonts w:ascii="Times New Roman" w:hAnsi="Times New Roman" w:cs="Times New Roman"/>
                <w:sz w:val="24"/>
                <w:szCs w:val="24"/>
              </w:rPr>
              <w:t>1060</w:t>
            </w:r>
          </w:p>
        </w:tc>
      </w:tr>
    </w:tbl>
    <w:p w14:paraId="4278C1B0" w14:textId="77777777" w:rsidR="000772B9" w:rsidRPr="007D545F" w:rsidRDefault="000772B9" w:rsidP="000772B9">
      <w:pPr>
        <w:rPr>
          <w:rFonts w:ascii="Times New Roman" w:hAnsi="Times New Roman" w:cs="Times New Roman"/>
          <w:sz w:val="24"/>
          <w:szCs w:val="24"/>
        </w:rPr>
      </w:pPr>
    </w:p>
    <w:p w14:paraId="2DAB42C6" w14:textId="77777777" w:rsidR="000772B9" w:rsidRPr="007D545F" w:rsidRDefault="000772B9" w:rsidP="000772B9">
      <w:pPr>
        <w:rPr>
          <w:rFonts w:ascii="Times New Roman" w:hAnsi="Times New Roman" w:cs="Times New Roman"/>
          <w:sz w:val="24"/>
          <w:szCs w:val="24"/>
        </w:rPr>
      </w:pPr>
    </w:p>
    <w:p w14:paraId="1E2D647F" w14:textId="77777777" w:rsidR="000772B9" w:rsidRPr="007D545F" w:rsidRDefault="000772B9" w:rsidP="000772B9">
      <w:pPr>
        <w:rPr>
          <w:rFonts w:ascii="Times New Roman" w:hAnsi="Times New Roman" w:cs="Times New Roman"/>
          <w:sz w:val="24"/>
          <w:szCs w:val="24"/>
        </w:rPr>
      </w:pPr>
    </w:p>
    <w:p w14:paraId="4E752950" w14:textId="77777777" w:rsidR="000772B9" w:rsidRPr="007D545F" w:rsidRDefault="000772B9" w:rsidP="000772B9">
      <w:pPr>
        <w:rPr>
          <w:rFonts w:ascii="Times New Roman" w:hAnsi="Times New Roman" w:cs="Times New Roman"/>
          <w:sz w:val="24"/>
          <w:szCs w:val="24"/>
        </w:rPr>
      </w:pPr>
    </w:p>
    <w:p w14:paraId="7FBEBF58" w14:textId="77777777" w:rsidR="000772B9" w:rsidRPr="007D545F" w:rsidRDefault="000772B9" w:rsidP="000772B9">
      <w:pPr>
        <w:rPr>
          <w:rFonts w:ascii="Times New Roman" w:hAnsi="Times New Roman" w:cs="Times New Roman"/>
          <w:sz w:val="24"/>
          <w:szCs w:val="24"/>
        </w:rPr>
      </w:pPr>
    </w:p>
    <w:p w14:paraId="53BF98A4" w14:textId="77777777" w:rsidR="000772B9" w:rsidRPr="007D545F" w:rsidRDefault="000772B9" w:rsidP="000772B9">
      <w:pPr>
        <w:rPr>
          <w:rFonts w:ascii="Times New Roman" w:hAnsi="Times New Roman" w:cs="Times New Roman"/>
          <w:sz w:val="24"/>
          <w:szCs w:val="24"/>
        </w:rPr>
      </w:pPr>
    </w:p>
    <w:p w14:paraId="784FA736" w14:textId="77777777" w:rsidR="000772B9" w:rsidRPr="007D545F" w:rsidRDefault="000772B9" w:rsidP="000772B9">
      <w:pPr>
        <w:rPr>
          <w:rFonts w:ascii="Times New Roman" w:hAnsi="Times New Roman" w:cs="Times New Roman"/>
          <w:sz w:val="24"/>
          <w:szCs w:val="24"/>
        </w:rPr>
      </w:pPr>
    </w:p>
    <w:p w14:paraId="22CEC871" w14:textId="77777777" w:rsidR="000772B9" w:rsidRPr="007D545F" w:rsidRDefault="000772B9" w:rsidP="000772B9">
      <w:pPr>
        <w:rPr>
          <w:rFonts w:ascii="Times New Roman" w:hAnsi="Times New Roman" w:cs="Times New Roman"/>
          <w:sz w:val="24"/>
          <w:szCs w:val="24"/>
        </w:rPr>
      </w:pPr>
    </w:p>
    <w:p w14:paraId="71EC5A69" w14:textId="77777777" w:rsidR="000772B9" w:rsidRPr="007D545F" w:rsidRDefault="000772B9" w:rsidP="000772B9">
      <w:pPr>
        <w:rPr>
          <w:rFonts w:ascii="Times New Roman" w:hAnsi="Times New Roman" w:cs="Times New Roman"/>
          <w:sz w:val="24"/>
          <w:szCs w:val="24"/>
        </w:rPr>
      </w:pPr>
    </w:p>
    <w:p w14:paraId="1355534D" w14:textId="77777777" w:rsidR="000772B9" w:rsidRPr="007D545F" w:rsidRDefault="000772B9" w:rsidP="000772B9">
      <w:pPr>
        <w:rPr>
          <w:rFonts w:ascii="Times New Roman" w:hAnsi="Times New Roman" w:cs="Times New Roman"/>
          <w:sz w:val="24"/>
          <w:szCs w:val="24"/>
        </w:rPr>
      </w:pPr>
    </w:p>
    <w:p w14:paraId="4B696CD7" w14:textId="77777777" w:rsidR="000772B9" w:rsidRPr="007D545F" w:rsidRDefault="000772B9" w:rsidP="000772B9">
      <w:pPr>
        <w:rPr>
          <w:rFonts w:ascii="Times New Roman" w:hAnsi="Times New Roman" w:cs="Times New Roman"/>
          <w:sz w:val="24"/>
          <w:szCs w:val="24"/>
        </w:rPr>
      </w:pPr>
    </w:p>
    <w:p w14:paraId="0055F597" w14:textId="77777777" w:rsidR="000772B9" w:rsidRPr="007D545F" w:rsidRDefault="000772B9" w:rsidP="000772B9">
      <w:pPr>
        <w:rPr>
          <w:rFonts w:ascii="Times New Roman" w:hAnsi="Times New Roman" w:cs="Times New Roman"/>
          <w:sz w:val="24"/>
          <w:szCs w:val="24"/>
        </w:rPr>
      </w:pPr>
    </w:p>
    <w:p w14:paraId="7CBB448B" w14:textId="77777777" w:rsidR="000772B9" w:rsidRPr="007D545F" w:rsidRDefault="000772B9" w:rsidP="000772B9">
      <w:pPr>
        <w:rPr>
          <w:rFonts w:ascii="Times New Roman" w:hAnsi="Times New Roman" w:cs="Times New Roman"/>
          <w:sz w:val="24"/>
          <w:szCs w:val="24"/>
        </w:rPr>
      </w:pPr>
    </w:p>
    <w:p w14:paraId="47B305F5" w14:textId="77777777" w:rsidR="006801B8" w:rsidRPr="007D545F" w:rsidRDefault="006801B8">
      <w:pPr>
        <w:rPr>
          <w:rFonts w:ascii="Times New Roman" w:hAnsi="Times New Roman" w:cs="Times New Roman"/>
          <w:sz w:val="24"/>
          <w:szCs w:val="24"/>
        </w:rPr>
      </w:pPr>
    </w:p>
    <w:p w14:paraId="0C8E010F" w14:textId="27A30A0D" w:rsidR="007D545F" w:rsidRPr="006801B8" w:rsidRDefault="007D545F">
      <w:pPr>
        <w:rPr>
          <w:rFonts w:ascii="Times New Roman" w:hAnsi="Times New Roman" w:cs="Times New Roman"/>
          <w:b/>
          <w:bCs/>
          <w:sz w:val="24"/>
          <w:szCs w:val="24"/>
        </w:rPr>
      </w:pPr>
      <w:r w:rsidRPr="006801B8">
        <w:rPr>
          <w:rFonts w:ascii="Times New Roman" w:hAnsi="Times New Roman" w:cs="Times New Roman"/>
          <w:b/>
          <w:bCs/>
          <w:sz w:val="24"/>
          <w:szCs w:val="24"/>
        </w:rPr>
        <w:lastRenderedPageBreak/>
        <w:t>References</w:t>
      </w:r>
    </w:p>
    <w:p w14:paraId="274B2FF7" w14:textId="77777777" w:rsidR="00BB5180" w:rsidRPr="00BB5180" w:rsidRDefault="007D545F" w:rsidP="00BB5180">
      <w:pPr>
        <w:pStyle w:val="Bibliography"/>
        <w:rPr>
          <w:rFonts w:ascii="Times New Roman" w:hAnsi="Times New Roman" w:cs="Times New Roman"/>
          <w:sz w:val="24"/>
        </w:rPr>
      </w:pPr>
      <w:r w:rsidRPr="007D545F">
        <w:fldChar w:fldCharType="begin"/>
      </w:r>
      <w:r w:rsidRPr="007D545F">
        <w:instrText xml:space="preserve"> ADDIN ZOTERO_BIBL {"uncited":[],"omitted":[],"custom":[]} CSL_BIBLIOGRAPHY </w:instrText>
      </w:r>
      <w:r w:rsidRPr="007D545F">
        <w:fldChar w:fldCharType="separate"/>
      </w:r>
      <w:r w:rsidR="00BB5180" w:rsidRPr="00BB5180">
        <w:rPr>
          <w:rFonts w:ascii="Times New Roman" w:hAnsi="Times New Roman" w:cs="Times New Roman"/>
          <w:sz w:val="24"/>
        </w:rPr>
        <w:t xml:space="preserve">1. </w:t>
      </w:r>
      <w:r w:rsidR="00BB5180" w:rsidRPr="00BB5180">
        <w:rPr>
          <w:rFonts w:ascii="Times New Roman" w:hAnsi="Times New Roman" w:cs="Times New Roman"/>
          <w:sz w:val="24"/>
        </w:rPr>
        <w:tab/>
        <w:t>Thimmayamma B, Rau P. A Handbook of schedule and guidelines in socioeconomic and diet survey. 1987th ed. National Insitute of Nutrition:Indian Council of Medical Research; p. 1-8.</w:t>
      </w:r>
    </w:p>
    <w:p w14:paraId="0A7BDA8B" w14:textId="77777777" w:rsidR="00BB5180" w:rsidRPr="00BB5180" w:rsidRDefault="00BB5180" w:rsidP="00BB5180">
      <w:pPr>
        <w:pStyle w:val="Bibliography"/>
        <w:rPr>
          <w:rFonts w:ascii="Times New Roman" w:hAnsi="Times New Roman" w:cs="Times New Roman"/>
          <w:sz w:val="24"/>
        </w:rPr>
      </w:pPr>
      <w:r w:rsidRPr="00BB5180">
        <w:rPr>
          <w:rFonts w:ascii="Times New Roman" w:hAnsi="Times New Roman" w:cs="Times New Roman"/>
          <w:sz w:val="24"/>
        </w:rPr>
        <w:t xml:space="preserve">2. </w:t>
      </w:r>
      <w:r w:rsidRPr="00BB5180">
        <w:rPr>
          <w:rFonts w:ascii="Times New Roman" w:hAnsi="Times New Roman" w:cs="Times New Roman"/>
          <w:sz w:val="24"/>
        </w:rPr>
        <w:tab/>
        <w:t>Longvah T, Ananthan R, Bhaskarachary K, Venkaiah K. Indian Food Composition Tables. National Institute of Nutrition, Indian Council of Medical Research 2017.</w:t>
      </w:r>
    </w:p>
    <w:p w14:paraId="4C7BC8BB" w14:textId="77777777" w:rsidR="00BB5180" w:rsidRPr="00BB5180" w:rsidRDefault="00BB5180" w:rsidP="00BB5180">
      <w:pPr>
        <w:pStyle w:val="Bibliography"/>
        <w:rPr>
          <w:rFonts w:ascii="Times New Roman" w:hAnsi="Times New Roman" w:cs="Times New Roman"/>
          <w:sz w:val="24"/>
        </w:rPr>
      </w:pPr>
      <w:r w:rsidRPr="00BB5180">
        <w:rPr>
          <w:rFonts w:ascii="Times New Roman" w:hAnsi="Times New Roman" w:cs="Times New Roman"/>
          <w:sz w:val="24"/>
        </w:rPr>
        <w:t xml:space="preserve">3. </w:t>
      </w:r>
      <w:r w:rsidRPr="00BB5180">
        <w:rPr>
          <w:rFonts w:ascii="Times New Roman" w:hAnsi="Times New Roman" w:cs="Times New Roman"/>
          <w:sz w:val="24"/>
        </w:rPr>
        <w:tab/>
        <w:t>Younossi ZM, Guyatt G, Kiwi M, Boparai N, King D. Development of a disease specific questionnaire to measure health related quality of life in patients with chronic liver disease. Gut 1999; 45: 295–300.</w:t>
      </w:r>
    </w:p>
    <w:p w14:paraId="43D09DA7" w14:textId="0EB2AD5E" w:rsidR="00BB5180" w:rsidRPr="00BB5180" w:rsidRDefault="00BB5180" w:rsidP="00BB5180">
      <w:pPr>
        <w:pStyle w:val="Bibliography"/>
        <w:rPr>
          <w:rFonts w:ascii="Times New Roman" w:hAnsi="Times New Roman" w:cs="Times New Roman"/>
          <w:sz w:val="24"/>
        </w:rPr>
      </w:pPr>
      <w:r w:rsidRPr="00BB5180">
        <w:rPr>
          <w:rFonts w:ascii="Times New Roman" w:hAnsi="Times New Roman" w:cs="Times New Roman"/>
          <w:sz w:val="24"/>
        </w:rPr>
        <w:t xml:space="preserve">4. </w:t>
      </w:r>
      <w:r w:rsidRPr="00BB5180">
        <w:rPr>
          <w:rFonts w:ascii="Times New Roman" w:hAnsi="Times New Roman" w:cs="Times New Roman"/>
          <w:sz w:val="24"/>
        </w:rPr>
        <w:tab/>
        <w:t>B</w:t>
      </w:r>
      <w:r>
        <w:rPr>
          <w:rFonts w:ascii="Times New Roman" w:hAnsi="Times New Roman" w:cs="Times New Roman"/>
          <w:sz w:val="24"/>
        </w:rPr>
        <w:t>enjamin J</w:t>
      </w:r>
      <w:r w:rsidRPr="00BB5180">
        <w:rPr>
          <w:rFonts w:ascii="Times New Roman" w:hAnsi="Times New Roman" w:cs="Times New Roman"/>
          <w:sz w:val="24"/>
        </w:rPr>
        <w:t>, M</w:t>
      </w:r>
      <w:r>
        <w:rPr>
          <w:rFonts w:ascii="Times New Roman" w:hAnsi="Times New Roman" w:cs="Times New Roman"/>
          <w:sz w:val="24"/>
        </w:rPr>
        <w:t>ani K</w:t>
      </w:r>
      <w:r w:rsidRPr="00BB5180">
        <w:rPr>
          <w:rFonts w:ascii="Times New Roman" w:hAnsi="Times New Roman" w:cs="Times New Roman"/>
          <w:sz w:val="24"/>
        </w:rPr>
        <w:t>, S</w:t>
      </w:r>
      <w:r>
        <w:rPr>
          <w:rFonts w:ascii="Times New Roman" w:hAnsi="Times New Roman" w:cs="Times New Roman"/>
          <w:sz w:val="24"/>
        </w:rPr>
        <w:t>araya A</w:t>
      </w:r>
      <w:r w:rsidRPr="00BB5180">
        <w:rPr>
          <w:rFonts w:ascii="Times New Roman" w:hAnsi="Times New Roman" w:cs="Times New Roman"/>
          <w:sz w:val="24"/>
        </w:rPr>
        <w:t>, J</w:t>
      </w:r>
      <w:r>
        <w:rPr>
          <w:rFonts w:ascii="Times New Roman" w:hAnsi="Times New Roman" w:cs="Times New Roman"/>
          <w:sz w:val="24"/>
        </w:rPr>
        <w:t>oshi YK</w:t>
      </w:r>
      <w:r w:rsidRPr="00BB5180">
        <w:rPr>
          <w:rFonts w:ascii="Times New Roman" w:hAnsi="Times New Roman" w:cs="Times New Roman"/>
          <w:sz w:val="24"/>
        </w:rPr>
        <w:t>. Translation and validation of the Hindi version of chronic liver disease questionnaire (CLDQ) for the assessment of health related quality of life in patient with chronic liver disease in India. Tropical Gastroenterology 2017; 37: 112–122.</w:t>
      </w:r>
    </w:p>
    <w:p w14:paraId="353CE2D7" w14:textId="77777777" w:rsidR="00BB5180" w:rsidRPr="00BB5180" w:rsidRDefault="00BB5180" w:rsidP="00BB5180">
      <w:pPr>
        <w:pStyle w:val="Bibliography"/>
        <w:rPr>
          <w:rFonts w:ascii="Times New Roman" w:hAnsi="Times New Roman" w:cs="Times New Roman"/>
          <w:sz w:val="24"/>
        </w:rPr>
      </w:pPr>
      <w:r w:rsidRPr="00BB5180">
        <w:rPr>
          <w:rFonts w:ascii="Times New Roman" w:hAnsi="Times New Roman" w:cs="Times New Roman"/>
          <w:sz w:val="24"/>
        </w:rPr>
        <w:t xml:space="preserve">5. </w:t>
      </w:r>
      <w:r w:rsidRPr="00BB5180">
        <w:rPr>
          <w:rFonts w:ascii="Times New Roman" w:hAnsi="Times New Roman" w:cs="Times New Roman"/>
          <w:sz w:val="24"/>
        </w:rPr>
        <w:tab/>
        <w:t>Franchis R de. Expanding consensus in portal hypertension: Report of the Baveno VI Consensus Workshop: Stratifying risk and individualizing care for portal hypertension. Journal of Hepatology 2015; 63: 743–752.</w:t>
      </w:r>
    </w:p>
    <w:p w14:paraId="34C55397" w14:textId="5F697917" w:rsidR="007D545F" w:rsidRPr="007D545F" w:rsidRDefault="007D545F">
      <w:pPr>
        <w:rPr>
          <w:rFonts w:ascii="Times New Roman" w:hAnsi="Times New Roman" w:cs="Times New Roman"/>
          <w:sz w:val="24"/>
          <w:szCs w:val="24"/>
        </w:rPr>
      </w:pPr>
      <w:r w:rsidRPr="007D545F">
        <w:rPr>
          <w:rFonts w:ascii="Times New Roman" w:hAnsi="Times New Roman" w:cs="Times New Roman"/>
          <w:sz w:val="24"/>
          <w:szCs w:val="24"/>
        </w:rPr>
        <w:fldChar w:fldCharType="end"/>
      </w:r>
    </w:p>
    <w:sectPr w:rsidR="007D545F" w:rsidRPr="007D545F" w:rsidSect="00584CB1">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AA08DC" w14:textId="77777777" w:rsidR="00F11896" w:rsidRDefault="00F11896" w:rsidP="00581871">
      <w:pPr>
        <w:spacing w:after="0" w:line="240" w:lineRule="auto"/>
      </w:pPr>
      <w:r>
        <w:separator/>
      </w:r>
    </w:p>
  </w:endnote>
  <w:endnote w:type="continuationSeparator" w:id="0">
    <w:p w14:paraId="59E11824" w14:textId="77777777" w:rsidR="00F11896" w:rsidRDefault="00F11896" w:rsidP="005818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19735088"/>
      <w:docPartObj>
        <w:docPartGallery w:val="Page Numbers (Bottom of Page)"/>
        <w:docPartUnique/>
      </w:docPartObj>
    </w:sdtPr>
    <w:sdtEndPr>
      <w:rPr>
        <w:noProof/>
      </w:rPr>
    </w:sdtEndPr>
    <w:sdtContent>
      <w:p w14:paraId="785536F0" w14:textId="6EDEE8DD" w:rsidR="00FB03EE" w:rsidRDefault="00FB03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D566D1" w14:textId="77777777" w:rsidR="00FB03EE" w:rsidRDefault="00FB03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452C38" w14:textId="77777777" w:rsidR="00F11896" w:rsidRDefault="00F11896" w:rsidP="00581871">
      <w:pPr>
        <w:spacing w:after="0" w:line="240" w:lineRule="auto"/>
      </w:pPr>
      <w:r>
        <w:separator/>
      </w:r>
    </w:p>
  </w:footnote>
  <w:footnote w:type="continuationSeparator" w:id="0">
    <w:p w14:paraId="073D1007" w14:textId="77777777" w:rsidR="00F11896" w:rsidRDefault="00F11896" w:rsidP="005818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3766F0"/>
    <w:multiLevelType w:val="hybridMultilevel"/>
    <w:tmpl w:val="AE72F6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2B9"/>
    <w:rsid w:val="000129F9"/>
    <w:rsid w:val="000772B9"/>
    <w:rsid w:val="000C3E04"/>
    <w:rsid w:val="00160BD7"/>
    <w:rsid w:val="002A31C8"/>
    <w:rsid w:val="002D5D88"/>
    <w:rsid w:val="002F219E"/>
    <w:rsid w:val="003029A0"/>
    <w:rsid w:val="0038327E"/>
    <w:rsid w:val="0040438A"/>
    <w:rsid w:val="00460400"/>
    <w:rsid w:val="00465089"/>
    <w:rsid w:val="004C2CFB"/>
    <w:rsid w:val="00531F15"/>
    <w:rsid w:val="00532B02"/>
    <w:rsid w:val="00581871"/>
    <w:rsid w:val="005C7AF3"/>
    <w:rsid w:val="006801B8"/>
    <w:rsid w:val="006E7048"/>
    <w:rsid w:val="00770604"/>
    <w:rsid w:val="00771C78"/>
    <w:rsid w:val="007D545F"/>
    <w:rsid w:val="0087261F"/>
    <w:rsid w:val="00925B6E"/>
    <w:rsid w:val="00A83330"/>
    <w:rsid w:val="00B036B5"/>
    <w:rsid w:val="00BB5180"/>
    <w:rsid w:val="00BE60F7"/>
    <w:rsid w:val="00BF18D3"/>
    <w:rsid w:val="00CA42A7"/>
    <w:rsid w:val="00CF7445"/>
    <w:rsid w:val="00DB03BC"/>
    <w:rsid w:val="00DE2829"/>
    <w:rsid w:val="00E073C7"/>
    <w:rsid w:val="00F11896"/>
    <w:rsid w:val="00F63FBE"/>
    <w:rsid w:val="00FB03EE"/>
    <w:rsid w:val="00FE25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94B66"/>
  <w15:docId w15:val="{58747A41-A137-413F-88ED-C0FDB7FAC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2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72B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0772B9"/>
    <w:pPr>
      <w:spacing w:after="0" w:line="240" w:lineRule="auto"/>
      <w:ind w:left="720"/>
      <w:contextualSpacing/>
      <w:jc w:val="both"/>
    </w:pPr>
    <w:rPr>
      <w:rFonts w:ascii="Times New Roman" w:eastAsia="Calibri" w:hAnsi="Times New Roman" w:cs="Times New Roman"/>
      <w:sz w:val="26"/>
      <w:lang w:val="en-US"/>
    </w:rPr>
  </w:style>
  <w:style w:type="paragraph" w:styleId="BalloonText">
    <w:name w:val="Balloon Text"/>
    <w:basedOn w:val="Normal"/>
    <w:link w:val="BalloonTextChar"/>
    <w:uiPriority w:val="99"/>
    <w:semiHidden/>
    <w:unhideWhenUsed/>
    <w:rsid w:val="000772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2B9"/>
    <w:rPr>
      <w:rFonts w:ascii="Tahoma" w:hAnsi="Tahoma" w:cs="Tahoma"/>
      <w:sz w:val="16"/>
      <w:szCs w:val="16"/>
    </w:rPr>
  </w:style>
  <w:style w:type="paragraph" w:styleId="CommentText">
    <w:name w:val="annotation text"/>
    <w:basedOn w:val="Normal"/>
    <w:link w:val="CommentTextChar"/>
    <w:uiPriority w:val="99"/>
    <w:semiHidden/>
    <w:unhideWhenUsed/>
    <w:rsid w:val="00DE2829"/>
    <w:pPr>
      <w:spacing w:after="0" w:line="240" w:lineRule="auto"/>
    </w:pPr>
    <w:rPr>
      <w:rFonts w:ascii="Arial" w:eastAsia="Arial" w:hAnsi="Arial" w:cs="Arial"/>
      <w:sz w:val="20"/>
      <w:szCs w:val="20"/>
      <w:lang w:eastAsia="en-IN"/>
    </w:rPr>
  </w:style>
  <w:style w:type="character" w:customStyle="1" w:styleId="CommentTextChar">
    <w:name w:val="Comment Text Char"/>
    <w:basedOn w:val="DefaultParagraphFont"/>
    <w:link w:val="CommentText"/>
    <w:uiPriority w:val="99"/>
    <w:semiHidden/>
    <w:rsid w:val="00DE2829"/>
    <w:rPr>
      <w:rFonts w:ascii="Arial" w:eastAsia="Arial" w:hAnsi="Arial" w:cs="Arial"/>
      <w:sz w:val="20"/>
      <w:szCs w:val="20"/>
      <w:lang w:eastAsia="en-IN"/>
    </w:rPr>
  </w:style>
  <w:style w:type="character" w:styleId="CommentReference">
    <w:name w:val="annotation reference"/>
    <w:basedOn w:val="DefaultParagraphFont"/>
    <w:uiPriority w:val="99"/>
    <w:semiHidden/>
    <w:unhideWhenUsed/>
    <w:rsid w:val="00DE2829"/>
    <w:rPr>
      <w:sz w:val="16"/>
      <w:szCs w:val="16"/>
    </w:rPr>
  </w:style>
  <w:style w:type="paragraph" w:styleId="Header">
    <w:name w:val="header"/>
    <w:basedOn w:val="Normal"/>
    <w:link w:val="HeaderChar"/>
    <w:uiPriority w:val="99"/>
    <w:unhideWhenUsed/>
    <w:rsid w:val="005818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1871"/>
  </w:style>
  <w:style w:type="paragraph" w:styleId="Footer">
    <w:name w:val="footer"/>
    <w:basedOn w:val="Normal"/>
    <w:link w:val="FooterChar"/>
    <w:uiPriority w:val="99"/>
    <w:unhideWhenUsed/>
    <w:rsid w:val="005818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1871"/>
  </w:style>
  <w:style w:type="character" w:styleId="Hyperlink">
    <w:name w:val="Hyperlink"/>
    <w:basedOn w:val="DefaultParagraphFont"/>
    <w:uiPriority w:val="99"/>
    <w:semiHidden/>
    <w:unhideWhenUsed/>
    <w:rsid w:val="00DB03BC"/>
    <w:rPr>
      <w:color w:val="0000FF"/>
      <w:u w:val="single"/>
    </w:rPr>
  </w:style>
  <w:style w:type="paragraph" w:styleId="Bibliography">
    <w:name w:val="Bibliography"/>
    <w:basedOn w:val="Normal"/>
    <w:next w:val="Normal"/>
    <w:uiPriority w:val="37"/>
    <w:unhideWhenUsed/>
    <w:rsid w:val="007D545F"/>
  </w:style>
  <w:style w:type="paragraph" w:styleId="CommentSubject">
    <w:name w:val="annotation subject"/>
    <w:basedOn w:val="CommentText"/>
    <w:next w:val="CommentText"/>
    <w:link w:val="CommentSubjectChar"/>
    <w:uiPriority w:val="99"/>
    <w:semiHidden/>
    <w:unhideWhenUsed/>
    <w:rsid w:val="00FE25FB"/>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FE25FB"/>
    <w:rPr>
      <w:rFonts w:ascii="Arial" w:eastAsia="Arial" w:hAnsi="Arial" w:cs="Arial"/>
      <w:b/>
      <w:bCs/>
      <w:sz w:val="20"/>
      <w:szCs w:val="20"/>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5507333">
      <w:bodyDiv w:val="1"/>
      <w:marLeft w:val="0"/>
      <w:marRight w:val="0"/>
      <w:marTop w:val="0"/>
      <w:marBottom w:val="0"/>
      <w:divBdr>
        <w:top w:val="none" w:sz="0" w:space="0" w:color="auto"/>
        <w:left w:val="none" w:sz="0" w:space="0" w:color="auto"/>
        <w:bottom w:val="none" w:sz="0" w:space="0" w:color="auto"/>
        <w:right w:val="none" w:sz="0" w:space="0" w:color="auto"/>
      </w:divBdr>
    </w:div>
    <w:div w:id="31086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etcal.in/" TargetMode="External"/><Relationship Id="rId3" Type="http://schemas.openxmlformats.org/officeDocument/2006/relationships/settings" Target="settings.xml"/><Relationship Id="rId7" Type="http://schemas.openxmlformats.org/officeDocument/2006/relationships/hyperlink" Target="http://dietcal.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1801</Words>
  <Characters>10269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Srikant Mohta</dc:creator>
  <cp:lastModifiedBy>Srikant Mohta</cp:lastModifiedBy>
  <cp:revision>24</cp:revision>
  <dcterms:created xsi:type="dcterms:W3CDTF">2021-03-24T01:29:00Z</dcterms:created>
  <dcterms:modified xsi:type="dcterms:W3CDTF">2021-07-08T09:07:00Z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id="ChlaiSdC"/&gt;&lt;style id="http://www.zotero.org/styles/sage-vancouver" hasBibliography="1" bibliographyStyleHasBeenSet="1"/&gt;&lt;prefs&gt;&lt;pref name="fieldType" value="Field"/&gt;&lt;/prefs&gt;&lt;/data&gt;</vt:lpwstr>
  </property>
</Properties>
</file>