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5EE88" w14:textId="77777777" w:rsidR="00E22818" w:rsidRPr="00EC1086" w:rsidRDefault="00E22818" w:rsidP="00E2281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086">
        <w:rPr>
          <w:rFonts w:ascii="Times New Roman" w:hAnsi="Times New Roman" w:cs="Times New Roman"/>
          <w:b/>
          <w:sz w:val="24"/>
          <w:szCs w:val="24"/>
        </w:rPr>
        <w:t>Supplementary Information</w:t>
      </w:r>
    </w:p>
    <w:p w14:paraId="201CA077" w14:textId="77777777" w:rsidR="00E22818" w:rsidRPr="00EC1086" w:rsidRDefault="00E22818" w:rsidP="00E2281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standardContextual"/>
        </w:rPr>
        <w:drawing>
          <wp:inline distT="0" distB="0" distL="0" distR="0" wp14:anchorId="15A613A5" wp14:editId="1F4C4BF4">
            <wp:extent cx="5486400" cy="6327775"/>
            <wp:effectExtent l="0" t="0" r="0" b="0"/>
            <wp:docPr id="1211494287" name="Picture 6" descr="A group of graphs showing different types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94287" name="Picture 6" descr="A group of graphs showing different types of numb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AC88" w14:textId="77777777" w:rsidR="00E22818" w:rsidRPr="00EC1086" w:rsidRDefault="00E22818" w:rsidP="00E2281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9B92D5" w14:textId="77777777" w:rsidR="00E22818" w:rsidRPr="00EC1086" w:rsidRDefault="00E22818" w:rsidP="00E2281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CBC6A" w14:textId="77777777" w:rsidR="00E22818" w:rsidRPr="00785062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1086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. Arginase 1 inhibition in LD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induced tumors. (A)</w:t>
      </w:r>
      <w:r w:rsidRPr="00EC1086">
        <w:rPr>
          <w:rFonts w:ascii="Times New Roman" w:hAnsi="Times New Roman" w:cs="Times New Roman"/>
          <w:sz w:val="24"/>
          <w:szCs w:val="24"/>
        </w:rPr>
        <w:t xml:space="preserve"> The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C1086">
        <w:rPr>
          <w:rFonts w:ascii="Times New Roman" w:hAnsi="Times New Roman" w:cs="Times New Roman"/>
          <w:sz w:val="24"/>
          <w:szCs w:val="24"/>
        </w:rPr>
        <w:t xml:space="preserve">metastasis foci to the lungs of nor-NOHA LD-treated mice (n=4). The number of positive cells for CD8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EC1086">
        <w:rPr>
          <w:rFonts w:ascii="Times New Roman" w:hAnsi="Times New Roman" w:cs="Times New Roman"/>
          <w:sz w:val="24"/>
          <w:szCs w:val="24"/>
        </w:rPr>
        <w:t xml:space="preserve">, Treg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(C),</w:t>
      </w:r>
      <w:r w:rsidRPr="00EC1086">
        <w:rPr>
          <w:rFonts w:ascii="Times New Roman" w:hAnsi="Times New Roman" w:cs="Times New Roman"/>
          <w:sz w:val="24"/>
          <w:szCs w:val="24"/>
        </w:rPr>
        <w:t xml:space="preserve"> and MDSCs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Pr="00EC1086">
        <w:rPr>
          <w:rFonts w:ascii="Times New Roman" w:hAnsi="Times New Roman" w:cs="Times New Roman"/>
          <w:sz w:val="24"/>
          <w:szCs w:val="24"/>
        </w:rPr>
        <w:t xml:space="preserve"> in nor-NOHA LD-treated mice compared to LD (control). M1 and M2 macrophage populations are shown in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EC1086">
        <w:rPr>
          <w:rFonts w:ascii="Times New Roman" w:hAnsi="Times New Roman" w:cs="Times New Roman"/>
          <w:sz w:val="24"/>
          <w:szCs w:val="24"/>
        </w:rPr>
        <w:t xml:space="preserve">. The M1/M2 ratio in LD-induced tumors treated with nor-NOHA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(F)</w:t>
      </w:r>
      <w:r w:rsidRPr="00EC1086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Hlk211370169"/>
      <w:r w:rsidRPr="00EC1086">
        <w:rPr>
          <w:rFonts w:ascii="Times New Roman" w:hAnsi="Times New Roman" w:cs="Times New Roman"/>
          <w:i/>
          <w:iCs/>
          <w:sz w:val="24"/>
          <w:szCs w:val="24"/>
        </w:rPr>
        <w:t>Arg1</w:t>
      </w:r>
      <w:r w:rsidRPr="00EC1086">
        <w:rPr>
          <w:rFonts w:ascii="Times New Roman" w:hAnsi="Times New Roman" w:cs="Times New Roman"/>
          <w:sz w:val="24"/>
          <w:szCs w:val="24"/>
        </w:rPr>
        <w:t xml:space="preserve"> transcript level showed </w:t>
      </w:r>
      <w:bookmarkEnd w:id="0"/>
      <w:r w:rsidRPr="00EC1086">
        <w:rPr>
          <w:rFonts w:ascii="Times New Roman" w:hAnsi="Times New Roman" w:cs="Times New Roman"/>
          <w:sz w:val="24"/>
          <w:szCs w:val="24"/>
        </w:rPr>
        <w:t xml:space="preserve">no changes in LD tumors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(G)</w:t>
      </w:r>
      <w:r w:rsidRPr="00EC1086">
        <w:rPr>
          <w:rFonts w:ascii="Times New Roman" w:hAnsi="Times New Roman" w:cs="Times New Roman"/>
          <w:sz w:val="24"/>
          <w:szCs w:val="24"/>
        </w:rPr>
        <w:t xml:space="preserve"> (n=3).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(H)</w:t>
      </w:r>
      <w:r w:rsidRPr="00EC1086">
        <w:rPr>
          <w:rFonts w:ascii="Times New Roman" w:hAnsi="Times New Roman" w:cs="Times New Roman"/>
          <w:sz w:val="24"/>
          <w:szCs w:val="24"/>
        </w:rPr>
        <w:t xml:space="preserve"> Tumor volumes showed no differences across all treated groups in LD and CRD conditions. </w:t>
      </w:r>
      <w:r w:rsidRPr="00EC10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Data presented as mean ± </w:t>
      </w:r>
      <w:proofErr w:type="gramStart"/>
      <w:r w:rsidRPr="00EC10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SEM;  </w:t>
      </w:r>
      <w:r w:rsidRPr="00EC1086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proofErr w:type="gramEnd"/>
      <w:r w:rsidRPr="00EC10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EC1086">
        <w:rPr>
          <w:rFonts w:ascii="Times New Roman" w:hAnsi="Times New Roman" w:cs="Times New Roman"/>
          <w:color w:val="000000" w:themeColor="text1"/>
          <w:sz w:val="24"/>
          <w:szCs w:val="24"/>
        </w:rPr>
        <w:t> &lt; 0.05, **</w:t>
      </w:r>
      <w:r w:rsidRPr="00EC10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EC1086">
        <w:rPr>
          <w:rFonts w:ascii="Times New Roman" w:hAnsi="Times New Roman" w:cs="Times New Roman"/>
          <w:color w:val="000000" w:themeColor="text1"/>
          <w:sz w:val="24"/>
          <w:szCs w:val="24"/>
        </w:rPr>
        <w:t> &lt; 0.01, ***</w:t>
      </w:r>
      <w:r w:rsidRPr="00EC10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EC1086">
        <w:rPr>
          <w:rFonts w:ascii="Times New Roman" w:hAnsi="Times New Roman" w:cs="Times New Roman"/>
          <w:color w:val="000000" w:themeColor="text1"/>
          <w:sz w:val="24"/>
          <w:szCs w:val="24"/>
        </w:rPr>
        <w:t> &lt; 0.001, ****</w:t>
      </w:r>
      <w:r w:rsidRPr="00EC10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EC1086">
        <w:rPr>
          <w:rFonts w:ascii="Times New Roman" w:hAnsi="Times New Roman" w:cs="Times New Roman"/>
          <w:color w:val="000000" w:themeColor="text1"/>
          <w:sz w:val="24"/>
          <w:szCs w:val="24"/>
        </w:rPr>
        <w:t> &lt; 0.0001 represents the significance level from an unpaired t-test</w:t>
      </w:r>
    </w:p>
    <w:p w14:paraId="45B4E97A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DC549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3664CD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C5D9CC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415255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005DF3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0E94D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A30764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5F47B0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E2C43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4F3F6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0FF452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1C99FF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4CABEC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6C4B56" w14:textId="77777777" w:rsidR="00E22818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92EA79" w14:textId="77777777" w:rsidR="00E22818" w:rsidRPr="00EC1086" w:rsidRDefault="00E22818" w:rsidP="00E22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A01B1" w14:textId="77777777" w:rsidR="00E22818" w:rsidRPr="00EC1086" w:rsidRDefault="009D16F5" w:rsidP="00E22818">
      <w:pPr>
        <w:jc w:val="both"/>
        <w:rPr>
          <w:rFonts w:ascii="Times New Roman" w:hAnsi="Times New Roman" w:cs="Times New Roman"/>
          <w:sz w:val="24"/>
          <w:szCs w:val="24"/>
        </w:rPr>
      </w:pPr>
      <w:r w:rsidRPr="00EC1086">
        <w:rPr>
          <w:rFonts w:ascii="Times New Roman" w:hAnsi="Times New Roman" w:cs="Times New Roman"/>
          <w:noProof/>
          <w:sz w:val="24"/>
          <w:szCs w:val="24"/>
        </w:rPr>
      </w:r>
      <w:r w:rsidR="009D16F5" w:rsidRPr="00EC1086">
        <w:rPr>
          <w:rFonts w:ascii="Times New Roman" w:hAnsi="Times New Roman" w:cs="Times New Roman"/>
          <w:noProof/>
          <w:sz w:val="24"/>
          <w:szCs w:val="24"/>
        </w:rPr>
        <w:object w:dxaOrig="10185" w:dyaOrig="7560" w14:anchorId="45775F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in;height:320.6pt;mso-width-percent:0;mso-height-percent:0;mso-width-percent:0;mso-height-percent:0" o:ole="">
            <v:imagedata r:id="rId7" o:title=""/>
          </v:shape>
          <o:OLEObject Type="Embed" ProgID="Acrobat.Document.DC" ShapeID="_x0000_i1025" DrawAspect="Content" ObjectID="_1827311405" r:id="rId8"/>
        </w:object>
      </w:r>
    </w:p>
    <w:p w14:paraId="145FC60F" w14:textId="77777777" w:rsidR="00E22818" w:rsidRPr="00EC1086" w:rsidRDefault="00E22818" w:rsidP="00E22818">
      <w:pPr>
        <w:jc w:val="both"/>
        <w:rPr>
          <w:rFonts w:ascii="Times New Roman" w:hAnsi="Times New Roman" w:cs="Times New Roman"/>
          <w:sz w:val="24"/>
          <w:szCs w:val="24"/>
        </w:rPr>
      </w:pPr>
      <w:r w:rsidRPr="00EC1086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 xml:space="preserve">. Flow Cytometry Gating Strategy. </w:t>
      </w:r>
      <w:r w:rsidRPr="00EC1086">
        <w:rPr>
          <w:rFonts w:ascii="Times New Roman" w:hAnsi="Times New Roman" w:cs="Times New Roman"/>
          <w:sz w:val="24"/>
          <w:szCs w:val="24"/>
        </w:rPr>
        <w:t xml:space="preserve">The gating strategy is used to determine CD45 and Treg (FOXP3+ cells)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(A),</w:t>
      </w:r>
      <w:r w:rsidRPr="00EC1086">
        <w:rPr>
          <w:rFonts w:ascii="Times New Roman" w:hAnsi="Times New Roman" w:cs="Times New Roman"/>
          <w:sz w:val="24"/>
          <w:szCs w:val="24"/>
        </w:rPr>
        <w:t xml:space="preserve"> M1 and M2 macrophages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(B),</w:t>
      </w:r>
      <w:r w:rsidRPr="00EC1086">
        <w:rPr>
          <w:rFonts w:ascii="Times New Roman" w:hAnsi="Times New Roman" w:cs="Times New Roman"/>
          <w:sz w:val="24"/>
          <w:szCs w:val="24"/>
        </w:rPr>
        <w:t xml:space="preserve"> and MDSCs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Pr="00EC1086">
        <w:rPr>
          <w:rFonts w:ascii="Times New Roman" w:hAnsi="Times New Roman" w:cs="Times New Roman"/>
          <w:sz w:val="24"/>
          <w:szCs w:val="24"/>
        </w:rPr>
        <w:t xml:space="preserve"> (sample size n=5).</w:t>
      </w:r>
    </w:p>
    <w:p w14:paraId="393DF05C" w14:textId="77777777" w:rsidR="00E22818" w:rsidRPr="00EC1086" w:rsidRDefault="00E22818" w:rsidP="00E228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3ADB22" w14:textId="77777777" w:rsidR="00E22818" w:rsidRPr="00785062" w:rsidRDefault="00E22818" w:rsidP="00E22818">
      <w:pPr>
        <w:jc w:val="both"/>
        <w:rPr>
          <w:rFonts w:ascii="Times New Roman" w:hAnsi="Times New Roman" w:cs="Times New Roman"/>
          <w:sz w:val="24"/>
          <w:szCs w:val="24"/>
        </w:rPr>
      </w:pPr>
      <w:r w:rsidRPr="00EC1086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D0A8D28" wp14:editId="28D6163E">
            <wp:extent cx="5486400" cy="2701290"/>
            <wp:effectExtent l="0" t="0" r="0" b="3810"/>
            <wp:docPr id="856935574" name="Picture 5" descr="A comparison of a normal and a normal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35574" name="Picture 5" descr="A comparison of a normal and a normal grap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 xml:space="preserve">. The microbiome profile is altered in human patients. </w:t>
      </w:r>
      <w:r w:rsidRPr="00EC1086">
        <w:rPr>
          <w:rFonts w:ascii="Times New Roman" w:hAnsi="Times New Roman" w:cs="Times New Roman"/>
          <w:bCs/>
          <w:sz w:val="24"/>
          <w:szCs w:val="24"/>
        </w:rPr>
        <w:t xml:space="preserve">Analysis of the Bacteria in Cancer (BIC) database revealed that Firmicutes </w:t>
      </w:r>
      <w:r w:rsidRPr="00EC1086">
        <w:rPr>
          <w:rFonts w:ascii="Times New Roman" w:hAnsi="Times New Roman" w:cs="Times New Roman"/>
          <w:b/>
          <w:sz w:val="24"/>
          <w:szCs w:val="24"/>
        </w:rPr>
        <w:t>(A)</w:t>
      </w:r>
      <w:r w:rsidRPr="00EC1086">
        <w:rPr>
          <w:rFonts w:ascii="Times New Roman" w:hAnsi="Times New Roman" w:cs="Times New Roman"/>
          <w:bCs/>
          <w:sz w:val="24"/>
          <w:szCs w:val="24"/>
        </w:rPr>
        <w:t xml:space="preserve">, and Bacilli </w:t>
      </w:r>
      <w:r w:rsidRPr="00EC1086">
        <w:rPr>
          <w:rFonts w:ascii="Times New Roman" w:hAnsi="Times New Roman" w:cs="Times New Roman"/>
          <w:b/>
          <w:sz w:val="24"/>
          <w:szCs w:val="24"/>
        </w:rPr>
        <w:t>(B)</w:t>
      </w:r>
      <w:r w:rsidRPr="00EC1086">
        <w:rPr>
          <w:rFonts w:ascii="Times New Roman" w:hAnsi="Times New Roman" w:cs="Times New Roman"/>
          <w:bCs/>
          <w:sz w:val="24"/>
          <w:szCs w:val="24"/>
        </w:rPr>
        <w:t xml:space="preserve"> abundance was significantly higher in human breast tumors relative to adjacent normal tissues.</w:t>
      </w:r>
    </w:p>
    <w:p w14:paraId="24F5556F" w14:textId="77777777" w:rsidR="00E22818" w:rsidRPr="00EC1086" w:rsidRDefault="00E22818" w:rsidP="00E2281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2DB51FF" w14:textId="77777777" w:rsidR="00E22818" w:rsidRPr="00EC1086" w:rsidRDefault="00E22818" w:rsidP="00E22818">
      <w:pPr>
        <w:jc w:val="both"/>
        <w:rPr>
          <w:rFonts w:ascii="Times New Roman" w:hAnsi="Times New Roman" w:cs="Times New Roman"/>
          <w:sz w:val="24"/>
          <w:szCs w:val="24"/>
        </w:rPr>
      </w:pPr>
      <w:r w:rsidRPr="00EC1086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82012C7" wp14:editId="417D365B">
            <wp:extent cx="5486400" cy="7122160"/>
            <wp:effectExtent l="0" t="0" r="0" b="2540"/>
            <wp:docPr id="120815291" name="Picture 6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5291" name="Picture 6" descr="A screenshot of a grap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9933" w14:textId="77777777" w:rsidR="00E22818" w:rsidRPr="00EC1086" w:rsidRDefault="00E22818" w:rsidP="00E22818">
      <w:pPr>
        <w:keepNext/>
        <w:keepLines/>
        <w:jc w:val="both"/>
        <w:rPr>
          <w:rFonts w:ascii="Times New Roman" w:hAnsi="Times New Roman" w:cs="Times New Roman"/>
          <w:sz w:val="24"/>
          <w:szCs w:val="24"/>
        </w:rPr>
      </w:pPr>
      <w:r w:rsidRPr="00EC1086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 xml:space="preserve">. Bacteria-associated biological function. </w:t>
      </w:r>
      <w:r w:rsidRPr="00EC1086">
        <w:rPr>
          <w:rFonts w:ascii="Times New Roman" w:hAnsi="Times New Roman" w:cs="Times New Roman"/>
          <w:sz w:val="24"/>
          <w:szCs w:val="24"/>
        </w:rPr>
        <w:t xml:space="preserve">The charts represent the biological function of the input bacteria, taxonomy and cancer type using the Bacteria in </w:t>
      </w:r>
      <w:r>
        <w:rPr>
          <w:rFonts w:ascii="Times New Roman" w:hAnsi="Times New Roman" w:cs="Times New Roman"/>
          <w:sz w:val="24"/>
          <w:szCs w:val="24"/>
        </w:rPr>
        <w:t>Cancer</w:t>
      </w:r>
      <w:r w:rsidRPr="00EC1086">
        <w:rPr>
          <w:rFonts w:ascii="Times New Roman" w:hAnsi="Times New Roman" w:cs="Times New Roman"/>
          <w:sz w:val="24"/>
          <w:szCs w:val="24"/>
        </w:rPr>
        <w:t xml:space="preserve"> (BIC) database.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1086">
        <w:rPr>
          <w:rFonts w:ascii="Times New Roman" w:hAnsi="Times New Roman" w:cs="Times New Roman"/>
          <w:sz w:val="24"/>
          <w:szCs w:val="24"/>
        </w:rPr>
        <w:t>Reactome</w:t>
      </w:r>
      <w:proofErr w:type="spellEnd"/>
      <w:r w:rsidRPr="00EC1086">
        <w:rPr>
          <w:rFonts w:ascii="Times New Roman" w:hAnsi="Times New Roman" w:cs="Times New Roman"/>
          <w:sz w:val="24"/>
          <w:szCs w:val="24"/>
        </w:rPr>
        <w:t xml:space="preserve"> pathway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EC1086">
        <w:rPr>
          <w:rFonts w:ascii="Times New Roman" w:hAnsi="Times New Roman" w:cs="Times New Roman"/>
          <w:sz w:val="24"/>
          <w:szCs w:val="24"/>
        </w:rPr>
        <w:t xml:space="preserve">, gene ontology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EC1086">
        <w:rPr>
          <w:rFonts w:ascii="Times New Roman" w:hAnsi="Times New Roman" w:cs="Times New Roman"/>
          <w:sz w:val="24"/>
          <w:szCs w:val="24"/>
        </w:rPr>
        <w:t xml:space="preserve">, and KEGG analysis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Pr="00EC1086">
        <w:rPr>
          <w:rFonts w:ascii="Times New Roman" w:hAnsi="Times New Roman" w:cs="Times New Roman"/>
          <w:sz w:val="24"/>
          <w:szCs w:val="24"/>
        </w:rPr>
        <w:t xml:space="preserve"> of Firmicutes. </w:t>
      </w:r>
      <w:proofErr w:type="spellStart"/>
      <w:r w:rsidRPr="00EC1086">
        <w:rPr>
          <w:rFonts w:ascii="Times New Roman" w:hAnsi="Times New Roman" w:cs="Times New Roman"/>
          <w:sz w:val="24"/>
          <w:szCs w:val="24"/>
        </w:rPr>
        <w:t>Reactome</w:t>
      </w:r>
      <w:proofErr w:type="spellEnd"/>
      <w:r w:rsidRPr="00EC1086">
        <w:rPr>
          <w:rFonts w:ascii="Times New Roman" w:hAnsi="Times New Roman" w:cs="Times New Roman"/>
          <w:sz w:val="24"/>
          <w:szCs w:val="24"/>
        </w:rPr>
        <w:t xml:space="preserve"> pathway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Pr="00EC1086">
        <w:rPr>
          <w:rFonts w:ascii="Times New Roman" w:hAnsi="Times New Roman" w:cs="Times New Roman"/>
          <w:sz w:val="24"/>
          <w:szCs w:val="24"/>
        </w:rPr>
        <w:t xml:space="preserve">, KEGG analysis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>(E)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EC1086">
        <w:rPr>
          <w:rFonts w:ascii="Times New Roman" w:hAnsi="Times New Roman" w:cs="Times New Roman"/>
          <w:sz w:val="24"/>
          <w:szCs w:val="24"/>
        </w:rPr>
        <w:t xml:space="preserve"> and gene ontology </w:t>
      </w:r>
      <w:r w:rsidRPr="00EC1086">
        <w:rPr>
          <w:rFonts w:ascii="Times New Roman" w:hAnsi="Times New Roman" w:cs="Times New Roman"/>
          <w:b/>
          <w:bCs/>
          <w:sz w:val="24"/>
          <w:szCs w:val="24"/>
        </w:rPr>
        <w:t xml:space="preserve">(F) </w:t>
      </w:r>
      <w:r w:rsidRPr="00EC1086">
        <w:rPr>
          <w:rFonts w:ascii="Times New Roman" w:hAnsi="Times New Roman" w:cs="Times New Roman"/>
          <w:sz w:val="24"/>
          <w:szCs w:val="24"/>
        </w:rPr>
        <w:t xml:space="preserve">for Bacilli. </w:t>
      </w:r>
    </w:p>
    <w:p w14:paraId="1D331338" w14:textId="77777777" w:rsidR="00E22818" w:rsidRDefault="00E22818" w:rsidP="00E22818">
      <w:pPr>
        <w:keepNext/>
        <w:keepLine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750F14" w14:textId="77777777" w:rsidR="00E22818" w:rsidRDefault="00E22818" w:rsidP="00E22818">
      <w:pPr>
        <w:keepNext/>
        <w:keepLine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D053E5" w14:textId="77777777" w:rsidR="00E22818" w:rsidRDefault="00E22818" w:rsidP="00E22818">
      <w:pPr>
        <w:keepNext/>
        <w:keepLine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2F6C08" w14:textId="77777777" w:rsidR="00E22818" w:rsidRPr="00EC1086" w:rsidRDefault="00E22818" w:rsidP="00E22818">
      <w:pPr>
        <w:keepNext/>
        <w:keepLine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8"/>
        <w:gridCol w:w="1805"/>
        <w:gridCol w:w="2373"/>
        <w:gridCol w:w="2888"/>
      </w:tblGrid>
      <w:tr w:rsidR="00E22818" w:rsidRPr="00EC1086" w14:paraId="5EF56537" w14:textId="77777777" w:rsidTr="00091DA9">
        <w:trPr>
          <w:trHeight w:val="328"/>
        </w:trPr>
        <w:tc>
          <w:tcPr>
            <w:tcW w:w="0" w:type="auto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615041B3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Supplementary Table 1: </w:t>
            </w: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Key CRD-associated metabolites, their metabolic pathways, and immunological impacts contributing to tumor immune evasion</w:t>
            </w:r>
          </w:p>
        </w:tc>
      </w:tr>
      <w:tr w:rsidR="00E22818" w:rsidRPr="00EC1086" w14:paraId="3561C461" w14:textId="77777777" w:rsidTr="00091DA9">
        <w:trPr>
          <w:trHeight w:val="328"/>
        </w:trPr>
        <w:tc>
          <w:tcPr>
            <w:tcW w:w="0" w:type="auto"/>
            <w:vAlign w:val="center"/>
            <w:hideMark/>
          </w:tcPr>
          <w:p w14:paraId="0738CC1F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Metabolite</w:t>
            </w:r>
          </w:p>
        </w:tc>
        <w:tc>
          <w:tcPr>
            <w:tcW w:w="0" w:type="auto"/>
            <w:vAlign w:val="center"/>
            <w:hideMark/>
          </w:tcPr>
          <w:p w14:paraId="28FB6C46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Pathway</w:t>
            </w:r>
          </w:p>
        </w:tc>
        <w:tc>
          <w:tcPr>
            <w:tcW w:w="0" w:type="auto"/>
            <w:vAlign w:val="center"/>
            <w:hideMark/>
          </w:tcPr>
          <w:p w14:paraId="507576F2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Key Effect</w:t>
            </w:r>
          </w:p>
        </w:tc>
        <w:tc>
          <w:tcPr>
            <w:tcW w:w="0" w:type="auto"/>
            <w:vAlign w:val="center"/>
            <w:hideMark/>
          </w:tcPr>
          <w:p w14:paraId="456100A0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Immunological Impact</w:t>
            </w:r>
          </w:p>
        </w:tc>
      </w:tr>
      <w:tr w:rsidR="00E22818" w:rsidRPr="00EC1086" w14:paraId="19D4B06F" w14:textId="77777777" w:rsidTr="00091DA9">
        <w:trPr>
          <w:trHeight w:val="460"/>
        </w:trPr>
        <w:tc>
          <w:tcPr>
            <w:tcW w:w="0" w:type="auto"/>
            <w:vAlign w:val="center"/>
            <w:hideMark/>
          </w:tcPr>
          <w:p w14:paraId="02B7974E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Kynurenic acid (KA)</w:t>
            </w:r>
          </w:p>
        </w:tc>
        <w:tc>
          <w:tcPr>
            <w:tcW w:w="0" w:type="auto"/>
            <w:vAlign w:val="center"/>
            <w:hideMark/>
          </w:tcPr>
          <w:p w14:paraId="58344B8C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Tryptophan–kynurenine</w:t>
            </w:r>
          </w:p>
        </w:tc>
        <w:tc>
          <w:tcPr>
            <w:tcW w:w="0" w:type="auto"/>
            <w:vAlign w:val="center"/>
            <w:hideMark/>
          </w:tcPr>
          <w:p w14:paraId="69432D40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AHR activation</w:t>
            </w:r>
          </w:p>
        </w:tc>
        <w:tc>
          <w:tcPr>
            <w:tcW w:w="0" w:type="auto"/>
            <w:vAlign w:val="center"/>
            <w:hideMark/>
          </w:tcPr>
          <w:p w14:paraId="512BD69A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↓ T-cell proliferation and activation; immune evasion</w:t>
            </w:r>
          </w:p>
        </w:tc>
      </w:tr>
      <w:tr w:rsidR="00E22818" w:rsidRPr="00EC1086" w14:paraId="49CE8E07" w14:textId="77777777" w:rsidTr="00091DA9">
        <w:trPr>
          <w:trHeight w:val="526"/>
        </w:trPr>
        <w:tc>
          <w:tcPr>
            <w:tcW w:w="0" w:type="auto"/>
            <w:vAlign w:val="center"/>
            <w:hideMark/>
          </w:tcPr>
          <w:p w14:paraId="0F8147AD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Xanthurenic acid (XA)</w:t>
            </w:r>
          </w:p>
        </w:tc>
        <w:tc>
          <w:tcPr>
            <w:tcW w:w="0" w:type="auto"/>
            <w:vAlign w:val="center"/>
            <w:hideMark/>
          </w:tcPr>
          <w:p w14:paraId="6DA777E9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Tryptophan–kynurenine</w:t>
            </w:r>
          </w:p>
        </w:tc>
        <w:tc>
          <w:tcPr>
            <w:tcW w:w="0" w:type="auto"/>
            <w:vAlign w:val="center"/>
            <w:hideMark/>
          </w:tcPr>
          <w:p w14:paraId="4CB00B19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AHR activation</w:t>
            </w:r>
          </w:p>
        </w:tc>
        <w:tc>
          <w:tcPr>
            <w:tcW w:w="0" w:type="auto"/>
            <w:vAlign w:val="center"/>
            <w:hideMark/>
          </w:tcPr>
          <w:p w14:paraId="18A695D3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↓ Dendritic cell maturation and T-cell priming</w:t>
            </w:r>
          </w:p>
        </w:tc>
      </w:tr>
      <w:tr w:rsidR="00E22818" w:rsidRPr="00EC1086" w14:paraId="76DE99F7" w14:textId="77777777" w:rsidTr="00091DA9">
        <w:trPr>
          <w:trHeight w:val="657"/>
        </w:trPr>
        <w:tc>
          <w:tcPr>
            <w:tcW w:w="0" w:type="auto"/>
            <w:vAlign w:val="center"/>
            <w:hideMark/>
          </w:tcPr>
          <w:p w14:paraId="142B7C3C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Adenosine</w:t>
            </w:r>
          </w:p>
        </w:tc>
        <w:tc>
          <w:tcPr>
            <w:tcW w:w="0" w:type="auto"/>
            <w:vAlign w:val="center"/>
            <w:hideMark/>
          </w:tcPr>
          <w:p w14:paraId="6349CD88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Purine metabolism</w:t>
            </w:r>
          </w:p>
        </w:tc>
        <w:tc>
          <w:tcPr>
            <w:tcW w:w="0" w:type="auto"/>
            <w:vAlign w:val="center"/>
            <w:hideMark/>
          </w:tcPr>
          <w:p w14:paraId="215EBC0A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A2A/A2B receptor signaling</w:t>
            </w:r>
          </w:p>
        </w:tc>
        <w:tc>
          <w:tcPr>
            <w:tcW w:w="0" w:type="auto"/>
            <w:vAlign w:val="center"/>
            <w:hideMark/>
          </w:tcPr>
          <w:p w14:paraId="4A60991C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↓ Cytotoxic T cells; ↑ Tregs; ↑ M2 macrophage polarization</w:t>
            </w:r>
          </w:p>
        </w:tc>
      </w:tr>
      <w:tr w:rsidR="00E22818" w:rsidRPr="00EC1086" w14:paraId="0532A795" w14:textId="77777777" w:rsidTr="00091DA9">
        <w:trPr>
          <w:trHeight w:val="855"/>
        </w:trPr>
        <w:tc>
          <w:tcPr>
            <w:tcW w:w="0" w:type="auto"/>
            <w:vAlign w:val="center"/>
          </w:tcPr>
          <w:p w14:paraId="54C58DEB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Lactic acid</w:t>
            </w:r>
          </w:p>
        </w:tc>
        <w:tc>
          <w:tcPr>
            <w:tcW w:w="0" w:type="auto"/>
            <w:vAlign w:val="center"/>
          </w:tcPr>
          <w:p w14:paraId="39E24D82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Glycolysis</w:t>
            </w:r>
          </w:p>
        </w:tc>
        <w:tc>
          <w:tcPr>
            <w:tcW w:w="0" w:type="auto"/>
            <w:vAlign w:val="center"/>
          </w:tcPr>
          <w:p w14:paraId="39C44599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HCAR1 → HIF-1α activation; histone </w:t>
            </w:r>
            <w:proofErr w:type="spellStart"/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lactylation</w:t>
            </w:r>
            <w:proofErr w:type="spellEnd"/>
          </w:p>
        </w:tc>
        <w:tc>
          <w:tcPr>
            <w:tcW w:w="0" w:type="auto"/>
            <w:vAlign w:val="center"/>
          </w:tcPr>
          <w:p w14:paraId="39AEE276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↓ Cytotoxic T cells; ↓ NK cells; ↑ M2 macrophage polarization</w:t>
            </w:r>
          </w:p>
        </w:tc>
      </w:tr>
      <w:tr w:rsidR="00E22818" w:rsidRPr="00EC1086" w14:paraId="4E28F7DC" w14:textId="77777777" w:rsidTr="00091DA9">
        <w:trPr>
          <w:trHeight w:val="855"/>
        </w:trPr>
        <w:tc>
          <w:tcPr>
            <w:tcW w:w="0" w:type="auto"/>
            <w:vAlign w:val="center"/>
            <w:hideMark/>
          </w:tcPr>
          <w:p w14:paraId="0353A306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Spermidine / N-acetyl-spermidine</w:t>
            </w:r>
          </w:p>
        </w:tc>
        <w:tc>
          <w:tcPr>
            <w:tcW w:w="0" w:type="auto"/>
            <w:vAlign w:val="center"/>
            <w:hideMark/>
          </w:tcPr>
          <w:p w14:paraId="3AA1D0E2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Polyamine metabolism</w:t>
            </w:r>
          </w:p>
        </w:tc>
        <w:tc>
          <w:tcPr>
            <w:tcW w:w="0" w:type="auto"/>
            <w:vAlign w:val="center"/>
            <w:hideMark/>
          </w:tcPr>
          <w:p w14:paraId="6CD72E51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ROS → AMPK → HIF-1α activation</w:t>
            </w:r>
          </w:p>
        </w:tc>
        <w:tc>
          <w:tcPr>
            <w:tcW w:w="0" w:type="auto"/>
            <w:vAlign w:val="center"/>
            <w:hideMark/>
          </w:tcPr>
          <w:p w14:paraId="1618BD75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↓ T-cell activation; ↑ M2 macrophage polarization</w:t>
            </w:r>
          </w:p>
        </w:tc>
      </w:tr>
      <w:tr w:rsidR="00E22818" w:rsidRPr="00EC1086" w14:paraId="63A421CC" w14:textId="77777777" w:rsidTr="00091DA9">
        <w:trPr>
          <w:trHeight w:val="591"/>
        </w:trPr>
        <w:tc>
          <w:tcPr>
            <w:tcW w:w="0" w:type="auto"/>
            <w:vAlign w:val="center"/>
            <w:hideMark/>
          </w:tcPr>
          <w:p w14:paraId="14B9A245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Argininosuccinic acid</w:t>
            </w:r>
          </w:p>
        </w:tc>
        <w:tc>
          <w:tcPr>
            <w:tcW w:w="0" w:type="auto"/>
            <w:vAlign w:val="center"/>
            <w:hideMark/>
          </w:tcPr>
          <w:p w14:paraId="3092E165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Arginine biosynthesis</w:t>
            </w:r>
          </w:p>
        </w:tc>
        <w:tc>
          <w:tcPr>
            <w:tcW w:w="0" w:type="auto"/>
            <w:vAlign w:val="center"/>
            <w:hideMark/>
          </w:tcPr>
          <w:p w14:paraId="0DDDBF9A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L-arginine precursor → ARG1 activation</w:t>
            </w:r>
          </w:p>
        </w:tc>
        <w:tc>
          <w:tcPr>
            <w:tcW w:w="0" w:type="auto"/>
            <w:vAlign w:val="center"/>
            <w:hideMark/>
          </w:tcPr>
          <w:p w14:paraId="0F0C3D9B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L-arginine depletion → ↓ T-cell function and proliferation</w:t>
            </w:r>
          </w:p>
        </w:tc>
      </w:tr>
      <w:tr w:rsidR="00E22818" w:rsidRPr="00EC1086" w14:paraId="3559F435" w14:textId="77777777" w:rsidTr="00091DA9">
        <w:trPr>
          <w:trHeight w:val="460"/>
        </w:trPr>
        <w:tc>
          <w:tcPr>
            <w:tcW w:w="0" w:type="auto"/>
            <w:vAlign w:val="center"/>
            <w:hideMark/>
          </w:tcPr>
          <w:p w14:paraId="2AB17BAF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D-galactose &amp; Glucosamine ↓</w:t>
            </w:r>
          </w:p>
        </w:tc>
        <w:tc>
          <w:tcPr>
            <w:tcW w:w="0" w:type="auto"/>
            <w:vAlign w:val="center"/>
            <w:hideMark/>
          </w:tcPr>
          <w:p w14:paraId="75E2A39D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Glycosylation pathways</w:t>
            </w:r>
          </w:p>
        </w:tc>
        <w:tc>
          <w:tcPr>
            <w:tcW w:w="0" w:type="auto"/>
            <w:vAlign w:val="center"/>
            <w:hideMark/>
          </w:tcPr>
          <w:p w14:paraId="12ABC356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Loss of glycosylation substrates</w:t>
            </w:r>
          </w:p>
        </w:tc>
        <w:tc>
          <w:tcPr>
            <w:tcW w:w="0" w:type="auto"/>
            <w:vAlign w:val="center"/>
            <w:hideMark/>
          </w:tcPr>
          <w:p w14:paraId="6271731C" w14:textId="77777777" w:rsidR="00E22818" w:rsidRPr="00EC1086" w:rsidRDefault="00E22818" w:rsidP="00091DA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C1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Impaired TCR function and antigen presentation</w:t>
            </w:r>
          </w:p>
        </w:tc>
      </w:tr>
    </w:tbl>
    <w:p w14:paraId="56FA5278" w14:textId="77777777" w:rsidR="00E22818" w:rsidRPr="00EC1086" w:rsidRDefault="00E22818" w:rsidP="00E2281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AAECB" w14:textId="77777777" w:rsidR="00E22818" w:rsidRPr="00EC1086" w:rsidRDefault="00E22818" w:rsidP="00E22818">
      <w:pPr>
        <w:rPr>
          <w:rFonts w:ascii="Times New Roman" w:hAnsi="Times New Roman" w:cs="Times New Roman"/>
          <w:sz w:val="24"/>
          <w:szCs w:val="24"/>
        </w:rPr>
      </w:pPr>
    </w:p>
    <w:p w14:paraId="52507C7C" w14:textId="77777777" w:rsidR="00E22818" w:rsidRPr="00EC1086" w:rsidRDefault="00E22818" w:rsidP="00E2281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C4799C" w14:textId="77777777" w:rsidR="00E22818" w:rsidRPr="00EC1086" w:rsidRDefault="00E22818" w:rsidP="00E22818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7A4A56" w14:textId="77777777" w:rsidR="00E22818" w:rsidRPr="00EC1086" w:rsidRDefault="00E22818" w:rsidP="00E2281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829809" w14:textId="77777777" w:rsidR="00E22818" w:rsidRDefault="00E22818" w:rsidP="00E22818"/>
    <w:p w14:paraId="530F8675" w14:textId="77777777" w:rsidR="00E22818" w:rsidRDefault="00E22818" w:rsidP="00E22818"/>
    <w:p w14:paraId="3248D52D" w14:textId="77777777" w:rsidR="00E22818" w:rsidRDefault="00E22818"/>
    <w:sectPr w:rsidR="00E22818" w:rsidSect="00E22818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lnNumType w:countBy="1" w:restart="newSection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61971" w14:textId="77777777" w:rsidR="000653FD" w:rsidRDefault="000653FD">
      <w:pPr>
        <w:spacing w:after="0"/>
      </w:pPr>
      <w:r>
        <w:separator/>
      </w:r>
    </w:p>
  </w:endnote>
  <w:endnote w:type="continuationSeparator" w:id="0">
    <w:p w14:paraId="3103F5C8" w14:textId="77777777" w:rsidR="000653FD" w:rsidRDefault="000653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7B491" w14:textId="77777777" w:rsidR="00E22818" w:rsidRPr="00D309E9" w:rsidRDefault="00E228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 w:rsidRPr="00D309E9">
      <w:rPr>
        <w:color w:val="000000"/>
      </w:rPr>
      <w:fldChar w:fldCharType="begin"/>
    </w:r>
    <w:r w:rsidRPr="00D309E9">
      <w:rPr>
        <w:color w:val="000000"/>
      </w:rPr>
      <w:instrText>PAGE</w:instrText>
    </w:r>
    <w:r w:rsidRPr="00D309E9">
      <w:rPr>
        <w:color w:val="000000"/>
      </w:rPr>
      <w:fldChar w:fldCharType="separate"/>
    </w:r>
    <w:r w:rsidRPr="00D309E9">
      <w:rPr>
        <w:color w:val="000000"/>
      </w:rPr>
      <w:t>2</w:t>
    </w:r>
    <w:r w:rsidRPr="00D309E9">
      <w:rPr>
        <w:color w:val="000000"/>
      </w:rPr>
      <w:fldChar w:fldCharType="end"/>
    </w:r>
  </w:p>
  <w:p w14:paraId="3856D334" w14:textId="77777777" w:rsidR="00E22818" w:rsidRPr="00D309E9" w:rsidRDefault="00E228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08337" w14:textId="77777777" w:rsidR="000653FD" w:rsidRDefault="000653FD">
      <w:pPr>
        <w:spacing w:after="0"/>
      </w:pPr>
      <w:r>
        <w:separator/>
      </w:r>
    </w:p>
  </w:footnote>
  <w:footnote w:type="continuationSeparator" w:id="0">
    <w:p w14:paraId="1570AA8D" w14:textId="77777777" w:rsidR="000653FD" w:rsidRDefault="000653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B27A2" w14:textId="77777777" w:rsidR="00E22818" w:rsidRPr="00D309E9" w:rsidRDefault="00E22818">
    <w:pPr>
      <w:jc w:val="right"/>
      <w:rPr>
        <w:sz w:val="20"/>
        <w:szCs w:val="20"/>
      </w:rPr>
    </w:pPr>
  </w:p>
  <w:p w14:paraId="0A4C653F" w14:textId="77777777" w:rsidR="00E22818" w:rsidRPr="00D309E9" w:rsidRDefault="00E228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818"/>
    <w:rsid w:val="000653FD"/>
    <w:rsid w:val="003E0FAE"/>
    <w:rsid w:val="00713C99"/>
    <w:rsid w:val="009D16F5"/>
    <w:rsid w:val="00E2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79164"/>
  <w15:chartTrackingRefBased/>
  <w15:docId w15:val="{C2274BFF-3ACD-4A7C-902D-F8F8E20A1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818"/>
    <w:pPr>
      <w:spacing w:after="20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81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281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281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281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281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281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281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281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281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28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28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28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28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28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28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28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28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28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28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228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2818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228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2818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228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2818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228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8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8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2818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E22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388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Ogunlusi, Olajumoke Victoria</dc:creator>
  <cp:keywords/>
  <dc:description/>
  <cp:lastModifiedBy>Roy Sarkar, Tapasree</cp:lastModifiedBy>
  <cp:revision>2</cp:revision>
  <dcterms:created xsi:type="dcterms:W3CDTF">2025-12-15T19:42:00Z</dcterms:created>
  <dcterms:modified xsi:type="dcterms:W3CDTF">2025-12-15T19:42:00Z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0db0caa0-8fd7-4270-8272-6afbccddf7ac</vt:lpwstr>
  </property>
</Properties>
</file>