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365C" w:rsidRPr="00572A67" w:rsidRDefault="0038365C" w:rsidP="0038365C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572A67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:rsidR="0038365C" w:rsidRPr="009D5FD7" w:rsidRDefault="0038365C" w:rsidP="0038365C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>able S1</w:t>
      </w:r>
      <w:r w:rsidRPr="009D5FD7">
        <w:rPr>
          <w:rFonts w:ascii="Times New Roman" w:hAnsi="Times New Roman" w:cs="Times New Roman"/>
          <w:sz w:val="24"/>
          <w:szCs w:val="24"/>
        </w:rPr>
        <w:t xml:space="preserve"> Investigated </w:t>
      </w:r>
      <w:r>
        <w:rPr>
          <w:rStyle w:val="fontstyle01"/>
        </w:rPr>
        <w:t>Fourier–transform infrared spectroscopy</w:t>
      </w:r>
      <w:r w:rsidRPr="002774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D5FD7">
        <w:rPr>
          <w:rFonts w:ascii="Times New Roman" w:hAnsi="Times New Roman" w:cs="Times New Roman"/>
          <w:sz w:val="24"/>
          <w:szCs w:val="24"/>
        </w:rPr>
        <w:t>FTIR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9D5FD7">
        <w:rPr>
          <w:rFonts w:ascii="Times New Roman" w:hAnsi="Times New Roman" w:cs="Times New Roman"/>
          <w:sz w:val="24"/>
          <w:szCs w:val="24"/>
        </w:rPr>
        <w:t xml:space="preserve"> peak areas and organic functional group assignments.</w:t>
      </w:r>
    </w:p>
    <w:tbl>
      <w:tblPr>
        <w:tblStyle w:val="TableGrid"/>
        <w:tblW w:w="967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0"/>
        <w:gridCol w:w="1276"/>
        <w:gridCol w:w="1419"/>
        <w:gridCol w:w="1422"/>
        <w:gridCol w:w="2698"/>
        <w:gridCol w:w="1589"/>
      </w:tblGrid>
      <w:tr w:rsidR="0038365C" w:rsidRPr="00A94DD3" w:rsidTr="00774A39">
        <w:tc>
          <w:tcPr>
            <w:tcW w:w="1270" w:type="dxa"/>
            <w:vMerge w:val="restart"/>
            <w:tcBorders>
              <w:right w:val="nil"/>
            </w:tcBorders>
            <w:vAlign w:val="center"/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>
              <w:rPr>
                <w:rFonts w:hint="eastAsia"/>
                <w:color w:val="333333"/>
                <w:shd w:val="clear" w:color="auto" w:fill="F7F8FA"/>
              </w:rPr>
              <w:t>P</w:t>
            </w:r>
            <w:r>
              <w:rPr>
                <w:color w:val="333333"/>
                <w:shd w:val="clear" w:color="auto" w:fill="F7F8FA"/>
              </w:rPr>
              <w:t>eak name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vAlign w:val="center"/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>
              <w:rPr>
                <w:rFonts w:hint="eastAsia"/>
                <w:color w:val="333333"/>
                <w:shd w:val="clear" w:color="auto" w:fill="F7F8FA"/>
              </w:rPr>
              <w:t>B</w:t>
            </w:r>
            <w:r>
              <w:rPr>
                <w:color w:val="333333"/>
                <w:shd w:val="clear" w:color="auto" w:fill="F7F8FA"/>
              </w:rPr>
              <w:t>and ranges (cm</w:t>
            </w:r>
            <w:r w:rsidRPr="00356BB4">
              <w:rPr>
                <w:color w:val="333333"/>
                <w:shd w:val="clear" w:color="auto" w:fill="F7F8FA"/>
                <w:vertAlign w:val="superscript"/>
              </w:rPr>
              <w:t>-1</w:t>
            </w:r>
            <w:r>
              <w:rPr>
                <w:color w:val="333333"/>
                <w:shd w:val="clear" w:color="auto" w:fill="F7F8FA"/>
              </w:rPr>
              <w:t>)</w:t>
            </w:r>
          </w:p>
        </w:tc>
        <w:tc>
          <w:tcPr>
            <w:tcW w:w="284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8365C" w:rsidRPr="00A94DD3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>
              <w:rPr>
                <w:rFonts w:hint="eastAsia"/>
                <w:color w:val="333333"/>
                <w:shd w:val="clear" w:color="auto" w:fill="F7F8FA"/>
              </w:rPr>
              <w:t>R</w:t>
            </w:r>
            <w:r>
              <w:rPr>
                <w:color w:val="333333"/>
                <w:shd w:val="clear" w:color="auto" w:fill="F7F8FA"/>
              </w:rPr>
              <w:t>elative peak areas (%)</w:t>
            </w:r>
          </w:p>
        </w:tc>
        <w:tc>
          <w:tcPr>
            <w:tcW w:w="2698" w:type="dxa"/>
            <w:vMerge w:val="restart"/>
            <w:tcBorders>
              <w:left w:val="nil"/>
              <w:right w:val="nil"/>
            </w:tcBorders>
            <w:vAlign w:val="center"/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>
              <w:rPr>
                <w:rFonts w:hint="eastAsia"/>
                <w:color w:val="333333"/>
                <w:shd w:val="clear" w:color="auto" w:fill="F7F8FA"/>
              </w:rPr>
              <w:t>P</w:t>
            </w:r>
            <w:r>
              <w:rPr>
                <w:color w:val="333333"/>
                <w:shd w:val="clear" w:color="auto" w:fill="F7F8FA"/>
              </w:rPr>
              <w:t>robable organic C assignment</w:t>
            </w:r>
          </w:p>
        </w:tc>
        <w:tc>
          <w:tcPr>
            <w:tcW w:w="1589" w:type="dxa"/>
            <w:vMerge w:val="restart"/>
            <w:tcBorders>
              <w:left w:val="nil"/>
            </w:tcBorders>
            <w:vAlign w:val="center"/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>
              <w:rPr>
                <w:rFonts w:hint="eastAsia"/>
                <w:color w:val="333333"/>
                <w:shd w:val="clear" w:color="auto" w:fill="F7F8FA"/>
              </w:rPr>
              <w:t>H</w:t>
            </w:r>
            <w:r>
              <w:rPr>
                <w:color w:val="333333"/>
                <w:shd w:val="clear" w:color="auto" w:fill="F7F8FA"/>
              </w:rPr>
              <w:t>ypothesized stability</w:t>
            </w:r>
          </w:p>
        </w:tc>
      </w:tr>
      <w:tr w:rsidR="0038365C" w:rsidRPr="00A94DD3" w:rsidTr="00774A39">
        <w:tc>
          <w:tcPr>
            <w:tcW w:w="1270" w:type="dxa"/>
            <w:vMerge/>
            <w:tcBorders>
              <w:bottom w:val="single" w:sz="4" w:space="0" w:color="auto"/>
              <w:right w:val="nil"/>
            </w:tcBorders>
          </w:tcPr>
          <w:p w:rsidR="0038365C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38365C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</w:p>
        </w:tc>
        <w:tc>
          <w:tcPr>
            <w:tcW w:w="141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8365C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>
              <w:rPr>
                <w:rFonts w:hint="eastAsia"/>
                <w:color w:val="333333"/>
                <w:shd w:val="clear" w:color="auto" w:fill="F7F8FA"/>
              </w:rPr>
              <w:t>O</w:t>
            </w:r>
            <w:r>
              <w:rPr>
                <w:color w:val="333333"/>
                <w:shd w:val="clear" w:color="auto" w:fill="F7F8FA"/>
              </w:rPr>
              <w:t>ld field</w:t>
            </w:r>
          </w:p>
        </w:tc>
        <w:tc>
          <w:tcPr>
            <w:tcW w:w="142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8365C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>
              <w:rPr>
                <w:rFonts w:hint="eastAsia"/>
                <w:color w:val="333333"/>
                <w:shd w:val="clear" w:color="auto" w:fill="F7F8FA"/>
              </w:rPr>
              <w:t>B</w:t>
            </w:r>
            <w:r>
              <w:rPr>
                <w:color w:val="333333"/>
                <w:shd w:val="clear" w:color="auto" w:fill="F7F8FA"/>
              </w:rPr>
              <w:t>are fallow</w:t>
            </w:r>
          </w:p>
        </w:tc>
        <w:tc>
          <w:tcPr>
            <w:tcW w:w="269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</w:p>
        </w:tc>
        <w:tc>
          <w:tcPr>
            <w:tcW w:w="1589" w:type="dxa"/>
            <w:vMerge/>
            <w:tcBorders>
              <w:left w:val="nil"/>
              <w:bottom w:val="single" w:sz="4" w:space="0" w:color="auto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</w:p>
        </w:tc>
      </w:tr>
      <w:tr w:rsidR="0038365C" w:rsidRPr="00A94DD3" w:rsidTr="00774A39">
        <w:tc>
          <w:tcPr>
            <w:tcW w:w="1270" w:type="dxa"/>
            <w:tcBorders>
              <w:bottom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color w:val="333333"/>
                <w:shd w:val="clear" w:color="auto" w:fill="F7F8FA"/>
              </w:rPr>
              <w:t>2930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color w:val="333333"/>
                <w:shd w:val="clear" w:color="auto" w:fill="F7F8FA"/>
              </w:rPr>
              <w:t>2995-2880</w:t>
            </w: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rFonts w:eastAsia="DengXian"/>
                <w:color w:val="000000"/>
              </w:rPr>
              <w:t>2.00 (</w:t>
            </w:r>
            <w:r w:rsidRPr="00CE5A05">
              <w:rPr>
                <w:rFonts w:eastAsia="DengXian"/>
                <w:color w:val="000000"/>
              </w:rPr>
              <w:t>0.04) b</w:t>
            </w: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rFonts w:eastAsia="DengXian"/>
                <w:color w:val="000000"/>
              </w:rPr>
              <w:t>1.74 (</w:t>
            </w:r>
            <w:r w:rsidRPr="00CE5A05">
              <w:rPr>
                <w:rFonts w:eastAsia="DengXian"/>
                <w:color w:val="000000"/>
              </w:rPr>
              <w:t>0.04) a</w:t>
            </w:r>
          </w:p>
        </w:tc>
        <w:tc>
          <w:tcPr>
            <w:tcW w:w="2698" w:type="dxa"/>
            <w:tcBorders>
              <w:left w:val="nil"/>
              <w:bottom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color w:val="333333"/>
                <w:shd w:val="clear" w:color="auto" w:fill="F7F8FA"/>
              </w:rPr>
              <w:t>Aliphatic C-H stretching</w:t>
            </w:r>
            <w:r w:rsidRPr="009D5FD7">
              <w:rPr>
                <w:color w:val="333333"/>
                <w:shd w:val="clear" w:color="auto" w:fill="F7F8FA"/>
                <w:vertAlign w:val="superscript"/>
              </w:rPr>
              <w:t>a,b</w:t>
            </w:r>
          </w:p>
        </w:tc>
        <w:tc>
          <w:tcPr>
            <w:tcW w:w="1589" w:type="dxa"/>
            <w:tcBorders>
              <w:left w:val="nil"/>
              <w:bottom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color w:val="333333"/>
                <w:shd w:val="clear" w:color="auto" w:fill="F7F8FA"/>
              </w:rPr>
              <w:t xml:space="preserve">Labile </w:t>
            </w:r>
          </w:p>
        </w:tc>
      </w:tr>
      <w:tr w:rsidR="0038365C" w:rsidRPr="00A94DD3" w:rsidTr="00774A39">
        <w:tc>
          <w:tcPr>
            <w:tcW w:w="1270" w:type="dxa"/>
            <w:tcBorders>
              <w:top w:val="nil"/>
              <w:bottom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color w:val="333333"/>
                <w:shd w:val="clear" w:color="auto" w:fill="F7F8FA"/>
              </w:rPr>
              <w:t>2850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color w:val="333333"/>
                <w:shd w:val="clear" w:color="auto" w:fill="F7F8FA"/>
              </w:rPr>
              <w:t>2880-2825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rFonts w:eastAsia="DengXian"/>
                <w:color w:val="000000"/>
              </w:rPr>
              <w:t>0.73 (</w:t>
            </w:r>
            <w:r w:rsidRPr="00CE5A05">
              <w:rPr>
                <w:rFonts w:eastAsia="DengXian"/>
                <w:color w:val="000000"/>
              </w:rPr>
              <w:t>0.02) b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rFonts w:eastAsia="DengXian"/>
                <w:color w:val="000000"/>
              </w:rPr>
              <w:t>0.63 (</w:t>
            </w:r>
            <w:r w:rsidRPr="00CE5A05">
              <w:rPr>
                <w:rFonts w:eastAsia="DengXian"/>
                <w:color w:val="000000"/>
              </w:rPr>
              <w:t>0.01) 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color w:val="333333"/>
                <w:shd w:val="clear" w:color="auto" w:fill="F7F8FA"/>
              </w:rPr>
              <w:t>Aliphatic C-H stretching</w:t>
            </w:r>
            <w:r w:rsidRPr="00CE5A05">
              <w:rPr>
                <w:color w:val="333333"/>
                <w:shd w:val="clear" w:color="auto" w:fill="F7F8FA"/>
                <w:vertAlign w:val="superscript"/>
              </w:rPr>
              <w:t>a,b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color w:val="333333"/>
                <w:shd w:val="clear" w:color="auto" w:fill="F7F8FA"/>
              </w:rPr>
              <w:t>Labile</w:t>
            </w:r>
          </w:p>
        </w:tc>
      </w:tr>
      <w:tr w:rsidR="0038365C" w:rsidRPr="00A94DD3" w:rsidTr="00774A39">
        <w:tc>
          <w:tcPr>
            <w:tcW w:w="1270" w:type="dxa"/>
            <w:tcBorders>
              <w:top w:val="nil"/>
              <w:bottom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color w:val="333333"/>
                <w:shd w:val="clear" w:color="auto" w:fill="F7F8FA"/>
              </w:rPr>
              <w:t>1620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color w:val="333333"/>
                <w:shd w:val="clear" w:color="auto" w:fill="F7F8FA"/>
              </w:rPr>
              <w:t>1717-1558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rFonts w:eastAsia="DengXian"/>
                <w:color w:val="000000"/>
              </w:rPr>
              <w:t>4.24 (</w:t>
            </w:r>
            <w:r w:rsidRPr="00CE5A05">
              <w:rPr>
                <w:rFonts w:eastAsia="DengXian"/>
                <w:color w:val="000000"/>
              </w:rPr>
              <w:t>0.05) b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rFonts w:eastAsia="DengXian"/>
                <w:color w:val="000000"/>
              </w:rPr>
              <w:t>3.98 (</w:t>
            </w:r>
            <w:r w:rsidRPr="00CE5A05">
              <w:rPr>
                <w:rFonts w:eastAsia="DengXian"/>
                <w:color w:val="000000"/>
              </w:rPr>
              <w:t>0.05) a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color w:val="333333"/>
                <w:shd w:val="clear" w:color="auto" w:fill="F7F8FA"/>
              </w:rPr>
              <w:t>Aromatic COO-stretching</w:t>
            </w:r>
            <w:r w:rsidRPr="009D5FD7">
              <w:rPr>
                <w:color w:val="333333"/>
                <w:shd w:val="clear" w:color="auto" w:fill="F7F8FA"/>
                <w:vertAlign w:val="superscript"/>
              </w:rPr>
              <w:t>c,d,e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bookmarkStart w:id="0" w:name="OLE_LINK50"/>
            <w:bookmarkStart w:id="1" w:name="OLE_LINK51"/>
            <w:r w:rsidRPr="00A94DD3">
              <w:rPr>
                <w:color w:val="333333"/>
                <w:shd w:val="clear" w:color="auto" w:fill="F7F8FA"/>
              </w:rPr>
              <w:t>Intermediate</w:t>
            </w:r>
            <w:bookmarkEnd w:id="0"/>
            <w:bookmarkEnd w:id="1"/>
          </w:p>
        </w:tc>
      </w:tr>
      <w:tr w:rsidR="0038365C" w:rsidRPr="00A94DD3" w:rsidTr="00774A39">
        <w:tc>
          <w:tcPr>
            <w:tcW w:w="1270" w:type="dxa"/>
            <w:tcBorders>
              <w:top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color w:val="333333"/>
                <w:shd w:val="clear" w:color="auto" w:fill="F7F8FA"/>
              </w:rPr>
              <w:t>1530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color w:val="333333"/>
                <w:shd w:val="clear" w:color="auto" w:fill="F7F8FA"/>
              </w:rPr>
              <w:t>1544-1500</w:t>
            </w:r>
          </w:p>
        </w:tc>
        <w:tc>
          <w:tcPr>
            <w:tcW w:w="1419" w:type="dxa"/>
            <w:tcBorders>
              <w:top w:val="nil"/>
              <w:left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rFonts w:eastAsia="DengXian"/>
                <w:color w:val="000000"/>
              </w:rPr>
              <w:t>0.87 (</w:t>
            </w:r>
            <w:r w:rsidRPr="00CE5A05">
              <w:rPr>
                <w:rFonts w:eastAsia="DengXian"/>
                <w:color w:val="000000"/>
              </w:rPr>
              <w:t>0.02) a</w:t>
            </w:r>
          </w:p>
        </w:tc>
        <w:tc>
          <w:tcPr>
            <w:tcW w:w="1422" w:type="dxa"/>
            <w:tcBorders>
              <w:top w:val="nil"/>
              <w:left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rFonts w:eastAsia="DengXian"/>
                <w:color w:val="000000"/>
              </w:rPr>
              <w:t>0.91 (</w:t>
            </w:r>
            <w:r w:rsidRPr="00CE5A05">
              <w:rPr>
                <w:rFonts w:eastAsia="DengXian"/>
                <w:color w:val="000000"/>
              </w:rPr>
              <w:t>0.02) a</w:t>
            </w:r>
          </w:p>
        </w:tc>
        <w:tc>
          <w:tcPr>
            <w:tcW w:w="2698" w:type="dxa"/>
            <w:tcBorders>
              <w:top w:val="nil"/>
              <w:left w:val="nil"/>
              <w:righ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color w:val="333333"/>
                <w:shd w:val="clear" w:color="auto" w:fill="F7F8FA"/>
              </w:rPr>
              <w:t>C</w:t>
            </w:r>
            <w:r w:rsidRPr="00A94DD3">
              <w:t xml:space="preserve"> </w:t>
            </w:r>
            <w:r w:rsidRPr="00CE5A05">
              <w:rPr>
                <w:color w:val="333333"/>
                <w:shd w:val="clear" w:color="auto" w:fill="F7F8FA"/>
              </w:rPr>
              <w:t>= C of aromatic groups</w:t>
            </w:r>
            <w:r w:rsidRPr="009D5FD7">
              <w:rPr>
                <w:color w:val="333333"/>
                <w:shd w:val="clear" w:color="auto" w:fill="F7F8FA"/>
                <w:vertAlign w:val="superscript"/>
              </w:rPr>
              <w:t>f</w:t>
            </w:r>
          </w:p>
        </w:tc>
        <w:tc>
          <w:tcPr>
            <w:tcW w:w="1589" w:type="dxa"/>
            <w:tcBorders>
              <w:top w:val="nil"/>
              <w:left w:val="nil"/>
            </w:tcBorders>
          </w:tcPr>
          <w:p w:rsidR="0038365C" w:rsidRPr="009D5FD7" w:rsidRDefault="0038365C" w:rsidP="00774A39">
            <w:pPr>
              <w:adjustRightInd w:val="0"/>
              <w:snapToGrid w:val="0"/>
              <w:spacing w:line="480" w:lineRule="auto"/>
              <w:jc w:val="left"/>
              <w:rPr>
                <w:color w:val="333333"/>
                <w:shd w:val="clear" w:color="auto" w:fill="F7F8FA"/>
              </w:rPr>
            </w:pPr>
            <w:r w:rsidRPr="00A94DD3">
              <w:rPr>
                <w:color w:val="333333"/>
                <w:shd w:val="clear" w:color="auto" w:fill="F7F8FA"/>
              </w:rPr>
              <w:t>Intermediate</w:t>
            </w:r>
          </w:p>
        </w:tc>
      </w:tr>
    </w:tbl>
    <w:p w:rsidR="0038365C" w:rsidRDefault="0038365C" w:rsidP="0038365C">
      <w:pPr>
        <w:adjustRightInd w:val="0"/>
        <w:snapToGrid w:val="0"/>
        <w:spacing w:line="480" w:lineRule="auto"/>
        <w:jc w:val="left"/>
        <w:rPr>
          <w:rFonts w:ascii="Times New Roman" w:eastAsia="SimSun" w:hAnsi="Times New Roman" w:cs="Times New Roman"/>
          <w:noProof/>
          <w:kern w:val="0"/>
          <w:sz w:val="24"/>
          <w:szCs w:val="24"/>
        </w:rPr>
      </w:pPr>
      <w:r w:rsidRPr="009D5FD7">
        <w:rPr>
          <w:rStyle w:val="fontstyle01"/>
          <w:rFonts w:ascii="Times New Roman" w:hAnsi="Times New Roman" w:cs="Times New Roman" w:hint="eastAsia"/>
        </w:rPr>
        <w:t>Means within each row</w:t>
      </w:r>
      <w:r w:rsidRPr="009D5FD7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</w:t>
      </w:r>
      <w:r w:rsidRPr="009D5FD7">
        <w:rPr>
          <w:rStyle w:val="fontstyle01"/>
          <w:rFonts w:ascii="Times New Roman" w:hAnsi="Times New Roman" w:cs="Times New Roman" w:hint="eastAsia"/>
        </w:rPr>
        <w:t>followed by different letters represent a significant difference (</w:t>
      </w:r>
      <w:r w:rsidRPr="009D5FD7">
        <w:rPr>
          <w:rStyle w:val="fontstyle31"/>
          <w:rFonts w:ascii="Times New Roman" w:hAnsi="Times New Roman" w:cs="Times New Roman" w:hint="eastAsia"/>
          <w:i/>
          <w:sz w:val="24"/>
          <w:szCs w:val="24"/>
        </w:rPr>
        <w:t>P</w:t>
      </w:r>
      <w:r w:rsidRPr="009D5FD7">
        <w:rPr>
          <w:rStyle w:val="fontstyle31"/>
          <w:rFonts w:ascii="Times New Roman" w:hAnsi="Times New Roman" w:cs="Times New Roman" w:hint="eastAsia"/>
          <w:sz w:val="24"/>
          <w:szCs w:val="24"/>
        </w:rPr>
        <w:t xml:space="preserve"> </w:t>
      </w:r>
      <w:r w:rsidRPr="009D5FD7">
        <w:rPr>
          <w:rStyle w:val="fontstyle01"/>
          <w:rFonts w:ascii="Times New Roman" w:hAnsi="Times New Roman" w:cs="Times New Roman" w:hint="eastAsia"/>
        </w:rPr>
        <w:t>&lt; 0.05).</w:t>
      </w:r>
      <w:r>
        <w:rPr>
          <w:rFonts w:hint="eastAsia"/>
          <w:color w:val="333333"/>
          <w:shd w:val="clear" w:color="auto" w:fill="F7F8FA"/>
        </w:rPr>
        <w:t xml:space="preserve"> </w:t>
      </w:r>
      <w:r w:rsidRPr="009D5FD7">
        <w:rPr>
          <w:rFonts w:ascii="Times New Roman" w:hAnsi="Times New Roman" w:cs="Times New Roman"/>
          <w:color w:val="333333"/>
          <w:sz w:val="24"/>
          <w:szCs w:val="24"/>
          <w:shd w:val="clear" w:color="auto" w:fill="F7F8FA"/>
          <w:vertAlign w:val="superscript"/>
        </w:rPr>
        <w:t>a</w:t>
      </w:r>
      <w:r w:rsidRPr="009D5FD7">
        <w:rPr>
          <w:rFonts w:ascii="Times New Roman" w:hAnsi="Times New Roman" w:cs="Times New Roman"/>
          <w:color w:val="333333"/>
          <w:sz w:val="24"/>
          <w:szCs w:val="24"/>
          <w:shd w:val="clear" w:color="auto" w:fill="F7F8FA"/>
        </w:rPr>
        <w:t xml:space="preserve"> </w:t>
      </w:r>
      <w:r w:rsidRPr="00064A0F">
        <w:rPr>
          <w:rFonts w:ascii="Times New Roman" w:eastAsia="SimSun" w:hAnsi="Times New Roman" w:cs="Times New Roman"/>
          <w:noProof/>
          <w:kern w:val="0"/>
          <w:sz w:val="24"/>
          <w:szCs w:val="24"/>
        </w:rPr>
        <w:t>Senesi et al., (2003)</w:t>
      </w:r>
      <w:r w:rsidRPr="009D5FD7">
        <w:rPr>
          <w:rFonts w:ascii="Times New Roman" w:eastAsia="SimSun" w:hAnsi="Times New Roman" w:cs="Times New Roman"/>
          <w:noProof/>
          <w:kern w:val="0"/>
          <w:sz w:val="24"/>
          <w:szCs w:val="24"/>
        </w:rPr>
        <w:t xml:space="preserve">, </w:t>
      </w:r>
      <w:r w:rsidRPr="009D5FD7">
        <w:rPr>
          <w:rFonts w:ascii="Times New Roman" w:eastAsia="SimSun" w:hAnsi="Times New Roman" w:cs="Times New Roman"/>
          <w:noProof/>
          <w:kern w:val="0"/>
          <w:sz w:val="24"/>
          <w:szCs w:val="24"/>
          <w:vertAlign w:val="superscript"/>
        </w:rPr>
        <w:t>b</w:t>
      </w:r>
      <w:r w:rsidRPr="00064A0F">
        <w:rPr>
          <w:rFonts w:ascii="Times New Roman" w:eastAsia="SimSun" w:hAnsi="Times New Roman" w:cs="Times New Roman"/>
          <w:noProof/>
          <w:kern w:val="0"/>
          <w:sz w:val="24"/>
          <w:szCs w:val="24"/>
        </w:rPr>
        <w:t xml:space="preserve"> Stevenson (1994)</w:t>
      </w:r>
      <w:r w:rsidRPr="009D5FD7">
        <w:rPr>
          <w:rFonts w:ascii="Times New Roman" w:eastAsia="SimSun" w:hAnsi="Times New Roman" w:cs="Times New Roman"/>
          <w:noProof/>
          <w:kern w:val="0"/>
          <w:sz w:val="24"/>
          <w:szCs w:val="24"/>
        </w:rPr>
        <w:t xml:space="preserve">, </w:t>
      </w:r>
      <w:r w:rsidRPr="009D5FD7">
        <w:rPr>
          <w:rFonts w:ascii="Times New Roman" w:eastAsia="SimSun" w:hAnsi="Times New Roman" w:cs="Times New Roman"/>
          <w:noProof/>
          <w:kern w:val="0"/>
          <w:sz w:val="24"/>
          <w:szCs w:val="24"/>
          <w:vertAlign w:val="superscript"/>
        </w:rPr>
        <w:t>c</w:t>
      </w:r>
      <w:r w:rsidRPr="00064A0F">
        <w:rPr>
          <w:rFonts w:ascii="Times New Roman" w:eastAsia="SimSun" w:hAnsi="Times New Roman" w:cs="Times New Roman"/>
          <w:noProof/>
          <w:kern w:val="0"/>
          <w:sz w:val="24"/>
          <w:szCs w:val="24"/>
        </w:rPr>
        <w:t xml:space="preserve"> Demyan et al. (2012)</w:t>
      </w:r>
      <w:r w:rsidRPr="009D5FD7">
        <w:rPr>
          <w:rFonts w:ascii="Times New Roman" w:eastAsia="SimSun" w:hAnsi="Times New Roman" w:cs="Times New Roman"/>
          <w:noProof/>
          <w:kern w:val="0"/>
          <w:sz w:val="24"/>
          <w:szCs w:val="24"/>
        </w:rPr>
        <w:t xml:space="preserve">, </w:t>
      </w:r>
      <w:r w:rsidRPr="009D5FD7">
        <w:rPr>
          <w:rFonts w:ascii="Times New Roman" w:eastAsia="SimSun" w:hAnsi="Times New Roman" w:cs="Times New Roman"/>
          <w:noProof/>
          <w:kern w:val="0"/>
          <w:sz w:val="24"/>
          <w:szCs w:val="24"/>
          <w:vertAlign w:val="superscript"/>
        </w:rPr>
        <w:t>d</w:t>
      </w:r>
      <w:r w:rsidRPr="00064A0F">
        <w:rPr>
          <w:rFonts w:ascii="Times New Roman" w:eastAsia="SimSun" w:hAnsi="Times New Roman" w:cs="Times New Roman"/>
          <w:noProof/>
          <w:kern w:val="0"/>
          <w:sz w:val="24"/>
          <w:szCs w:val="24"/>
        </w:rPr>
        <w:t xml:space="preserve"> Nault et al. (2009)</w:t>
      </w:r>
      <w:r w:rsidRPr="009D5FD7">
        <w:rPr>
          <w:rFonts w:ascii="Times New Roman" w:eastAsia="SimSun" w:hAnsi="Times New Roman" w:cs="Times New Roman"/>
          <w:noProof/>
          <w:kern w:val="0"/>
          <w:sz w:val="24"/>
          <w:szCs w:val="24"/>
        </w:rPr>
        <w:t xml:space="preserve">, </w:t>
      </w:r>
      <w:r w:rsidRPr="009D5FD7">
        <w:rPr>
          <w:rFonts w:ascii="Times New Roman" w:eastAsia="SimSun" w:hAnsi="Times New Roman" w:cs="Times New Roman"/>
          <w:noProof/>
          <w:kern w:val="0"/>
          <w:sz w:val="24"/>
          <w:szCs w:val="24"/>
          <w:vertAlign w:val="superscript"/>
        </w:rPr>
        <w:t>e</w:t>
      </w:r>
      <w:r w:rsidRPr="00064A0F">
        <w:rPr>
          <w:rFonts w:ascii="Times New Roman" w:eastAsia="SimSun" w:hAnsi="Times New Roman" w:cs="Times New Roman"/>
          <w:noProof/>
          <w:kern w:val="0"/>
          <w:sz w:val="24"/>
          <w:szCs w:val="24"/>
        </w:rPr>
        <w:t xml:space="preserve"> Smidt and Meissl (2007)</w:t>
      </w:r>
      <w:r w:rsidRPr="009D5FD7">
        <w:rPr>
          <w:rFonts w:ascii="Times New Roman" w:eastAsia="SimSun" w:hAnsi="Times New Roman" w:cs="Times New Roman"/>
          <w:noProof/>
          <w:kern w:val="0"/>
          <w:sz w:val="24"/>
          <w:szCs w:val="24"/>
        </w:rPr>
        <w:t xml:space="preserve">, </w:t>
      </w:r>
      <w:r w:rsidRPr="009D5FD7">
        <w:rPr>
          <w:rFonts w:ascii="Times New Roman" w:eastAsia="SimSun" w:hAnsi="Times New Roman" w:cs="Times New Roman"/>
          <w:noProof/>
          <w:kern w:val="0"/>
          <w:sz w:val="24"/>
          <w:szCs w:val="24"/>
          <w:vertAlign w:val="superscript"/>
        </w:rPr>
        <w:t>f</w:t>
      </w:r>
      <w:r w:rsidRPr="00064A0F">
        <w:rPr>
          <w:rFonts w:ascii="Times New Roman" w:eastAsia="SimSun" w:hAnsi="Times New Roman" w:cs="Times New Roman"/>
          <w:noProof/>
          <w:kern w:val="0"/>
          <w:sz w:val="24"/>
          <w:szCs w:val="24"/>
        </w:rPr>
        <w:t xml:space="preserve"> Duboc et al. (2012).</w:t>
      </w:r>
      <w:r>
        <w:rPr>
          <w:rFonts w:ascii="Times New Roman" w:eastAsia="SimSun" w:hAnsi="Times New Roman" w:cs="Times New Roman"/>
          <w:noProof/>
          <w:kern w:val="0"/>
          <w:sz w:val="24"/>
          <w:szCs w:val="24"/>
        </w:rPr>
        <w:br w:type="page"/>
      </w:r>
    </w:p>
    <w:p w:rsidR="0038365C" w:rsidRDefault="0038365C" w:rsidP="0038365C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07B22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25925C3D" wp14:editId="7AE952B1">
            <wp:extent cx="4059272" cy="3428456"/>
            <wp:effectExtent l="0" t="0" r="0" b="635"/>
            <wp:docPr id="10" name="图片 10" descr="C:\Users\Zxy\OneDrive\PHD research\试验一\PE_temperature sensitivity\Figures &amp; Tables\figures\HL\FTIR-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xy\OneDrive\PHD research\试验一\PE_temperature sensitivity\Figures &amp; Tables\figures\HL\FTIR-S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0644" cy="342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65C" w:rsidRDefault="0038365C" w:rsidP="0038365C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72A67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>
        <w:rPr>
          <w:rStyle w:val="fontstyle01"/>
        </w:rPr>
        <w:t xml:space="preserve">Fourier–transform infrared spectroscopy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25A75">
        <w:rPr>
          <w:rFonts w:ascii="Times New Roman" w:hAnsi="Times New Roman" w:cs="Times New Roman"/>
          <w:sz w:val="24"/>
          <w:szCs w:val="24"/>
        </w:rPr>
        <w:t>FTIR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Style w:val="fontstyle01"/>
        </w:rPr>
        <w:t>for the old-field and bare</w:t>
      </w:r>
      <w:r>
        <w:rPr>
          <w:rStyle w:val="fontstyle21"/>
        </w:rPr>
        <w:t xml:space="preserve"> </w:t>
      </w:r>
      <w:r>
        <w:rPr>
          <w:rStyle w:val="fontstyle01"/>
        </w:rPr>
        <w:t>fallow soils. Values are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Style w:val="fontstyle01"/>
        </w:rPr>
        <w:t>means of three replicates.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8365C" w:rsidRDefault="0038365C" w:rsidP="0038365C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72A67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64165BE4" wp14:editId="48D022F4">
            <wp:extent cx="5400040" cy="3319191"/>
            <wp:effectExtent l="0" t="0" r="0" b="0"/>
            <wp:docPr id="16" name="图片 16" descr="C:\Users\Zxy\OneDrive\PHD research\试验一\PE\Figures &amp; Tables\figures\HL\δ13C &amp; Ctota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Zxy\OneDrive\PHD research\试验一\PE\Figures &amp; Tables\figures\HL\δ13C &amp; Ctotal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319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A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365C" w:rsidRPr="00572A67" w:rsidRDefault="0038365C" w:rsidP="0038365C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72A67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572A67">
        <w:rPr>
          <w:rFonts w:ascii="Times New Roman" w:hAnsi="Times New Roman" w:cs="Times New Roman"/>
          <w:sz w:val="24"/>
          <w:szCs w:val="24"/>
        </w:rPr>
        <w:t xml:space="preserve"> Dynamics of δ</w:t>
      </w:r>
      <w:r w:rsidRPr="00572A6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572A67">
        <w:rPr>
          <w:rFonts w:ascii="Times New Roman" w:hAnsi="Times New Roman" w:cs="Times New Roman"/>
          <w:sz w:val="24"/>
          <w:szCs w:val="24"/>
        </w:rPr>
        <w:t xml:space="preserve">C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572A67">
        <w:rPr>
          <w:rFonts w:ascii="Times New Roman" w:hAnsi="Times New Roman" w:cs="Times New Roman"/>
          <w:sz w:val="24"/>
          <w:szCs w:val="24"/>
        </w:rPr>
        <w:t xml:space="preserve"> total soil CO</w:t>
      </w:r>
      <w:r w:rsidRPr="00572A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72A67">
        <w:rPr>
          <w:rFonts w:ascii="Times New Roman" w:hAnsi="Times New Roman" w:cs="Times New Roman"/>
          <w:sz w:val="24"/>
          <w:szCs w:val="24"/>
        </w:rPr>
        <w:t xml:space="preserve"> efflux from the </w:t>
      </w:r>
      <w:r>
        <w:rPr>
          <w:rFonts w:ascii="Times New Roman" w:hAnsi="Times New Roman" w:cs="Times New Roman"/>
          <w:sz w:val="24"/>
          <w:szCs w:val="24"/>
        </w:rPr>
        <w:t>maize leaves</w:t>
      </w:r>
      <w:r w:rsidRPr="00572A67">
        <w:rPr>
          <w:rFonts w:ascii="Times New Roman" w:hAnsi="Times New Roman" w:cs="Times New Roman"/>
          <w:sz w:val="24"/>
          <w:szCs w:val="24"/>
        </w:rPr>
        <w:t xml:space="preserve">-amended and non-amended control soils 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572A67">
        <w:rPr>
          <w:rFonts w:ascii="Times New Roman" w:hAnsi="Times New Roman" w:cs="Times New Roman"/>
          <w:sz w:val="24"/>
          <w:szCs w:val="24"/>
        </w:rPr>
        <w:t xml:space="preserve"> low (10 ℃) and high (20 ℃) temperature treatments. Error bars indicate standard errors of the mean (n = 4). </w:t>
      </w:r>
      <w:r w:rsidRPr="00572A67">
        <w:rPr>
          <w:rFonts w:ascii="Times New Roman" w:hAnsi="Times New Roman" w:cs="Times New Roman"/>
          <w:sz w:val="24"/>
          <w:szCs w:val="24"/>
        </w:rPr>
        <w:br w:type="page"/>
      </w:r>
    </w:p>
    <w:p w:rsidR="0038365C" w:rsidRDefault="0038365C" w:rsidP="0038365C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72A67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73D9BE68" wp14:editId="036A9ED6">
            <wp:extent cx="5400040" cy="2507161"/>
            <wp:effectExtent l="0" t="0" r="0" b="7620"/>
            <wp:docPr id="7" name="图片 7" descr="C:\Users\Zxy\OneDrive\PHD research\试验一\PE\Figures &amp; Tables\figures\HL\instantaneous P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Zxy\OneDrive\PHD research\试验一\PE\Figures &amp; Tables\figures\HL\instantaneous PE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507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65C" w:rsidRPr="00572A67" w:rsidRDefault="0038365C" w:rsidP="0038365C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72A67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3.</w:t>
      </w:r>
      <w:r w:rsidRPr="00572A67">
        <w:rPr>
          <w:rFonts w:ascii="Times New Roman" w:hAnsi="Times New Roman" w:cs="Times New Roman"/>
          <w:sz w:val="24"/>
          <w:szCs w:val="24"/>
        </w:rPr>
        <w:t xml:space="preserve"> Dynamics of SOC-specific priming effect in old field and bare fallow soil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72A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572A67">
        <w:rPr>
          <w:rFonts w:ascii="Times New Roman" w:hAnsi="Times New Roman" w:cs="Times New Roman"/>
          <w:sz w:val="24"/>
          <w:szCs w:val="24"/>
        </w:rPr>
        <w:t xml:space="preserve"> low (10 ℃) and high (20 ℃) temperature treatments. The priming effect is measured by the difference in SOM-derived CO</w:t>
      </w:r>
      <w:r w:rsidRPr="00572A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72A67">
        <w:rPr>
          <w:rFonts w:ascii="Times New Roman" w:hAnsi="Times New Roman" w:cs="Times New Roman"/>
          <w:sz w:val="24"/>
          <w:szCs w:val="24"/>
        </w:rPr>
        <w:t xml:space="preserve">-C between </w:t>
      </w:r>
      <w:r>
        <w:rPr>
          <w:rFonts w:ascii="Times New Roman" w:hAnsi="Times New Roman" w:cs="Times New Roman"/>
          <w:sz w:val="24"/>
          <w:szCs w:val="24"/>
        </w:rPr>
        <w:t>maize leaves</w:t>
      </w:r>
      <w:r w:rsidRPr="00572A67">
        <w:rPr>
          <w:rFonts w:ascii="Times New Roman" w:hAnsi="Times New Roman" w:cs="Times New Roman"/>
          <w:sz w:val="24"/>
          <w:szCs w:val="24"/>
        </w:rPr>
        <w:t>-amended treatment and the non-amended control soil.</w:t>
      </w:r>
    </w:p>
    <w:p w:rsidR="00755780" w:rsidRDefault="00755780">
      <w:bookmarkStart w:id="2" w:name="_GoBack"/>
      <w:bookmarkEnd w:id="2"/>
    </w:p>
    <w:sectPr w:rsidR="00755780" w:rsidSect="00DD7722">
      <w:pgSz w:w="11906" w:h="16838"/>
      <w:pgMar w:top="1701" w:right="1701" w:bottom="1701" w:left="1701" w:header="851" w:footer="992" w:gutter="0"/>
      <w:lnNumType w:countBy="1" w:restart="continuous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rlito">
    <w:altName w:val="Times New Roman"/>
    <w:panose1 w:val="00000000000000000000"/>
    <w:charset w:val="00"/>
    <w:family w:val="roman"/>
    <w:notTrueType/>
    <w:pitch w:val="default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65C"/>
    <w:rsid w:val="0038365C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2D9C5D-FFAE-4B6C-A4E2-6D1B4DA3F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365C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38365C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38365C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38365C"/>
    <w:rPr>
      <w:rFonts w:ascii="Carlito" w:hAnsi="Carlito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DefaultParagraphFont"/>
    <w:rsid w:val="0038365C"/>
    <w:rPr>
      <w:rFonts w:ascii="Carlito" w:hAnsi="Carlito" w:hint="default"/>
      <w:b w:val="0"/>
      <w:bCs w:val="0"/>
      <w:i w:val="0"/>
      <w:iCs w:val="0"/>
      <w:color w:val="000000"/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3836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224</Words>
  <Characters>1278</Characters>
  <Application>Microsoft Office Word</Application>
  <DocSecurity>0</DocSecurity>
  <Lines>10</Lines>
  <Paragraphs>2</Paragraphs>
  <ScaleCrop>false</ScaleCrop>
  <Company>Springer Nature IT</Company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2021-08-26T06:08:00Z</dcterms:created>
  <dcterms:modified xsi:type="dcterms:W3CDTF">2021-08-26T06:08:00Z</dcterms:modified>
</cp:coreProperties>
</file>