
<file path=[Content_Types].xml><?xml version="1.0" encoding="utf-8"?>
<Types xmlns="http://schemas.openxmlformats.org/package/2006/content-types">
  <Override PartName="/word/theme/themeOverride2.xml" ContentType="application/vnd.openxmlformats-officedocument.themeOverride+xml"/>
  <Override PartName="/word/theme/themeOverride3.xml" ContentType="application/vnd.openxmlformats-officedocument.themeOverride+xml"/>
  <Override PartName="/word/theme/themeOverride1.xml" ContentType="application/vnd.openxmlformats-officedocument.themeOverrid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3A95" w:rsidRPr="00014E6B" w:rsidRDefault="00F23A95" w:rsidP="00F23A95">
      <w:pPr>
        <w:spacing w:after="0" w:line="240" w:lineRule="auto"/>
        <w:rPr>
          <w:rStyle w:val="Hyperlink"/>
          <w:rFonts w:ascii="Times New Roman" w:hAnsi="Times New Roman"/>
          <w:b/>
          <w:sz w:val="24"/>
          <w:szCs w:val="24"/>
          <w:u w:val="none"/>
        </w:rPr>
      </w:pPr>
      <w:bookmarkStart w:id="0" w:name="_GoBack"/>
      <w:bookmarkEnd w:id="0"/>
      <w:r w:rsidRPr="00014E6B">
        <w:rPr>
          <w:rStyle w:val="Hyperlink"/>
          <w:rFonts w:ascii="Times New Roman" w:hAnsi="Times New Roman"/>
          <w:b/>
          <w:sz w:val="24"/>
          <w:szCs w:val="24"/>
          <w:u w:val="none"/>
        </w:rPr>
        <w:t>Figures</w:t>
      </w:r>
    </w:p>
    <w:p w:rsidR="00F23A95" w:rsidRDefault="00F23A95" w:rsidP="00F23A95">
      <w:pPr>
        <w:pStyle w:val="EndNoteBibliography"/>
        <w:spacing w:after="0"/>
        <w:ind w:left="720" w:hanging="1890"/>
        <w:rPr>
          <w:rStyle w:val="Hyperlink"/>
        </w:rPr>
      </w:pPr>
      <w:r>
        <w:drawing>
          <wp:inline distT="0" distB="0" distL="0" distR="0">
            <wp:extent cx="7416800" cy="7550150"/>
            <wp:effectExtent l="19050" t="0" r="12700" b="0"/>
            <wp:docPr id="5" name="Chart 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1F7222" w:rsidRDefault="00F23A95" w:rsidP="00014E6B">
      <w:pPr>
        <w:tabs>
          <w:tab w:val="left" w:pos="1130"/>
        </w:tabs>
        <w:spacing w:after="240" w:line="240" w:lineRule="auto"/>
        <w:jc w:val="both"/>
        <w:rPr>
          <w:rFonts w:ascii="Times New Roman" w:hAnsi="Times New Roman"/>
          <w:b/>
          <w:bCs/>
          <w:color w:val="212121"/>
          <w:sz w:val="24"/>
          <w:szCs w:val="24"/>
          <w:shd w:val="clear" w:color="auto" w:fill="FFFFFF"/>
        </w:rPr>
      </w:pPr>
      <w:r w:rsidRPr="00014E6B">
        <w:rPr>
          <w:rStyle w:val="Hyperlink"/>
          <w:rFonts w:ascii="Times New Roman" w:hAnsi="Times New Roman"/>
          <w:b/>
          <w:color w:val="auto"/>
          <w:u w:val="none"/>
        </w:rPr>
        <w:t>Figure 1:</w:t>
      </w:r>
      <w:r w:rsidRPr="002E7831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014E6B">
        <w:rPr>
          <w:rFonts w:ascii="Times New Roman" w:hAnsi="Times New Roman"/>
          <w:b/>
          <w:bCs/>
          <w:color w:val="212121"/>
          <w:sz w:val="24"/>
          <w:szCs w:val="24"/>
          <w:shd w:val="clear" w:color="auto" w:fill="FFFFFF"/>
        </w:rPr>
        <w:t xml:space="preserve">Trend in prevalence of </w:t>
      </w:r>
      <w:r w:rsidR="00014E6B" w:rsidRPr="00D13B3B">
        <w:rPr>
          <w:rFonts w:ascii="Times New Roman" w:hAnsi="Times New Roman"/>
          <w:b/>
          <w:bCs/>
          <w:color w:val="212121"/>
          <w:sz w:val="24"/>
          <w:szCs w:val="24"/>
          <w:shd w:val="clear" w:color="auto" w:fill="FFFFFF"/>
        </w:rPr>
        <w:t xml:space="preserve">NDD studies </w:t>
      </w:r>
    </w:p>
    <w:p w:rsidR="001F7222" w:rsidRDefault="001F7222">
      <w:pPr>
        <w:rPr>
          <w:rFonts w:ascii="Times New Roman" w:hAnsi="Times New Roman"/>
          <w:b/>
          <w:bCs/>
          <w:color w:val="212121"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bCs/>
          <w:color w:val="212121"/>
          <w:sz w:val="24"/>
          <w:szCs w:val="24"/>
          <w:shd w:val="clear" w:color="auto" w:fill="FFFFFF"/>
        </w:rPr>
        <w:br w:type="page"/>
      </w:r>
    </w:p>
    <w:p w:rsidR="00F23A95" w:rsidRDefault="00F23A95" w:rsidP="00F23A95">
      <w:pPr>
        <w:pStyle w:val="EndNoteBibliography"/>
        <w:spacing w:after="0"/>
        <w:ind w:left="720" w:hanging="1890"/>
        <w:rPr>
          <w:rStyle w:val="Hyperlink"/>
        </w:rPr>
      </w:pPr>
      <w:r>
        <w:lastRenderedPageBreak/>
        <w:drawing>
          <wp:inline distT="0" distB="0" distL="0" distR="0">
            <wp:extent cx="7423150" cy="6667500"/>
            <wp:effectExtent l="19050" t="0" r="25400" b="0"/>
            <wp:docPr id="6" name="Chart 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F23A95" w:rsidRPr="00014E6B" w:rsidRDefault="00F23A95" w:rsidP="00F23A95">
      <w:pPr>
        <w:pStyle w:val="NormalWeb"/>
        <w:spacing w:beforeAutospacing="0" w:after="240" w:afterAutospacing="0"/>
        <w:ind w:left="720" w:hanging="720"/>
        <w:jc w:val="both"/>
        <w:rPr>
          <w:b/>
          <w:shd w:val="clear" w:color="auto" w:fill="FFFFFF"/>
        </w:rPr>
      </w:pPr>
      <w:r w:rsidRPr="00014E6B">
        <w:rPr>
          <w:rStyle w:val="Hyperlink"/>
          <w:b/>
          <w:color w:val="auto"/>
          <w:u w:val="none"/>
        </w:rPr>
        <w:t xml:space="preserve">Figure 2: </w:t>
      </w:r>
      <w:r w:rsidR="00014E6B" w:rsidRPr="00014E6B">
        <w:rPr>
          <w:rStyle w:val="Hyperlink"/>
          <w:b/>
          <w:color w:val="auto"/>
          <w:u w:val="none"/>
        </w:rPr>
        <w:t>Trends in the prevalence of</w:t>
      </w:r>
      <w:r w:rsidR="00014E6B" w:rsidRPr="00014E6B">
        <w:rPr>
          <w:rStyle w:val="Hyperlink"/>
          <w:b/>
          <w:u w:val="none"/>
        </w:rPr>
        <w:t xml:space="preserve"> </w:t>
      </w:r>
      <w:r w:rsidRPr="00014E6B">
        <w:rPr>
          <w:b/>
          <w:shd w:val="clear" w:color="auto" w:fill="FFFFFF"/>
        </w:rPr>
        <w:t xml:space="preserve">NDD </w:t>
      </w:r>
      <w:r w:rsidR="00014E6B" w:rsidRPr="00014E6B">
        <w:rPr>
          <w:b/>
          <w:shd w:val="clear" w:color="auto" w:fill="FFFFFF"/>
        </w:rPr>
        <w:t>studies</w:t>
      </w:r>
      <w:r w:rsidRPr="00014E6B">
        <w:rPr>
          <w:b/>
          <w:shd w:val="clear" w:color="auto" w:fill="FFFFFF"/>
        </w:rPr>
        <w:t xml:space="preserve"> by design</w:t>
      </w:r>
    </w:p>
    <w:p w:rsidR="00F23A95" w:rsidRDefault="00F23A95" w:rsidP="00F23A95">
      <w:pPr>
        <w:pStyle w:val="NormalWeb"/>
        <w:spacing w:beforeAutospacing="0" w:after="240" w:afterAutospacing="0"/>
        <w:ind w:left="720" w:hanging="1890"/>
        <w:jc w:val="both"/>
        <w:rPr>
          <w:rStyle w:val="Hyperlink"/>
        </w:rPr>
      </w:pPr>
      <w:r>
        <w:rPr>
          <w:noProof/>
        </w:rPr>
        <w:lastRenderedPageBreak/>
        <w:drawing>
          <wp:inline distT="0" distB="0" distL="0" distR="0">
            <wp:extent cx="7473950" cy="6610350"/>
            <wp:effectExtent l="19050" t="0" r="12700" b="0"/>
            <wp:docPr id="7" name="Chart 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F23A95" w:rsidRPr="00014E6B" w:rsidRDefault="00F23A95" w:rsidP="00F23A95">
      <w:pPr>
        <w:pStyle w:val="EndNoteBibliography"/>
        <w:spacing w:after="0"/>
        <w:ind w:left="720" w:hanging="720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014E6B">
        <w:rPr>
          <w:rStyle w:val="Hyperlink"/>
          <w:rFonts w:ascii="Times New Roman" w:hAnsi="Times New Roman" w:cs="Times New Roman"/>
          <w:b/>
          <w:color w:val="auto"/>
          <w:sz w:val="24"/>
          <w:szCs w:val="24"/>
          <w:u w:val="none"/>
        </w:rPr>
        <w:t>Figure 3:</w:t>
      </w:r>
      <w:r w:rsidRPr="00014E6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</w:t>
      </w:r>
      <w:r w:rsidR="00014E6B" w:rsidRPr="00014E6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Trends in the p</w:t>
      </w:r>
      <w:r w:rsidRPr="00014E6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revalence </w:t>
      </w:r>
      <w:r w:rsidR="00014E6B" w:rsidRPr="00014E6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of NDD studies</w:t>
      </w:r>
      <w:r w:rsidRPr="00014E6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by NDD types</w:t>
      </w:r>
    </w:p>
    <w:p w:rsidR="00912EA8" w:rsidRDefault="00912EA8"/>
    <w:sectPr w:rsidR="00912EA8" w:rsidSect="009667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applyBreakingRules/>
  </w:compat>
  <w:rsids>
    <w:rsidRoot w:val="00F23A95"/>
    <w:rsid w:val="00014E6B"/>
    <w:rsid w:val="001F7222"/>
    <w:rsid w:val="004841DE"/>
    <w:rsid w:val="00912EA8"/>
    <w:rsid w:val="0094204E"/>
    <w:rsid w:val="0096674B"/>
    <w:rsid w:val="00D5242E"/>
    <w:rsid w:val="00E63CCA"/>
    <w:rsid w:val="00F23A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3A95"/>
    <w:rPr>
      <w:rFonts w:ascii="Calibri" w:eastAsia="Calibri" w:hAnsi="Calibri" w:cs="Times New Roman"/>
      <w:kern w:val="0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F23A95"/>
    <w:rPr>
      <w:color w:val="0563C1"/>
      <w:u w:val="single"/>
    </w:rPr>
  </w:style>
  <w:style w:type="paragraph" w:styleId="NormalWeb">
    <w:name w:val="Normal (Web)"/>
    <w:basedOn w:val="Normal"/>
    <w:uiPriority w:val="99"/>
    <w:unhideWhenUsed/>
    <w:rsid w:val="00F23A95"/>
    <w:pPr>
      <w:spacing w:beforeAutospacing="1" w:after="2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F23A95"/>
    <w:pPr>
      <w:spacing w:line="240" w:lineRule="auto"/>
      <w:jc w:val="both"/>
    </w:pPr>
    <w:rPr>
      <w:rFonts w:cs="Calibri"/>
      <w:noProof/>
      <w:lang w:val="en-US"/>
    </w:rPr>
  </w:style>
  <w:style w:type="character" w:customStyle="1" w:styleId="EndNoteBibliographyChar">
    <w:name w:val="EndNote Bibliography Char"/>
    <w:link w:val="EndNoteBibliography"/>
    <w:rsid w:val="00F23A95"/>
    <w:rPr>
      <w:rFonts w:ascii="Calibri" w:eastAsia="Calibri" w:hAnsi="Calibri" w:cs="Calibri"/>
      <w:noProof/>
      <w:kern w:val="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23A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3A95"/>
    <w:rPr>
      <w:rFonts w:ascii="Tahoma" w:eastAsia="Calibri" w:hAnsi="Tahoma" w:cs="Tahoma"/>
      <w:kern w:val="0"/>
      <w:sz w:val="16"/>
      <w:szCs w:val="16"/>
      <w:lang w:val="en-C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3A95"/>
    <w:rPr>
      <w:rFonts w:ascii="Calibri" w:eastAsia="Calibri" w:hAnsi="Calibri" w:cs="Times New Roman"/>
      <w:kern w:val="0"/>
      <w:lang w:val="en-CA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F23A95"/>
    <w:rPr>
      <w:color w:val="0563C1"/>
      <w:u w:val="single"/>
    </w:rPr>
  </w:style>
  <w:style w:type="paragraph" w:styleId="NormalWeb">
    <w:name w:val="Normal (Web)"/>
    <w:basedOn w:val="Normal"/>
    <w:uiPriority w:val="99"/>
    <w:unhideWhenUsed/>
    <w:rsid w:val="00F23A95"/>
    <w:pPr>
      <w:spacing w:beforeAutospacing="1" w:after="2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F23A95"/>
    <w:pPr>
      <w:spacing w:line="240" w:lineRule="auto"/>
      <w:jc w:val="both"/>
    </w:pPr>
    <w:rPr>
      <w:rFonts w:cs="Calibri"/>
      <w:noProof/>
      <w:lang w:val="en-US"/>
    </w:rPr>
  </w:style>
  <w:style w:type="character" w:customStyle="1" w:styleId="EndNoteBibliographyChar">
    <w:name w:val="EndNote Bibliography Char"/>
    <w:link w:val="EndNoteBibliography"/>
    <w:rsid w:val="00F23A95"/>
    <w:rPr>
      <w:rFonts w:ascii="Calibri" w:eastAsia="Calibri" w:hAnsi="Calibri" w:cs="Calibri"/>
      <w:noProof/>
      <w:kern w:val="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23A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3A95"/>
    <w:rPr>
      <w:rFonts w:ascii="Tahoma" w:eastAsia="Calibri" w:hAnsi="Tahoma" w:cs="Tahoma"/>
      <w:kern w:val="0"/>
      <w:sz w:val="16"/>
      <w:szCs w:val="16"/>
      <w:lang w:val="en-CA"/>
      <w14:ligatures w14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5" Type="http://schemas.openxmlformats.org/officeDocument/2006/relationships/chart" Target="charts/chart2.xml"/><Relationship Id="rId4" Type="http://schemas.openxmlformats.org/officeDocument/2006/relationships/chart" Target="charts/chart1.xml"/><Relationship Id="rId9" Type="http://schemas.microsoft.com/office/2007/relationships/stylesWithEffects" Target="stylesWithEffects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oleObject" Target="file:///C:\Users\user\Desktop\FF_preva.xlsx" TargetMode="External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oleObject" Target="file:///C:\Users\user\Desktop\FF_preva.xlsx" TargetMode="External"/><Relationship Id="rId1" Type="http://schemas.openxmlformats.org/officeDocument/2006/relationships/themeOverride" Target="../theme/themeOverride2.xm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oleObject" Target="file:///C:\Users\user\Desktop\FF_preva.xlsx" TargetMode="External"/><Relationship Id="rId1" Type="http://schemas.openxmlformats.org/officeDocument/2006/relationships/themeOverride" Target="../theme/themeOverride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en-US"/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9.3007104006916572E-2"/>
          <c:y val="2.8578851649779174E-2"/>
          <c:w val="0.89170163508673572"/>
          <c:h val="0.90333842720166579"/>
        </c:manualLayout>
      </c:layout>
      <c:lineChart>
        <c:grouping val="standard"/>
        <c:ser>
          <c:idx val="0"/>
          <c:order val="0"/>
          <c:tx>
            <c:strRef>
              <c:f>No.studies!$C$1</c:f>
              <c:strCache>
                <c:ptCount val="1"/>
                <c:pt idx="0">
                  <c:v>Overall_studies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</c:trendline>
          <c:errBars>
            <c:errDir val="y"/>
            <c:errBarType val="both"/>
            <c:errValType val="stdErr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numRef>
              <c:f>No.studies!$A$2:$A$24</c:f>
              <c:numCache>
                <c:formatCode>General</c:formatCode>
                <c:ptCount val="23"/>
                <c:pt idx="0">
                  <c:v>1993</c:v>
                </c:pt>
                <c:pt idx="1">
                  <c:v>1998</c:v>
                </c:pt>
                <c:pt idx="2">
                  <c:v>2000</c:v>
                </c:pt>
                <c:pt idx="3">
                  <c:v>2001</c:v>
                </c:pt>
                <c:pt idx="4">
                  <c:v>2005</c:v>
                </c:pt>
                <c:pt idx="5">
                  <c:v>2006</c:v>
                </c:pt>
                <c:pt idx="6">
                  <c:v>2007</c:v>
                </c:pt>
                <c:pt idx="7">
                  <c:v>2008</c:v>
                </c:pt>
                <c:pt idx="8">
                  <c:v>2009</c:v>
                </c:pt>
                <c:pt idx="9">
                  <c:v>2011</c:v>
                </c:pt>
                <c:pt idx="10">
                  <c:v>2012</c:v>
                </c:pt>
                <c:pt idx="11">
                  <c:v>2013</c:v>
                </c:pt>
                <c:pt idx="12">
                  <c:v>2014</c:v>
                </c:pt>
                <c:pt idx="13">
                  <c:v>2015</c:v>
                </c:pt>
                <c:pt idx="14">
                  <c:v>2016</c:v>
                </c:pt>
                <c:pt idx="15">
                  <c:v>2017</c:v>
                </c:pt>
                <c:pt idx="16">
                  <c:v>2018</c:v>
                </c:pt>
                <c:pt idx="17">
                  <c:v>2019</c:v>
                </c:pt>
                <c:pt idx="18">
                  <c:v>2020</c:v>
                </c:pt>
                <c:pt idx="19">
                  <c:v>2021</c:v>
                </c:pt>
                <c:pt idx="20">
                  <c:v>2022</c:v>
                </c:pt>
                <c:pt idx="21">
                  <c:v>2023</c:v>
                </c:pt>
                <c:pt idx="22">
                  <c:v>2024</c:v>
                </c:pt>
              </c:numCache>
            </c:numRef>
          </c:cat>
          <c:val>
            <c:numRef>
              <c:f>No.studies!$C$2:$C$24</c:f>
              <c:numCache>
                <c:formatCode>General</c:formatCode>
                <c:ptCount val="23"/>
                <c:pt idx="0">
                  <c:v>1</c:v>
                </c:pt>
                <c:pt idx="1">
                  <c:v>1</c:v>
                </c:pt>
                <c:pt idx="2">
                  <c:v>1</c:v>
                </c:pt>
                <c:pt idx="3">
                  <c:v>1</c:v>
                </c:pt>
                <c:pt idx="4">
                  <c:v>2</c:v>
                </c:pt>
                <c:pt idx="5">
                  <c:v>3</c:v>
                </c:pt>
                <c:pt idx="6">
                  <c:v>1</c:v>
                </c:pt>
                <c:pt idx="7">
                  <c:v>3</c:v>
                </c:pt>
                <c:pt idx="8">
                  <c:v>5</c:v>
                </c:pt>
                <c:pt idx="9">
                  <c:v>2</c:v>
                </c:pt>
                <c:pt idx="10">
                  <c:v>2</c:v>
                </c:pt>
                <c:pt idx="11">
                  <c:v>1</c:v>
                </c:pt>
                <c:pt idx="12">
                  <c:v>6</c:v>
                </c:pt>
                <c:pt idx="13">
                  <c:v>6</c:v>
                </c:pt>
                <c:pt idx="14">
                  <c:v>4</c:v>
                </c:pt>
                <c:pt idx="15">
                  <c:v>5</c:v>
                </c:pt>
                <c:pt idx="16">
                  <c:v>7</c:v>
                </c:pt>
                <c:pt idx="17">
                  <c:v>7</c:v>
                </c:pt>
                <c:pt idx="18">
                  <c:v>6</c:v>
                </c:pt>
                <c:pt idx="19">
                  <c:v>7</c:v>
                </c:pt>
                <c:pt idx="20">
                  <c:v>1</c:v>
                </c:pt>
                <c:pt idx="21">
                  <c:v>3</c:v>
                </c:pt>
                <c:pt idx="22">
                  <c:v>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02B2-44AE-9C12-9C5A02F1D0C7}"/>
            </c:ext>
          </c:extLst>
        </c:ser>
        <c:ser>
          <c:idx val="1"/>
          <c:order val="1"/>
          <c:tx>
            <c:strRef>
              <c:f>No.studies!$G$1</c:f>
              <c:strCache>
                <c:ptCount val="1"/>
                <c:pt idx="0">
                  <c:v>ADHD_studies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trendline>
            <c:spPr>
              <a:ln w="19050" cap="rnd">
                <a:solidFill>
                  <a:schemeClr val="accent2"/>
                </a:solidFill>
                <a:prstDash val="sysDot"/>
              </a:ln>
              <a:effectLst/>
            </c:spPr>
            <c:trendlineType val="linear"/>
          </c:trendline>
          <c:errBars>
            <c:errDir val="y"/>
            <c:errBarType val="both"/>
            <c:errValType val="stdErr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numRef>
              <c:f>No.studies!$A$2:$A$24</c:f>
              <c:numCache>
                <c:formatCode>General</c:formatCode>
                <c:ptCount val="23"/>
                <c:pt idx="0">
                  <c:v>1993</c:v>
                </c:pt>
                <c:pt idx="1">
                  <c:v>1998</c:v>
                </c:pt>
                <c:pt idx="2">
                  <c:v>2000</c:v>
                </c:pt>
                <c:pt idx="3">
                  <c:v>2001</c:v>
                </c:pt>
                <c:pt idx="4">
                  <c:v>2005</c:v>
                </c:pt>
                <c:pt idx="5">
                  <c:v>2006</c:v>
                </c:pt>
                <c:pt idx="6">
                  <c:v>2007</c:v>
                </c:pt>
                <c:pt idx="7">
                  <c:v>2008</c:v>
                </c:pt>
                <c:pt idx="8">
                  <c:v>2009</c:v>
                </c:pt>
                <c:pt idx="9">
                  <c:v>2011</c:v>
                </c:pt>
                <c:pt idx="10">
                  <c:v>2012</c:v>
                </c:pt>
                <c:pt idx="11">
                  <c:v>2013</c:v>
                </c:pt>
                <c:pt idx="12">
                  <c:v>2014</c:v>
                </c:pt>
                <c:pt idx="13">
                  <c:v>2015</c:v>
                </c:pt>
                <c:pt idx="14">
                  <c:v>2016</c:v>
                </c:pt>
                <c:pt idx="15">
                  <c:v>2017</c:v>
                </c:pt>
                <c:pt idx="16">
                  <c:v>2018</c:v>
                </c:pt>
                <c:pt idx="17">
                  <c:v>2019</c:v>
                </c:pt>
                <c:pt idx="18">
                  <c:v>2020</c:v>
                </c:pt>
                <c:pt idx="19">
                  <c:v>2021</c:v>
                </c:pt>
                <c:pt idx="20">
                  <c:v>2022</c:v>
                </c:pt>
                <c:pt idx="21">
                  <c:v>2023</c:v>
                </c:pt>
                <c:pt idx="22">
                  <c:v>2024</c:v>
                </c:pt>
              </c:numCache>
            </c:numRef>
          </c:cat>
          <c:val>
            <c:numRef>
              <c:f>No.studies!$G$2:$G$24</c:f>
              <c:numCache>
                <c:formatCode>General</c:formatCode>
                <c:ptCount val="23"/>
                <c:pt idx="0">
                  <c:v>0</c:v>
                </c:pt>
                <c:pt idx="1">
                  <c:v>0</c:v>
                </c:pt>
                <c:pt idx="2">
                  <c:v>1</c:v>
                </c:pt>
                <c:pt idx="3">
                  <c:v>1</c:v>
                </c:pt>
                <c:pt idx="4">
                  <c:v>1</c:v>
                </c:pt>
                <c:pt idx="5">
                  <c:v>3</c:v>
                </c:pt>
                <c:pt idx="6">
                  <c:v>1</c:v>
                </c:pt>
                <c:pt idx="7">
                  <c:v>0</c:v>
                </c:pt>
                <c:pt idx="8">
                  <c:v>1</c:v>
                </c:pt>
                <c:pt idx="9">
                  <c:v>2</c:v>
                </c:pt>
                <c:pt idx="10">
                  <c:v>0</c:v>
                </c:pt>
                <c:pt idx="11">
                  <c:v>0</c:v>
                </c:pt>
                <c:pt idx="12">
                  <c:v>2</c:v>
                </c:pt>
                <c:pt idx="13">
                  <c:v>4</c:v>
                </c:pt>
                <c:pt idx="14">
                  <c:v>2</c:v>
                </c:pt>
                <c:pt idx="15">
                  <c:v>3</c:v>
                </c:pt>
                <c:pt idx="16">
                  <c:v>2</c:v>
                </c:pt>
                <c:pt idx="17">
                  <c:v>3</c:v>
                </c:pt>
                <c:pt idx="18">
                  <c:v>2</c:v>
                </c:pt>
                <c:pt idx="19">
                  <c:v>4</c:v>
                </c:pt>
                <c:pt idx="20">
                  <c:v>1</c:v>
                </c:pt>
                <c:pt idx="21">
                  <c:v>1</c:v>
                </c:pt>
                <c:pt idx="22">
                  <c:v>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02B2-44AE-9C12-9C5A02F1D0C7}"/>
            </c:ext>
          </c:extLst>
        </c:ser>
        <c:ser>
          <c:idx val="2"/>
          <c:order val="2"/>
          <c:tx>
            <c:strRef>
              <c:f>No.studies!$H$1</c:f>
              <c:strCache>
                <c:ptCount val="1"/>
                <c:pt idx="0">
                  <c:v>ASD_studies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trendline>
            <c:spPr>
              <a:ln w="19050" cap="rnd">
                <a:solidFill>
                  <a:schemeClr val="accent3"/>
                </a:solidFill>
                <a:prstDash val="sysDot"/>
              </a:ln>
              <a:effectLst/>
            </c:spPr>
            <c:trendlineType val="linear"/>
          </c:trendline>
          <c:errBars>
            <c:errDir val="y"/>
            <c:errBarType val="both"/>
            <c:errValType val="stdErr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numRef>
              <c:f>No.studies!$A$2:$A$24</c:f>
              <c:numCache>
                <c:formatCode>General</c:formatCode>
                <c:ptCount val="23"/>
                <c:pt idx="0">
                  <c:v>1993</c:v>
                </c:pt>
                <c:pt idx="1">
                  <c:v>1998</c:v>
                </c:pt>
                <c:pt idx="2">
                  <c:v>2000</c:v>
                </c:pt>
                <c:pt idx="3">
                  <c:v>2001</c:v>
                </c:pt>
                <c:pt idx="4">
                  <c:v>2005</c:v>
                </c:pt>
                <c:pt idx="5">
                  <c:v>2006</c:v>
                </c:pt>
                <c:pt idx="6">
                  <c:v>2007</c:v>
                </c:pt>
                <c:pt idx="7">
                  <c:v>2008</c:v>
                </c:pt>
                <c:pt idx="8">
                  <c:v>2009</c:v>
                </c:pt>
                <c:pt idx="9">
                  <c:v>2011</c:v>
                </c:pt>
                <c:pt idx="10">
                  <c:v>2012</c:v>
                </c:pt>
                <c:pt idx="11">
                  <c:v>2013</c:v>
                </c:pt>
                <c:pt idx="12">
                  <c:v>2014</c:v>
                </c:pt>
                <c:pt idx="13">
                  <c:v>2015</c:v>
                </c:pt>
                <c:pt idx="14">
                  <c:v>2016</c:v>
                </c:pt>
                <c:pt idx="15">
                  <c:v>2017</c:v>
                </c:pt>
                <c:pt idx="16">
                  <c:v>2018</c:v>
                </c:pt>
                <c:pt idx="17">
                  <c:v>2019</c:v>
                </c:pt>
                <c:pt idx="18">
                  <c:v>2020</c:v>
                </c:pt>
                <c:pt idx="19">
                  <c:v>2021</c:v>
                </c:pt>
                <c:pt idx="20">
                  <c:v>2022</c:v>
                </c:pt>
                <c:pt idx="21">
                  <c:v>2023</c:v>
                </c:pt>
                <c:pt idx="22">
                  <c:v>2024</c:v>
                </c:pt>
              </c:numCache>
            </c:numRef>
          </c:cat>
          <c:val>
            <c:numRef>
              <c:f>No.studies!$H$2:$H$24</c:f>
              <c:numCache>
                <c:formatCode>General</c:formatCode>
                <c:ptCount val="23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1</c:v>
                </c:pt>
                <c:pt idx="5">
                  <c:v>0</c:v>
                </c:pt>
                <c:pt idx="6">
                  <c:v>0</c:v>
                </c:pt>
                <c:pt idx="7">
                  <c:v>1</c:v>
                </c:pt>
                <c:pt idx="8">
                  <c:v>2</c:v>
                </c:pt>
                <c:pt idx="9">
                  <c:v>0</c:v>
                </c:pt>
                <c:pt idx="10">
                  <c:v>0</c:v>
                </c:pt>
                <c:pt idx="11">
                  <c:v>1</c:v>
                </c:pt>
                <c:pt idx="12">
                  <c:v>1</c:v>
                </c:pt>
                <c:pt idx="13">
                  <c:v>1</c:v>
                </c:pt>
                <c:pt idx="14">
                  <c:v>1</c:v>
                </c:pt>
                <c:pt idx="15">
                  <c:v>1</c:v>
                </c:pt>
                <c:pt idx="16">
                  <c:v>2</c:v>
                </c:pt>
                <c:pt idx="17">
                  <c:v>1</c:v>
                </c:pt>
                <c:pt idx="18">
                  <c:v>1</c:v>
                </c:pt>
                <c:pt idx="19">
                  <c:v>3</c:v>
                </c:pt>
                <c:pt idx="20">
                  <c:v>0</c:v>
                </c:pt>
                <c:pt idx="21">
                  <c:v>2</c:v>
                </c:pt>
                <c:pt idx="22">
                  <c:v>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5-02B2-44AE-9C12-9C5A02F1D0C7}"/>
            </c:ext>
          </c:extLst>
        </c:ser>
        <c:ser>
          <c:idx val="3"/>
          <c:order val="3"/>
          <c:tx>
            <c:strRef>
              <c:f>No.studies!$I$1</c:f>
              <c:strCache>
                <c:ptCount val="1"/>
                <c:pt idx="0">
                  <c:v>DCD_studies</c:v>
                </c:pt>
              </c:strCache>
            </c:strRef>
          </c:tx>
          <c:spPr>
            <a:ln w="28575" cap="rnd">
              <a:solidFill>
                <a:schemeClr val="accent4"/>
              </a:solidFill>
              <a:round/>
            </a:ln>
            <a:effectLst/>
          </c:spPr>
          <c:marker>
            <c:symbol val="none"/>
          </c:marker>
          <c:trendline>
            <c:spPr>
              <a:ln w="19050" cap="rnd">
                <a:solidFill>
                  <a:schemeClr val="accent4"/>
                </a:solidFill>
                <a:prstDash val="sysDot"/>
              </a:ln>
              <a:effectLst/>
            </c:spPr>
            <c:trendlineType val="linear"/>
          </c:trendline>
          <c:errBars>
            <c:errDir val="y"/>
            <c:errBarType val="both"/>
            <c:errValType val="stdErr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numRef>
              <c:f>No.studies!$A$2:$A$24</c:f>
              <c:numCache>
                <c:formatCode>General</c:formatCode>
                <c:ptCount val="23"/>
                <c:pt idx="0">
                  <c:v>1993</c:v>
                </c:pt>
                <c:pt idx="1">
                  <c:v>1998</c:v>
                </c:pt>
                <c:pt idx="2">
                  <c:v>2000</c:v>
                </c:pt>
                <c:pt idx="3">
                  <c:v>2001</c:v>
                </c:pt>
                <c:pt idx="4">
                  <c:v>2005</c:v>
                </c:pt>
                <c:pt idx="5">
                  <c:v>2006</c:v>
                </c:pt>
                <c:pt idx="6">
                  <c:v>2007</c:v>
                </c:pt>
                <c:pt idx="7">
                  <c:v>2008</c:v>
                </c:pt>
                <c:pt idx="8">
                  <c:v>2009</c:v>
                </c:pt>
                <c:pt idx="9">
                  <c:v>2011</c:v>
                </c:pt>
                <c:pt idx="10">
                  <c:v>2012</c:v>
                </c:pt>
                <c:pt idx="11">
                  <c:v>2013</c:v>
                </c:pt>
                <c:pt idx="12">
                  <c:v>2014</c:v>
                </c:pt>
                <c:pt idx="13">
                  <c:v>2015</c:v>
                </c:pt>
                <c:pt idx="14">
                  <c:v>2016</c:v>
                </c:pt>
                <c:pt idx="15">
                  <c:v>2017</c:v>
                </c:pt>
                <c:pt idx="16">
                  <c:v>2018</c:v>
                </c:pt>
                <c:pt idx="17">
                  <c:v>2019</c:v>
                </c:pt>
                <c:pt idx="18">
                  <c:v>2020</c:v>
                </c:pt>
                <c:pt idx="19">
                  <c:v>2021</c:v>
                </c:pt>
                <c:pt idx="20">
                  <c:v>2022</c:v>
                </c:pt>
                <c:pt idx="21">
                  <c:v>2023</c:v>
                </c:pt>
                <c:pt idx="22">
                  <c:v>2024</c:v>
                </c:pt>
              </c:numCache>
            </c:numRef>
          </c:cat>
          <c:val>
            <c:numRef>
              <c:f>No.studies!$I$2:$I$24</c:f>
              <c:numCache>
                <c:formatCode>General</c:formatCode>
                <c:ptCount val="23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1</c:v>
                </c:pt>
                <c:pt idx="13">
                  <c:v>1</c:v>
                </c:pt>
                <c:pt idx="14">
                  <c:v>1</c:v>
                </c:pt>
                <c:pt idx="15">
                  <c:v>0</c:v>
                </c:pt>
                <c:pt idx="16">
                  <c:v>0</c:v>
                </c:pt>
                <c:pt idx="17">
                  <c:v>2</c:v>
                </c:pt>
                <c:pt idx="18">
                  <c:v>2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7-02B2-44AE-9C12-9C5A02F1D0C7}"/>
            </c:ext>
          </c:extLst>
        </c:ser>
        <c:ser>
          <c:idx val="4"/>
          <c:order val="4"/>
          <c:tx>
            <c:strRef>
              <c:f>No.studies!$J$1</c:f>
              <c:strCache>
                <c:ptCount val="1"/>
                <c:pt idx="0">
                  <c:v>ID_studies</c:v>
                </c:pt>
              </c:strCache>
            </c:strRef>
          </c:tx>
          <c:spPr>
            <a:ln w="28575" cap="rnd">
              <a:solidFill>
                <a:schemeClr val="accent5"/>
              </a:solidFill>
              <a:round/>
            </a:ln>
            <a:effectLst/>
          </c:spPr>
          <c:marker>
            <c:symbol val="none"/>
          </c:marker>
          <c:trendline>
            <c:spPr>
              <a:ln w="19050" cap="rnd">
                <a:solidFill>
                  <a:schemeClr val="accent5"/>
                </a:solidFill>
                <a:prstDash val="sysDot"/>
              </a:ln>
              <a:effectLst/>
            </c:spPr>
            <c:trendlineType val="linear"/>
          </c:trendline>
          <c:errBars>
            <c:errDir val="y"/>
            <c:errBarType val="both"/>
            <c:errValType val="stdErr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numRef>
              <c:f>No.studies!$A$2:$A$24</c:f>
              <c:numCache>
                <c:formatCode>General</c:formatCode>
                <c:ptCount val="23"/>
                <c:pt idx="0">
                  <c:v>1993</c:v>
                </c:pt>
                <c:pt idx="1">
                  <c:v>1998</c:v>
                </c:pt>
                <c:pt idx="2">
                  <c:v>2000</c:v>
                </c:pt>
                <c:pt idx="3">
                  <c:v>2001</c:v>
                </c:pt>
                <c:pt idx="4">
                  <c:v>2005</c:v>
                </c:pt>
                <c:pt idx="5">
                  <c:v>2006</c:v>
                </c:pt>
                <c:pt idx="6">
                  <c:v>2007</c:v>
                </c:pt>
                <c:pt idx="7">
                  <c:v>2008</c:v>
                </c:pt>
                <c:pt idx="8">
                  <c:v>2009</c:v>
                </c:pt>
                <c:pt idx="9">
                  <c:v>2011</c:v>
                </c:pt>
                <c:pt idx="10">
                  <c:v>2012</c:v>
                </c:pt>
                <c:pt idx="11">
                  <c:v>2013</c:v>
                </c:pt>
                <c:pt idx="12">
                  <c:v>2014</c:v>
                </c:pt>
                <c:pt idx="13">
                  <c:v>2015</c:v>
                </c:pt>
                <c:pt idx="14">
                  <c:v>2016</c:v>
                </c:pt>
                <c:pt idx="15">
                  <c:v>2017</c:v>
                </c:pt>
                <c:pt idx="16">
                  <c:v>2018</c:v>
                </c:pt>
                <c:pt idx="17">
                  <c:v>2019</c:v>
                </c:pt>
                <c:pt idx="18">
                  <c:v>2020</c:v>
                </c:pt>
                <c:pt idx="19">
                  <c:v>2021</c:v>
                </c:pt>
                <c:pt idx="20">
                  <c:v>2022</c:v>
                </c:pt>
                <c:pt idx="21">
                  <c:v>2023</c:v>
                </c:pt>
                <c:pt idx="22">
                  <c:v>2024</c:v>
                </c:pt>
              </c:numCache>
            </c:numRef>
          </c:cat>
          <c:val>
            <c:numRef>
              <c:f>No.studies!$J$2:$J$24</c:f>
              <c:numCache>
                <c:formatCode>General</c:formatCode>
                <c:ptCount val="23"/>
                <c:pt idx="0">
                  <c:v>1</c:v>
                </c:pt>
                <c:pt idx="1">
                  <c:v>1</c:v>
                </c:pt>
                <c:pt idx="2">
                  <c:v>1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1</c:v>
                </c:pt>
                <c:pt idx="9">
                  <c:v>0</c:v>
                </c:pt>
                <c:pt idx="10">
                  <c:v>1</c:v>
                </c:pt>
                <c:pt idx="11">
                  <c:v>0</c:v>
                </c:pt>
                <c:pt idx="12">
                  <c:v>1</c:v>
                </c:pt>
                <c:pt idx="13">
                  <c:v>0</c:v>
                </c:pt>
                <c:pt idx="14">
                  <c:v>0</c:v>
                </c:pt>
                <c:pt idx="15">
                  <c:v>1</c:v>
                </c:pt>
                <c:pt idx="16">
                  <c:v>1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9-02B2-44AE-9C12-9C5A02F1D0C7}"/>
            </c:ext>
          </c:extLst>
        </c:ser>
        <c:ser>
          <c:idx val="5"/>
          <c:order val="5"/>
          <c:tx>
            <c:strRef>
              <c:f>No.studies!$K$1</c:f>
              <c:strCache>
                <c:ptCount val="1"/>
                <c:pt idx="0">
                  <c:v>SLD_studies</c:v>
                </c:pt>
              </c:strCache>
            </c:strRef>
          </c:tx>
          <c:spPr>
            <a:ln w="28575" cap="rnd">
              <a:solidFill>
                <a:schemeClr val="accent6"/>
              </a:solidFill>
              <a:round/>
            </a:ln>
            <a:effectLst/>
          </c:spPr>
          <c:marker>
            <c:symbol val="none"/>
          </c:marker>
          <c:trendline>
            <c:spPr>
              <a:ln w="19050" cap="rnd">
                <a:solidFill>
                  <a:schemeClr val="accent6"/>
                </a:solidFill>
                <a:prstDash val="sysDot"/>
              </a:ln>
              <a:effectLst/>
            </c:spPr>
            <c:trendlineType val="linear"/>
          </c:trendline>
          <c:errBars>
            <c:errDir val="y"/>
            <c:errBarType val="both"/>
            <c:errValType val="stdErr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numRef>
              <c:f>No.studies!$A$2:$A$24</c:f>
              <c:numCache>
                <c:formatCode>General</c:formatCode>
                <c:ptCount val="23"/>
                <c:pt idx="0">
                  <c:v>1993</c:v>
                </c:pt>
                <c:pt idx="1">
                  <c:v>1998</c:v>
                </c:pt>
                <c:pt idx="2">
                  <c:v>2000</c:v>
                </c:pt>
                <c:pt idx="3">
                  <c:v>2001</c:v>
                </c:pt>
                <c:pt idx="4">
                  <c:v>2005</c:v>
                </c:pt>
                <c:pt idx="5">
                  <c:v>2006</c:v>
                </c:pt>
                <c:pt idx="6">
                  <c:v>2007</c:v>
                </c:pt>
                <c:pt idx="7">
                  <c:v>2008</c:v>
                </c:pt>
                <c:pt idx="8">
                  <c:v>2009</c:v>
                </c:pt>
                <c:pt idx="9">
                  <c:v>2011</c:v>
                </c:pt>
                <c:pt idx="10">
                  <c:v>2012</c:v>
                </c:pt>
                <c:pt idx="11">
                  <c:v>2013</c:v>
                </c:pt>
                <c:pt idx="12">
                  <c:v>2014</c:v>
                </c:pt>
                <c:pt idx="13">
                  <c:v>2015</c:v>
                </c:pt>
                <c:pt idx="14">
                  <c:v>2016</c:v>
                </c:pt>
                <c:pt idx="15">
                  <c:v>2017</c:v>
                </c:pt>
                <c:pt idx="16">
                  <c:v>2018</c:v>
                </c:pt>
                <c:pt idx="17">
                  <c:v>2019</c:v>
                </c:pt>
                <c:pt idx="18">
                  <c:v>2020</c:v>
                </c:pt>
                <c:pt idx="19">
                  <c:v>2021</c:v>
                </c:pt>
                <c:pt idx="20">
                  <c:v>2022</c:v>
                </c:pt>
                <c:pt idx="21">
                  <c:v>2023</c:v>
                </c:pt>
                <c:pt idx="22">
                  <c:v>2024</c:v>
                </c:pt>
              </c:numCache>
            </c:numRef>
          </c:cat>
          <c:val>
            <c:numRef>
              <c:f>No.studies!$K$2:$K$24</c:f>
              <c:numCache>
                <c:formatCode>General</c:formatCode>
                <c:ptCount val="23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1</c:v>
                </c:pt>
                <c:pt idx="11">
                  <c:v>0</c:v>
                </c:pt>
                <c:pt idx="12">
                  <c:v>0</c:v>
                </c:pt>
                <c:pt idx="13">
                  <c:v>1</c:v>
                </c:pt>
                <c:pt idx="14">
                  <c:v>0</c:v>
                </c:pt>
                <c:pt idx="15">
                  <c:v>0</c:v>
                </c:pt>
                <c:pt idx="16">
                  <c:v>1</c:v>
                </c:pt>
                <c:pt idx="17">
                  <c:v>0</c:v>
                </c:pt>
                <c:pt idx="18">
                  <c:v>1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B-02B2-44AE-9C12-9C5A02F1D0C7}"/>
            </c:ext>
          </c:extLst>
        </c:ser>
        <c:ser>
          <c:idx val="6"/>
          <c:order val="6"/>
          <c:tx>
            <c:strRef>
              <c:f>No.studies!$L$1</c:f>
              <c:strCache>
                <c:ptCount val="1"/>
                <c:pt idx="0">
                  <c:v>LSD_studies</c:v>
                </c:pt>
              </c:strCache>
            </c:strRef>
          </c:tx>
          <c:spPr>
            <a:ln w="28575" cap="rnd">
              <a:solidFill>
                <a:schemeClr val="accent1">
                  <a:lumMod val="60000"/>
                </a:schemeClr>
              </a:solidFill>
              <a:round/>
            </a:ln>
            <a:effectLst/>
          </c:spPr>
          <c:marker>
            <c:symbol val="none"/>
          </c:marker>
          <c:trendline>
            <c:spPr>
              <a:ln w="19050" cap="rnd">
                <a:solidFill>
                  <a:schemeClr val="accent1">
                    <a:lumMod val="60000"/>
                  </a:schemeClr>
                </a:solidFill>
                <a:prstDash val="sysDot"/>
              </a:ln>
              <a:effectLst/>
            </c:spPr>
            <c:trendlineType val="linear"/>
          </c:trendline>
          <c:errBars>
            <c:errDir val="y"/>
            <c:errBarType val="both"/>
            <c:errValType val="stdErr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numRef>
              <c:f>No.studies!$A$2:$A$24</c:f>
              <c:numCache>
                <c:formatCode>General</c:formatCode>
                <c:ptCount val="23"/>
                <c:pt idx="0">
                  <c:v>1993</c:v>
                </c:pt>
                <c:pt idx="1">
                  <c:v>1998</c:v>
                </c:pt>
                <c:pt idx="2">
                  <c:v>2000</c:v>
                </c:pt>
                <c:pt idx="3">
                  <c:v>2001</c:v>
                </c:pt>
                <c:pt idx="4">
                  <c:v>2005</c:v>
                </c:pt>
                <c:pt idx="5">
                  <c:v>2006</c:v>
                </c:pt>
                <c:pt idx="6">
                  <c:v>2007</c:v>
                </c:pt>
                <c:pt idx="7">
                  <c:v>2008</c:v>
                </c:pt>
                <c:pt idx="8">
                  <c:v>2009</c:v>
                </c:pt>
                <c:pt idx="9">
                  <c:v>2011</c:v>
                </c:pt>
                <c:pt idx="10">
                  <c:v>2012</c:v>
                </c:pt>
                <c:pt idx="11">
                  <c:v>2013</c:v>
                </c:pt>
                <c:pt idx="12">
                  <c:v>2014</c:v>
                </c:pt>
                <c:pt idx="13">
                  <c:v>2015</c:v>
                </c:pt>
                <c:pt idx="14">
                  <c:v>2016</c:v>
                </c:pt>
                <c:pt idx="15">
                  <c:v>2017</c:v>
                </c:pt>
                <c:pt idx="16">
                  <c:v>2018</c:v>
                </c:pt>
                <c:pt idx="17">
                  <c:v>2019</c:v>
                </c:pt>
                <c:pt idx="18">
                  <c:v>2020</c:v>
                </c:pt>
                <c:pt idx="19">
                  <c:v>2021</c:v>
                </c:pt>
                <c:pt idx="20">
                  <c:v>2022</c:v>
                </c:pt>
                <c:pt idx="21">
                  <c:v>2023</c:v>
                </c:pt>
                <c:pt idx="22">
                  <c:v>2024</c:v>
                </c:pt>
              </c:numCache>
            </c:numRef>
          </c:cat>
          <c:val>
            <c:numRef>
              <c:f>No.studies!$L$2:$L$24</c:f>
              <c:numCache>
                <c:formatCode>General</c:formatCode>
                <c:ptCount val="23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1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1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1</c:v>
                </c:pt>
                <c:pt idx="17">
                  <c:v>1</c:v>
                </c:pt>
                <c:pt idx="18">
                  <c:v>1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D-02B2-44AE-9C12-9C5A02F1D0C7}"/>
            </c:ext>
          </c:extLst>
        </c:ser>
        <c:marker val="1"/>
        <c:axId val="130054016"/>
        <c:axId val="130060288"/>
      </c:lineChart>
      <c:catAx>
        <c:axId val="130054016"/>
        <c:scaling>
          <c:orientation val="minMax"/>
        </c:scaling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 Year</a:t>
                </a:r>
              </a:p>
            </c:rich>
          </c:tx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30060288"/>
        <c:crosses val="autoZero"/>
        <c:auto val="1"/>
        <c:lblAlgn val="ctr"/>
        <c:lblOffset val="100"/>
      </c:catAx>
      <c:valAx>
        <c:axId val="130060288"/>
        <c:scaling>
          <c:orientation val="minMax"/>
        </c:scaling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No. of studies</a:t>
                </a:r>
              </a:p>
            </c:rich>
          </c:tx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30054016"/>
        <c:crosses val="autoZero"/>
        <c:crossBetween val="between"/>
      </c:valAx>
      <c:dTable>
        <c:showHorzBorder val="1"/>
        <c:showVertBorder val="1"/>
        <c:showOutline val="1"/>
        <c:showKeys val="1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vert="horz" wrap="square" anchor="ctr" anchorCtr="1"/>
          <a:lstStyle/>
          <a:p>
            <a:pPr rtl="0"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</c:dTable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8.8070741085172655E-2"/>
          <c:y val="4.7330532281595694E-4"/>
          <c:w val="0.90098716483085939"/>
          <c:h val="0.19031346724683579"/>
        </c:manualLayout>
      </c:layout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en-US"/>
  <c:clrMapOvr bg1="lt1" tx1="dk1" bg2="lt2" tx2="dk2" accent1="accent1" accent2="accent2" accent3="accent3" accent4="accent4" accent5="accent5" accent6="accent6" hlink="hlink" folHlink="folHlink"/>
  <c:chart>
    <c:plotArea>
      <c:layout>
        <c:manualLayout>
          <c:layoutTarget val="inner"/>
          <c:xMode val="edge"/>
          <c:yMode val="edge"/>
          <c:x val="9.5416565617088708E-2"/>
          <c:y val="2.6549790681155268E-2"/>
          <c:w val="0.89350084009275021"/>
          <c:h val="0.90851300497226661"/>
        </c:manualLayout>
      </c:layout>
      <c:lineChart>
        <c:grouping val="standard"/>
        <c:ser>
          <c:idx val="0"/>
          <c:order val="0"/>
          <c:tx>
            <c:strRef>
              <c:f>'NDDs_overall,design'!$C$1</c:f>
              <c:strCache>
                <c:ptCount val="1"/>
                <c:pt idx="0">
                  <c:v>Case control study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</c:trendline>
          <c:errBars>
            <c:errDir val="y"/>
            <c:errBarType val="both"/>
            <c:errValType val="stdErr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numRef>
              <c:f>'NDDs_overall,design'!$A$2:$A$24</c:f>
              <c:numCache>
                <c:formatCode>General</c:formatCode>
                <c:ptCount val="23"/>
                <c:pt idx="0">
                  <c:v>1993</c:v>
                </c:pt>
                <c:pt idx="1">
                  <c:v>1998</c:v>
                </c:pt>
                <c:pt idx="2">
                  <c:v>2000</c:v>
                </c:pt>
                <c:pt idx="3">
                  <c:v>2001</c:v>
                </c:pt>
                <c:pt idx="4">
                  <c:v>2005</c:v>
                </c:pt>
                <c:pt idx="5">
                  <c:v>2006</c:v>
                </c:pt>
                <c:pt idx="6">
                  <c:v>2007</c:v>
                </c:pt>
                <c:pt idx="7">
                  <c:v>2008</c:v>
                </c:pt>
                <c:pt idx="8">
                  <c:v>2009</c:v>
                </c:pt>
                <c:pt idx="9">
                  <c:v>2011</c:v>
                </c:pt>
                <c:pt idx="10">
                  <c:v>2012</c:v>
                </c:pt>
                <c:pt idx="11">
                  <c:v>2013</c:v>
                </c:pt>
                <c:pt idx="12">
                  <c:v>2014</c:v>
                </c:pt>
                <c:pt idx="13">
                  <c:v>2015</c:v>
                </c:pt>
                <c:pt idx="14">
                  <c:v>2016</c:v>
                </c:pt>
                <c:pt idx="15">
                  <c:v>2017</c:v>
                </c:pt>
                <c:pt idx="16">
                  <c:v>2018</c:v>
                </c:pt>
                <c:pt idx="17">
                  <c:v>2019</c:v>
                </c:pt>
                <c:pt idx="18">
                  <c:v>2020</c:v>
                </c:pt>
                <c:pt idx="19">
                  <c:v>2021</c:v>
                </c:pt>
                <c:pt idx="20">
                  <c:v>2022</c:v>
                </c:pt>
                <c:pt idx="21">
                  <c:v>2023</c:v>
                </c:pt>
                <c:pt idx="22">
                  <c:v>2024</c:v>
                </c:pt>
              </c:numCache>
            </c:numRef>
          </c:cat>
          <c:val>
            <c:numRef>
              <c:f>'NDDs_overall,design'!$C$2:$C$24</c:f>
              <c:numCache>
                <c:formatCode>General</c:formatCode>
                <c:ptCount val="23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6.0000000000000019E-2</c:v>
                </c:pt>
                <c:pt idx="5">
                  <c:v>0</c:v>
                </c:pt>
                <c:pt idx="6">
                  <c:v>0</c:v>
                </c:pt>
                <c:pt idx="7">
                  <c:v>0.51</c:v>
                </c:pt>
                <c:pt idx="8">
                  <c:v>0</c:v>
                </c:pt>
                <c:pt idx="9">
                  <c:v>0</c:v>
                </c:pt>
                <c:pt idx="10">
                  <c:v>0.10299999999999998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5.0000000000000018E-3</c:v>
                </c:pt>
                <c:pt idx="20">
                  <c:v>0</c:v>
                </c:pt>
                <c:pt idx="21">
                  <c:v>0</c:v>
                </c:pt>
                <c:pt idx="22">
                  <c:v>0.22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4C00-47D4-B11E-83A06E7AB7B6}"/>
            </c:ext>
          </c:extLst>
        </c:ser>
        <c:ser>
          <c:idx val="1"/>
          <c:order val="1"/>
          <c:tx>
            <c:strRef>
              <c:f>'NDDs_overall,design'!$D$1</c:f>
              <c:strCache>
                <c:ptCount val="1"/>
                <c:pt idx="0">
                  <c:v>Cohort study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trendline>
            <c:spPr>
              <a:ln w="19050" cap="rnd">
                <a:solidFill>
                  <a:schemeClr val="accent2"/>
                </a:solidFill>
                <a:prstDash val="sysDot"/>
              </a:ln>
              <a:effectLst/>
            </c:spPr>
            <c:trendlineType val="linear"/>
          </c:trendline>
          <c:errBars>
            <c:errDir val="y"/>
            <c:errBarType val="both"/>
            <c:errValType val="stdErr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val>
            <c:numRef>
              <c:f>'NDDs_overall,design'!$D$2:$D$24</c:f>
              <c:numCache>
                <c:formatCode>General</c:formatCode>
                <c:ptCount val="23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0.45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0.25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3.0000000000000002E-2</c:v>
                </c:pt>
                <c:pt idx="18">
                  <c:v>0.13</c:v>
                </c:pt>
                <c:pt idx="19">
                  <c:v>0</c:v>
                </c:pt>
                <c:pt idx="20">
                  <c:v>0</c:v>
                </c:pt>
                <c:pt idx="21">
                  <c:v>4.0000000000000015E-2</c:v>
                </c:pt>
                <c:pt idx="22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4C00-47D4-B11E-83A06E7AB7B6}"/>
            </c:ext>
          </c:extLst>
        </c:ser>
        <c:ser>
          <c:idx val="2"/>
          <c:order val="2"/>
          <c:tx>
            <c:strRef>
              <c:f>'NDDs_overall,design'!$E$1</c:f>
              <c:strCache>
                <c:ptCount val="1"/>
                <c:pt idx="0">
                  <c:v>Cross-sectional study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trendline>
            <c:spPr>
              <a:ln w="19050" cap="rnd">
                <a:solidFill>
                  <a:schemeClr val="accent3"/>
                </a:solidFill>
                <a:prstDash val="sysDot"/>
              </a:ln>
              <a:effectLst/>
            </c:spPr>
            <c:trendlineType val="linear"/>
          </c:trendline>
          <c:errBars>
            <c:errDir val="y"/>
            <c:errBarType val="both"/>
            <c:errValType val="stdErr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val>
            <c:numRef>
              <c:f>'NDDs_overall,design'!$E$2:$E$24</c:f>
              <c:numCache>
                <c:formatCode>General</c:formatCode>
                <c:ptCount val="23"/>
                <c:pt idx="0">
                  <c:v>2.0299999999999999E-2</c:v>
                </c:pt>
                <c:pt idx="1">
                  <c:v>0.14700000000000005</c:v>
                </c:pt>
                <c:pt idx="2">
                  <c:v>8.2000000000000003E-2</c:v>
                </c:pt>
                <c:pt idx="3">
                  <c:v>1.4999999999999998E-2</c:v>
                </c:pt>
                <c:pt idx="4">
                  <c:v>2.0000000000000009E-3</c:v>
                </c:pt>
                <c:pt idx="5">
                  <c:v>0.17</c:v>
                </c:pt>
                <c:pt idx="6">
                  <c:v>9.0000000000000024E-2</c:v>
                </c:pt>
                <c:pt idx="7">
                  <c:v>0</c:v>
                </c:pt>
                <c:pt idx="8">
                  <c:v>2.0000000000000007E-2</c:v>
                </c:pt>
                <c:pt idx="9">
                  <c:v>7.0000000000000021E-2</c:v>
                </c:pt>
                <c:pt idx="10">
                  <c:v>0</c:v>
                </c:pt>
                <c:pt idx="11">
                  <c:v>2.0000000000000009E-3</c:v>
                </c:pt>
                <c:pt idx="12">
                  <c:v>0.15000000000000005</c:v>
                </c:pt>
                <c:pt idx="13">
                  <c:v>2.0000000000000007E-2</c:v>
                </c:pt>
                <c:pt idx="14">
                  <c:v>2.0000000000000007E-2</c:v>
                </c:pt>
                <c:pt idx="15">
                  <c:v>3.0000000000000002E-2</c:v>
                </c:pt>
                <c:pt idx="16">
                  <c:v>3.0000000000000002E-2</c:v>
                </c:pt>
                <c:pt idx="17">
                  <c:v>8.0000000000000029E-2</c:v>
                </c:pt>
                <c:pt idx="18">
                  <c:v>0.05</c:v>
                </c:pt>
                <c:pt idx="19">
                  <c:v>4.0000000000000015E-2</c:v>
                </c:pt>
                <c:pt idx="20">
                  <c:v>0.13</c:v>
                </c:pt>
                <c:pt idx="21">
                  <c:v>3.4000000000000002E-2</c:v>
                </c:pt>
                <c:pt idx="22">
                  <c:v>2.0000000000000007E-2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5-4C00-47D4-B11E-83A06E7AB7B6}"/>
            </c:ext>
          </c:extLst>
        </c:ser>
        <c:marker val="1"/>
        <c:axId val="130168320"/>
        <c:axId val="130170240"/>
      </c:lineChart>
      <c:catAx>
        <c:axId val="130168320"/>
        <c:scaling>
          <c:orientation val="minMax"/>
        </c:scaling>
        <c:delete val="1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200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Year</a:t>
                </a:r>
              </a:p>
            </c:rich>
          </c:tx>
          <c:spPr>
            <a:noFill/>
            <a:ln>
              <a:noFill/>
            </a:ln>
            <a:effectLst/>
          </c:spPr>
        </c:title>
        <c:numFmt formatCode="General" sourceLinked="1"/>
        <c:tickLblPos val="none"/>
        <c:crossAx val="130170240"/>
        <c:crosses val="autoZero"/>
        <c:auto val="1"/>
        <c:lblAlgn val="ctr"/>
        <c:lblOffset val="100"/>
      </c:catAx>
      <c:valAx>
        <c:axId val="130170240"/>
        <c:scaling>
          <c:orientation val="minMax"/>
        </c:scaling>
        <c:delete val="1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200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Prevalaece effect</a:t>
                </a:r>
                <a:r>
                  <a:rPr lang="en-US" sz="1200" baseline="0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size </a:t>
                </a:r>
                <a:r>
                  <a:rPr lang="en-US" sz="1200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(in proportion)</a:t>
                </a:r>
              </a:p>
            </c:rich>
          </c:tx>
          <c:spPr>
            <a:noFill/>
            <a:ln>
              <a:noFill/>
            </a:ln>
            <a:effectLst/>
          </c:spPr>
        </c:title>
        <c:numFmt formatCode="General" sourceLinked="1"/>
        <c:tickLblPos val="none"/>
        <c:crossAx val="130168320"/>
        <c:crosses val="autoZero"/>
        <c:crossBetween val="between"/>
      </c:valAx>
      <c:dTable>
        <c:showHorzBorder val="1"/>
        <c:showVertBorder val="1"/>
        <c:showOutline val="1"/>
        <c:showKeys val="1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vert="horz" wrap="square" anchor="ctr" anchorCtr="1"/>
          <a:lstStyle/>
          <a:p>
            <a:pPr rtl="0"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</c:dTable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8.5485500330628406E-2"/>
          <c:y val="2.3797025371828477E-3"/>
          <c:w val="0.90359085127653971"/>
          <c:h val="0.25675638913657867"/>
        </c:manualLayout>
      </c:layout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lrMapOvr bg1="lt1" tx1="dk1" bg2="lt2" tx2="dk2" accent1="accent1" accent2="accent2" accent3="accent3" accent4="accent4" accent5="accent5" accent6="accent6" hlink="hlink" folHlink="folHlink"/>
  <c:chart>
    <c:plotArea>
      <c:layout>
        <c:manualLayout>
          <c:layoutTarget val="inner"/>
          <c:xMode val="edge"/>
          <c:yMode val="edge"/>
          <c:x val="0.11318875444966223"/>
          <c:y val="5.0925925925925923E-2"/>
          <c:w val="0.88575078340686553"/>
          <c:h val="0.82775444736074677"/>
        </c:manualLayout>
      </c:layout>
      <c:lineChart>
        <c:grouping val="standard"/>
        <c:ser>
          <c:idx val="0"/>
          <c:order val="0"/>
          <c:tx>
            <c:strRef>
              <c:f>'NDDs_overall,design'!$B$1</c:f>
              <c:strCache>
                <c:ptCount val="1"/>
                <c:pt idx="0">
                  <c:v>Overall_NDDs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</c:trendline>
          <c:cat>
            <c:numRef>
              <c:f>'NDDs_overall,design'!$A$2:$A$24</c:f>
              <c:numCache>
                <c:formatCode>General</c:formatCode>
                <c:ptCount val="23"/>
                <c:pt idx="0">
                  <c:v>1993</c:v>
                </c:pt>
                <c:pt idx="1">
                  <c:v>1998</c:v>
                </c:pt>
                <c:pt idx="2">
                  <c:v>2000</c:v>
                </c:pt>
                <c:pt idx="3">
                  <c:v>2001</c:v>
                </c:pt>
                <c:pt idx="4">
                  <c:v>2005</c:v>
                </c:pt>
                <c:pt idx="5">
                  <c:v>2006</c:v>
                </c:pt>
                <c:pt idx="6">
                  <c:v>2007</c:v>
                </c:pt>
                <c:pt idx="7">
                  <c:v>2008</c:v>
                </c:pt>
                <c:pt idx="8">
                  <c:v>2009</c:v>
                </c:pt>
                <c:pt idx="9">
                  <c:v>2011</c:v>
                </c:pt>
                <c:pt idx="10">
                  <c:v>2012</c:v>
                </c:pt>
                <c:pt idx="11">
                  <c:v>2013</c:v>
                </c:pt>
                <c:pt idx="12">
                  <c:v>2014</c:v>
                </c:pt>
                <c:pt idx="13">
                  <c:v>2015</c:v>
                </c:pt>
                <c:pt idx="14">
                  <c:v>2016</c:v>
                </c:pt>
                <c:pt idx="15">
                  <c:v>2017</c:v>
                </c:pt>
                <c:pt idx="16">
                  <c:v>2018</c:v>
                </c:pt>
                <c:pt idx="17">
                  <c:v>2019</c:v>
                </c:pt>
                <c:pt idx="18">
                  <c:v>2020</c:v>
                </c:pt>
                <c:pt idx="19">
                  <c:v>2021</c:v>
                </c:pt>
                <c:pt idx="20">
                  <c:v>2022</c:v>
                </c:pt>
                <c:pt idx="21">
                  <c:v>2023</c:v>
                </c:pt>
                <c:pt idx="22">
                  <c:v>2024</c:v>
                </c:pt>
              </c:numCache>
            </c:numRef>
          </c:cat>
          <c:val>
            <c:numRef>
              <c:f>'NDDs_overall,design'!$B$2:$B$24</c:f>
              <c:numCache>
                <c:formatCode>General</c:formatCode>
                <c:ptCount val="23"/>
                <c:pt idx="0">
                  <c:v>2.0299999999999999E-2</c:v>
                </c:pt>
                <c:pt idx="1">
                  <c:v>0.14700000000000005</c:v>
                </c:pt>
                <c:pt idx="2">
                  <c:v>8.2000000000000003E-2</c:v>
                </c:pt>
                <c:pt idx="3">
                  <c:v>1.4999999999999998E-2</c:v>
                </c:pt>
                <c:pt idx="4">
                  <c:v>3.4599999999999999E-2</c:v>
                </c:pt>
                <c:pt idx="5">
                  <c:v>0.20800000000000005</c:v>
                </c:pt>
                <c:pt idx="6">
                  <c:v>8.7000000000000022E-2</c:v>
                </c:pt>
                <c:pt idx="7">
                  <c:v>0.51300000000000001</c:v>
                </c:pt>
                <c:pt idx="8">
                  <c:v>1.9685578000000009E-2</c:v>
                </c:pt>
                <c:pt idx="9">
                  <c:v>7.3200000000000001E-2</c:v>
                </c:pt>
                <c:pt idx="10">
                  <c:v>0.12959699999999999</c:v>
                </c:pt>
                <c:pt idx="11">
                  <c:v>1.5000000000000005E-3</c:v>
                </c:pt>
                <c:pt idx="12">
                  <c:v>0.14500000000000005</c:v>
                </c:pt>
                <c:pt idx="13">
                  <c:v>1.8887797000000001E-2</c:v>
                </c:pt>
                <c:pt idx="14">
                  <c:v>1.4749780000000001E-2</c:v>
                </c:pt>
                <c:pt idx="15">
                  <c:v>3.44E-2</c:v>
                </c:pt>
                <c:pt idx="16">
                  <c:v>2.6159999999999999E-2</c:v>
                </c:pt>
                <c:pt idx="17">
                  <c:v>6.3299999999999995E-2</c:v>
                </c:pt>
                <c:pt idx="18">
                  <c:v>4.9839000000000015E-2</c:v>
                </c:pt>
                <c:pt idx="19">
                  <c:v>3.4660000000000003E-2</c:v>
                </c:pt>
                <c:pt idx="20">
                  <c:v>0.13</c:v>
                </c:pt>
                <c:pt idx="21">
                  <c:v>3.3790000000000001E-2</c:v>
                </c:pt>
                <c:pt idx="22">
                  <c:v>0.1978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4071-4B13-BC4D-06B25D503A28}"/>
            </c:ext>
          </c:extLst>
        </c:ser>
        <c:ser>
          <c:idx val="1"/>
          <c:order val="1"/>
          <c:tx>
            <c:strRef>
              <c:f>'NDDs_overall,design'!$F$1</c:f>
              <c:strCache>
                <c:ptCount val="1"/>
                <c:pt idx="0">
                  <c:v>ADHD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trendline>
            <c:spPr>
              <a:ln w="19050" cap="rnd">
                <a:solidFill>
                  <a:schemeClr val="accent2"/>
                </a:solidFill>
                <a:prstDash val="sysDot"/>
              </a:ln>
              <a:effectLst/>
            </c:spPr>
            <c:trendlineType val="linear"/>
          </c:trendline>
          <c:val>
            <c:numRef>
              <c:f>'NDDs_overall,design'!$F$2:$F$24</c:f>
              <c:numCache>
                <c:formatCode>General</c:formatCode>
                <c:ptCount val="23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1.4999999999999998E-2</c:v>
                </c:pt>
                <c:pt idx="4">
                  <c:v>6.0000000000000019E-2</c:v>
                </c:pt>
                <c:pt idx="5">
                  <c:v>0.21000000000000005</c:v>
                </c:pt>
                <c:pt idx="6">
                  <c:v>8.7000000000000022E-2</c:v>
                </c:pt>
                <c:pt idx="7">
                  <c:v>0</c:v>
                </c:pt>
                <c:pt idx="8">
                  <c:v>1.0000000000000004E-2</c:v>
                </c:pt>
                <c:pt idx="9">
                  <c:v>7.0000000000000021E-2</c:v>
                </c:pt>
                <c:pt idx="10">
                  <c:v>0</c:v>
                </c:pt>
                <c:pt idx="11">
                  <c:v>0</c:v>
                </c:pt>
                <c:pt idx="12">
                  <c:v>7.0000000000000021E-2</c:v>
                </c:pt>
                <c:pt idx="13">
                  <c:v>0.1</c:v>
                </c:pt>
                <c:pt idx="14">
                  <c:v>0.14000000000000001</c:v>
                </c:pt>
                <c:pt idx="15">
                  <c:v>6.0000000000000019E-2</c:v>
                </c:pt>
                <c:pt idx="16">
                  <c:v>3.0000000000000002E-2</c:v>
                </c:pt>
                <c:pt idx="17">
                  <c:v>6.0000000000000019E-2</c:v>
                </c:pt>
                <c:pt idx="18">
                  <c:v>4.0000000000000015E-2</c:v>
                </c:pt>
                <c:pt idx="19">
                  <c:v>4.0000000000000015E-2</c:v>
                </c:pt>
                <c:pt idx="20">
                  <c:v>0.13</c:v>
                </c:pt>
                <c:pt idx="21">
                  <c:v>0.1</c:v>
                </c:pt>
                <c:pt idx="22">
                  <c:v>0.13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4071-4B13-BC4D-06B25D503A28}"/>
            </c:ext>
          </c:extLst>
        </c:ser>
        <c:ser>
          <c:idx val="2"/>
          <c:order val="2"/>
          <c:tx>
            <c:strRef>
              <c:f>'NDDs_overall,design'!$G$1</c:f>
              <c:strCache>
                <c:ptCount val="1"/>
                <c:pt idx="0">
                  <c:v>ASD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trendline>
            <c:spPr>
              <a:ln w="19050" cap="rnd">
                <a:solidFill>
                  <a:schemeClr val="accent3"/>
                </a:solidFill>
                <a:prstDash val="sysDot"/>
              </a:ln>
              <a:effectLst/>
            </c:spPr>
            <c:trendlineType val="linear"/>
          </c:trendline>
          <c:val>
            <c:numRef>
              <c:f>'NDDs_overall,design'!$G$2:$G$24</c:f>
              <c:numCache>
                <c:formatCode>General</c:formatCode>
                <c:ptCount val="23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2.0000000000000009E-3</c:v>
                </c:pt>
                <c:pt idx="5">
                  <c:v>0</c:v>
                </c:pt>
                <c:pt idx="6">
                  <c:v>0</c:v>
                </c:pt>
                <c:pt idx="7">
                  <c:v>0.51</c:v>
                </c:pt>
                <c:pt idx="8">
                  <c:v>2.0000000000000007E-2</c:v>
                </c:pt>
                <c:pt idx="9">
                  <c:v>0</c:v>
                </c:pt>
                <c:pt idx="10">
                  <c:v>0</c:v>
                </c:pt>
                <c:pt idx="11">
                  <c:v>2.0000000000000009E-3</c:v>
                </c:pt>
                <c:pt idx="12">
                  <c:v>2.5000000000000001E-2</c:v>
                </c:pt>
                <c:pt idx="13">
                  <c:v>1.0000000000000005E-3</c:v>
                </c:pt>
                <c:pt idx="14">
                  <c:v>2.0000000000000009E-3</c:v>
                </c:pt>
                <c:pt idx="15">
                  <c:v>1.6000000000000007E-2</c:v>
                </c:pt>
                <c:pt idx="16">
                  <c:v>1.2E-2</c:v>
                </c:pt>
                <c:pt idx="17">
                  <c:v>1.0000000000000004E-2</c:v>
                </c:pt>
                <c:pt idx="18">
                  <c:v>0</c:v>
                </c:pt>
                <c:pt idx="19">
                  <c:v>2.0000000000000007E-2</c:v>
                </c:pt>
                <c:pt idx="20">
                  <c:v>0</c:v>
                </c:pt>
                <c:pt idx="21">
                  <c:v>3.0000000000000002E-2</c:v>
                </c:pt>
                <c:pt idx="22">
                  <c:v>0.13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5-4071-4B13-BC4D-06B25D503A28}"/>
            </c:ext>
          </c:extLst>
        </c:ser>
        <c:ser>
          <c:idx val="3"/>
          <c:order val="3"/>
          <c:tx>
            <c:strRef>
              <c:f>'NDDs_overall,design'!$H$1</c:f>
              <c:strCache>
                <c:ptCount val="1"/>
                <c:pt idx="0">
                  <c:v>DCD</c:v>
                </c:pt>
              </c:strCache>
            </c:strRef>
          </c:tx>
          <c:spPr>
            <a:ln w="28575" cap="rnd">
              <a:solidFill>
                <a:schemeClr val="accent4"/>
              </a:solidFill>
              <a:round/>
            </a:ln>
            <a:effectLst/>
          </c:spPr>
          <c:marker>
            <c:symbol val="none"/>
          </c:marker>
          <c:trendline>
            <c:spPr>
              <a:ln w="19050" cap="rnd">
                <a:solidFill>
                  <a:schemeClr val="accent4"/>
                </a:solidFill>
                <a:prstDash val="sysDot"/>
              </a:ln>
              <a:effectLst/>
            </c:spPr>
            <c:trendlineType val="linear"/>
          </c:trendline>
          <c:val>
            <c:numRef>
              <c:f>'NDDs_overall,design'!$H$2:$H$24</c:f>
              <c:numCache>
                <c:formatCode>General</c:formatCode>
                <c:ptCount val="23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4.0000000000000015E-2</c:v>
                </c:pt>
                <c:pt idx="13">
                  <c:v>3.0000000000000002E-2</c:v>
                </c:pt>
                <c:pt idx="14">
                  <c:v>1.0000000000000004E-2</c:v>
                </c:pt>
                <c:pt idx="15">
                  <c:v>0</c:v>
                </c:pt>
                <c:pt idx="16">
                  <c:v>0</c:v>
                </c:pt>
                <c:pt idx="17">
                  <c:v>0.05</c:v>
                </c:pt>
                <c:pt idx="18">
                  <c:v>6.0000000000000019E-2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0.24000000000000005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7-4071-4B13-BC4D-06B25D503A28}"/>
            </c:ext>
          </c:extLst>
        </c:ser>
        <c:ser>
          <c:idx val="4"/>
          <c:order val="4"/>
          <c:tx>
            <c:strRef>
              <c:f>'NDDs_overall,design'!$I$1</c:f>
              <c:strCache>
                <c:ptCount val="1"/>
                <c:pt idx="0">
                  <c:v>ID</c:v>
                </c:pt>
              </c:strCache>
            </c:strRef>
          </c:tx>
          <c:spPr>
            <a:ln w="28575" cap="rnd">
              <a:solidFill>
                <a:schemeClr val="accent5"/>
              </a:solidFill>
              <a:round/>
            </a:ln>
            <a:effectLst/>
          </c:spPr>
          <c:marker>
            <c:symbol val="none"/>
          </c:marker>
          <c:trendline>
            <c:spPr>
              <a:ln w="19050" cap="rnd">
                <a:solidFill>
                  <a:schemeClr val="accent5"/>
                </a:solidFill>
                <a:prstDash val="sysDot"/>
              </a:ln>
              <a:effectLst/>
            </c:spPr>
            <c:trendlineType val="linear"/>
          </c:trendline>
          <c:val>
            <c:numRef>
              <c:f>'NDDs_overall,design'!$I$2:$I$24</c:f>
              <c:numCache>
                <c:formatCode>General</c:formatCode>
                <c:ptCount val="23"/>
                <c:pt idx="0">
                  <c:v>2.0000000000000007E-2</c:v>
                </c:pt>
                <c:pt idx="1">
                  <c:v>0.15000000000000005</c:v>
                </c:pt>
                <c:pt idx="2">
                  <c:v>8.0000000000000029E-2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4.0000000000000015E-2</c:v>
                </c:pt>
                <c:pt idx="9">
                  <c:v>0</c:v>
                </c:pt>
                <c:pt idx="10">
                  <c:v>0.25</c:v>
                </c:pt>
                <c:pt idx="11">
                  <c:v>0</c:v>
                </c:pt>
                <c:pt idx="12">
                  <c:v>0.17</c:v>
                </c:pt>
                <c:pt idx="13">
                  <c:v>0</c:v>
                </c:pt>
                <c:pt idx="14">
                  <c:v>0</c:v>
                </c:pt>
                <c:pt idx="15">
                  <c:v>3.0000000000000002E-2</c:v>
                </c:pt>
                <c:pt idx="16">
                  <c:v>8.0000000000000029E-2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0.31000000000000011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9-4071-4B13-BC4D-06B25D503A28}"/>
            </c:ext>
          </c:extLst>
        </c:ser>
        <c:ser>
          <c:idx val="5"/>
          <c:order val="5"/>
          <c:tx>
            <c:strRef>
              <c:f>'NDDs_overall,design'!$J$1</c:f>
              <c:strCache>
                <c:ptCount val="1"/>
                <c:pt idx="0">
                  <c:v>SLD</c:v>
                </c:pt>
              </c:strCache>
            </c:strRef>
          </c:tx>
          <c:spPr>
            <a:ln w="28575" cap="rnd">
              <a:solidFill>
                <a:schemeClr val="accent6"/>
              </a:solidFill>
              <a:round/>
            </a:ln>
            <a:effectLst/>
          </c:spPr>
          <c:marker>
            <c:symbol val="none"/>
          </c:marker>
          <c:trendline>
            <c:spPr>
              <a:ln w="19050" cap="rnd">
                <a:solidFill>
                  <a:schemeClr val="accent6"/>
                </a:solidFill>
                <a:prstDash val="sysDot"/>
              </a:ln>
              <a:effectLst/>
            </c:spPr>
            <c:trendlineType val="linear"/>
          </c:trendline>
          <c:val>
            <c:numRef>
              <c:f>'NDDs_overall,design'!$J$2:$J$24</c:f>
              <c:numCache>
                <c:formatCode>General</c:formatCode>
                <c:ptCount val="23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0.1</c:v>
                </c:pt>
                <c:pt idx="11">
                  <c:v>0</c:v>
                </c:pt>
                <c:pt idx="12">
                  <c:v>0</c:v>
                </c:pt>
                <c:pt idx="13">
                  <c:v>0.19</c:v>
                </c:pt>
                <c:pt idx="14">
                  <c:v>0</c:v>
                </c:pt>
                <c:pt idx="15">
                  <c:v>0</c:v>
                </c:pt>
                <c:pt idx="16">
                  <c:v>2.0000000000000007E-2</c:v>
                </c:pt>
                <c:pt idx="17">
                  <c:v>0</c:v>
                </c:pt>
                <c:pt idx="18">
                  <c:v>8.0000000000000029E-2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B-4071-4B13-BC4D-06B25D503A28}"/>
            </c:ext>
          </c:extLst>
        </c:ser>
        <c:ser>
          <c:idx val="6"/>
          <c:order val="6"/>
          <c:tx>
            <c:strRef>
              <c:f>'NDDs_overall,design'!$K$1</c:f>
              <c:strCache>
                <c:ptCount val="1"/>
                <c:pt idx="0">
                  <c:v>LSD</c:v>
                </c:pt>
              </c:strCache>
            </c:strRef>
          </c:tx>
          <c:spPr>
            <a:ln w="28575" cap="rnd">
              <a:solidFill>
                <a:schemeClr val="accent1">
                  <a:lumMod val="60000"/>
                </a:schemeClr>
              </a:solidFill>
              <a:round/>
            </a:ln>
            <a:effectLst/>
          </c:spPr>
          <c:marker>
            <c:symbol val="none"/>
          </c:marker>
          <c:trendline>
            <c:spPr>
              <a:ln w="19050" cap="rnd">
                <a:solidFill>
                  <a:schemeClr val="accent1">
                    <a:lumMod val="60000"/>
                  </a:schemeClr>
                </a:solidFill>
                <a:prstDash val="sysDot"/>
              </a:ln>
              <a:effectLst/>
            </c:spPr>
            <c:trendlineType val="linear"/>
          </c:trendline>
          <c:val>
            <c:numRef>
              <c:f>'NDDs_overall,design'!$K$2:$K$24</c:f>
              <c:numCache>
                <c:formatCode>General</c:formatCode>
                <c:ptCount val="23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2.0000000000000007E-2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0.25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2.0000000000000007E-2</c:v>
                </c:pt>
                <c:pt idx="17">
                  <c:v>4.0000000000000015E-2</c:v>
                </c:pt>
                <c:pt idx="18">
                  <c:v>9.0000000000000024E-2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D-4071-4B13-BC4D-06B25D503A28}"/>
            </c:ext>
          </c:extLst>
        </c:ser>
        <c:marker val="1"/>
        <c:axId val="130685952"/>
        <c:axId val="130712704"/>
      </c:lineChart>
      <c:catAx>
        <c:axId val="130685952"/>
        <c:scaling>
          <c:orientation val="minMax"/>
        </c:scaling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Year</a:t>
                </a:r>
              </a:p>
            </c:rich>
          </c:tx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30712704"/>
        <c:crosses val="autoZero"/>
        <c:auto val="1"/>
        <c:lblAlgn val="ctr"/>
        <c:lblOffset val="100"/>
      </c:catAx>
      <c:valAx>
        <c:axId val="130712704"/>
        <c:scaling>
          <c:orientation val="minMax"/>
        </c:scaling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Prevalence effect size (in proportion)</a:t>
                </a:r>
              </a:p>
            </c:rich>
          </c:tx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30685952"/>
        <c:crosses val="autoZero"/>
        <c:crossBetween val="between"/>
      </c:valAx>
      <c:dTable>
        <c:showHorzBorder val="1"/>
        <c:showVertBorder val="1"/>
        <c:showOutline val="1"/>
        <c:showKeys val="1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vert="horz" wrap="square" anchor="ctr" anchorCtr="1"/>
          <a:lstStyle/>
          <a:p>
            <a:pPr rtl="0"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</c:dTable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9.4768173707711525E-2"/>
          <c:y val="5.4946777486147586E-3"/>
          <c:w val="0.90438446369752368"/>
          <c:h val="0.27722264994993534"/>
        </c:manualLayout>
      </c:layout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2"/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27</Words>
  <Characters>159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2025-04-01T21:13:00Z</dcterms:created>
  <dcterms:modified xsi:type="dcterms:W3CDTF">2025-04-02T19:44:00Z</dcterms:modified>
</cp:coreProperties>
</file>