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6AB" w:rsidRPr="00F618E9" w:rsidRDefault="00C066AB" w:rsidP="00C066AB">
      <w:pPr>
        <w:pStyle w:val="NormalWeb"/>
        <w:spacing w:beforeAutospacing="0" w:after="0" w:afterAutospacing="0" w:line="360" w:lineRule="auto"/>
        <w:ind w:left="720" w:hanging="720"/>
        <w:rPr>
          <w:rStyle w:val="Hyperlink"/>
          <w:b/>
          <w:color w:val="auto"/>
          <w:u w:val="none"/>
        </w:rPr>
      </w:pPr>
      <w:r w:rsidRPr="00F618E9">
        <w:rPr>
          <w:rStyle w:val="Hyperlink"/>
          <w:b/>
          <w:color w:val="auto"/>
          <w:sz w:val="22"/>
          <w:szCs w:val="22"/>
          <w:u w:val="none"/>
        </w:rPr>
        <w:t>Quality Assessment Tools</w:t>
      </w:r>
    </w:p>
    <w:p w:rsidR="00C066AB" w:rsidRPr="00F618E9" w:rsidRDefault="00C066AB" w:rsidP="00C066AB">
      <w:pPr>
        <w:spacing w:after="0" w:line="240" w:lineRule="auto"/>
        <w:contextualSpacing/>
        <w:rPr>
          <w:rFonts w:ascii="Times New Roman" w:hAnsi="Times New Roman"/>
        </w:rPr>
      </w:pPr>
      <w:r w:rsidRPr="00F618E9">
        <w:rPr>
          <w:rFonts w:ascii="Times New Roman" w:hAnsi="Times New Roman"/>
        </w:rPr>
        <w:t>The Newcastle-Ottawa Scale (NOS) for assessing the quality of studies in meta-analyses</w:t>
      </w:r>
    </w:p>
    <w:p w:rsidR="00C066AB" w:rsidRPr="00F618E9" w:rsidRDefault="00C066AB" w:rsidP="00C066AB">
      <w:pPr>
        <w:tabs>
          <w:tab w:val="center" w:pos="4680"/>
        </w:tabs>
        <w:rPr>
          <w:rFonts w:ascii="Times New Roman" w:hAnsi="Times New Roman"/>
          <w:lang w:val="en-GB"/>
        </w:rPr>
      </w:pPr>
      <w:r w:rsidRPr="00F618E9">
        <w:rPr>
          <w:rFonts w:ascii="Times New Roman" w:hAnsi="Times New Roman"/>
          <w:b/>
          <w:bCs/>
          <w:lang w:val="en-GB"/>
        </w:rPr>
        <w:t xml:space="preserve">Cohort Studies </w:t>
      </w:r>
    </w:p>
    <w:p w:rsidR="00C066AB" w:rsidRPr="00F618E9" w:rsidRDefault="00C066AB" w:rsidP="00C066AB">
      <w:pPr>
        <w:tabs>
          <w:tab w:val="left" w:pos="-1080"/>
          <w:tab w:val="left" w:pos="-720"/>
          <w:tab w:val="left" w:pos="270"/>
        </w:tabs>
        <w:rPr>
          <w:rFonts w:ascii="Times New Roman" w:hAnsi="Times New Roman"/>
          <w:lang w:val="en-GB"/>
        </w:rPr>
      </w:pPr>
      <w:r w:rsidRPr="00F618E9">
        <w:rPr>
          <w:rFonts w:ascii="Times New Roman" w:hAnsi="Times New Roman"/>
          <w:lang w:val="en-GB"/>
        </w:rPr>
        <w:t>Note: A study can be awarded a maximum of one star for each numbered item within the Selection and Outcome categories. A maximum of two stars can be given for Comparability</w:t>
      </w:r>
    </w:p>
    <w:tbl>
      <w:tblPr>
        <w:tblW w:w="1014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652"/>
        <w:gridCol w:w="980"/>
        <w:gridCol w:w="1204"/>
        <w:gridCol w:w="1364"/>
        <w:gridCol w:w="1364"/>
        <w:gridCol w:w="1108"/>
        <w:gridCol w:w="1238"/>
        <w:gridCol w:w="1236"/>
      </w:tblGrid>
      <w:tr w:rsidR="00C066AB" w:rsidRPr="00F618E9" w:rsidTr="000B1372">
        <w:trPr>
          <w:trHeight w:val="289"/>
        </w:trPr>
        <w:tc>
          <w:tcPr>
            <w:tcW w:w="52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66AB" w:rsidRPr="00F618E9" w:rsidRDefault="00C066AB" w:rsidP="000B1372">
            <w:pPr>
              <w:spacing w:after="0" w:line="240" w:lineRule="auto"/>
              <w:rPr>
                <w:rFonts w:ascii="Times New Roman" w:eastAsia="Times New Roman" w:hAnsi="Times New Roman"/>
                <w:lang w:val="en-US"/>
              </w:rPr>
            </w:pPr>
            <w:r w:rsidRPr="00F618E9">
              <w:rPr>
                <w:rFonts w:ascii="Times New Roman" w:eastAsia="Times New Roman" w:hAnsi="Times New Roman"/>
                <w:lang w:val="en-US"/>
              </w:rPr>
              <w:t>Selection of cohorts</w:t>
            </w:r>
          </w:p>
        </w:tc>
        <w:tc>
          <w:tcPr>
            <w:tcW w:w="13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66AB" w:rsidRPr="00F618E9" w:rsidRDefault="00C066AB" w:rsidP="000B1372">
            <w:pPr>
              <w:spacing w:after="0" w:line="240" w:lineRule="auto"/>
              <w:rPr>
                <w:rFonts w:ascii="Times New Roman" w:eastAsia="Times New Roman" w:hAnsi="Times New Roman"/>
                <w:lang w:val="en-US"/>
              </w:rPr>
            </w:pPr>
            <w:r w:rsidRPr="00F618E9">
              <w:rPr>
                <w:rFonts w:ascii="Times New Roman" w:eastAsia="Times New Roman" w:hAnsi="Times New Roman"/>
                <w:lang w:val="en-US"/>
              </w:rPr>
              <w:t>Comparability of cohorts</w:t>
            </w:r>
          </w:p>
        </w:tc>
        <w:tc>
          <w:tcPr>
            <w:tcW w:w="35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66AB" w:rsidRPr="00F618E9" w:rsidRDefault="00C066AB" w:rsidP="000B1372">
            <w:pPr>
              <w:spacing w:after="0" w:line="240" w:lineRule="auto"/>
              <w:rPr>
                <w:rFonts w:ascii="Times New Roman" w:eastAsia="Times New Roman" w:hAnsi="Times New Roman"/>
                <w:lang w:val="en-US"/>
              </w:rPr>
            </w:pPr>
            <w:r w:rsidRPr="00F618E9">
              <w:rPr>
                <w:rFonts w:ascii="Times New Roman" w:eastAsia="Times New Roman" w:hAnsi="Times New Roman"/>
                <w:lang w:val="en-US"/>
              </w:rPr>
              <w:t>Assessment of outcome</w:t>
            </w:r>
          </w:p>
        </w:tc>
      </w:tr>
      <w:tr w:rsidR="00C066AB" w:rsidRPr="00F618E9" w:rsidTr="000B1372">
        <w:trPr>
          <w:trHeight w:val="918"/>
        </w:trPr>
        <w:tc>
          <w:tcPr>
            <w:tcW w:w="1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66AB" w:rsidRPr="00F618E9" w:rsidRDefault="00C066AB" w:rsidP="000B1372">
            <w:pPr>
              <w:spacing w:after="0" w:line="240" w:lineRule="auto"/>
              <w:rPr>
                <w:rFonts w:ascii="Times New Roman" w:eastAsia="Times New Roman" w:hAnsi="Times New Roman"/>
                <w:lang w:val="en-US"/>
              </w:rPr>
            </w:pPr>
            <w:proofErr w:type="spellStart"/>
            <w:r w:rsidRPr="00F618E9">
              <w:rPr>
                <w:rFonts w:ascii="Times New Roman" w:eastAsia="Times New Roman" w:hAnsi="Times New Roman"/>
                <w:lang w:val="en-US"/>
              </w:rPr>
              <w:t>Representiveness</w:t>
            </w:r>
            <w:proofErr w:type="spellEnd"/>
            <w:r w:rsidRPr="00F618E9">
              <w:rPr>
                <w:rFonts w:ascii="Times New Roman" w:eastAsia="Times New Roman" w:hAnsi="Times New Roman"/>
                <w:lang w:val="en-US"/>
              </w:rPr>
              <w:t xml:space="preserve"> of the exposed cohort</w:t>
            </w:r>
            <w:r w:rsidRPr="00F618E9">
              <w:rPr>
                <w:rFonts w:ascii="Times New Roman" w:eastAsia="MS Gothic" w:hAnsi="Times New Roman"/>
                <w:lang w:val="en-US"/>
              </w:rPr>
              <w:t>（</w:t>
            </w:r>
            <w:r w:rsidRPr="00F618E9">
              <w:rPr>
                <w:rFonts w:ascii="Times New Roman" w:eastAsia="MS Gothic" w:hAnsi="Times New Roman"/>
                <w:lang w:val="en-US"/>
              </w:rPr>
              <w:t>*</w:t>
            </w:r>
            <w:r w:rsidRPr="00F618E9">
              <w:rPr>
                <w:rFonts w:ascii="Times New Roman" w:eastAsia="MS Gothic" w:hAnsi="Times New Roman"/>
                <w:lang w:val="en-US"/>
              </w:rPr>
              <w:t>）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66AB" w:rsidRPr="00F618E9" w:rsidRDefault="00C066AB" w:rsidP="000B1372">
            <w:pPr>
              <w:spacing w:after="0" w:line="240" w:lineRule="auto"/>
              <w:rPr>
                <w:rFonts w:ascii="Times New Roman" w:eastAsia="Times New Roman" w:hAnsi="Times New Roman"/>
                <w:lang w:val="en-US"/>
              </w:rPr>
            </w:pPr>
            <w:r w:rsidRPr="00F618E9">
              <w:rPr>
                <w:rFonts w:ascii="Times New Roman" w:eastAsia="Times New Roman" w:hAnsi="Times New Roman"/>
                <w:lang w:val="en-US"/>
              </w:rPr>
              <w:t>Selection of the non-exposed cohort</w:t>
            </w:r>
            <w:r w:rsidRPr="00F618E9">
              <w:rPr>
                <w:rFonts w:ascii="Times New Roman" w:eastAsia="MS Gothic" w:hAnsi="Times New Roman"/>
                <w:lang w:val="en-US"/>
              </w:rPr>
              <w:t>（</w:t>
            </w:r>
            <w:r w:rsidRPr="00F618E9">
              <w:rPr>
                <w:rFonts w:ascii="Times New Roman" w:eastAsia="MS Gothic" w:hAnsi="Times New Roman"/>
                <w:lang w:val="en-US"/>
              </w:rPr>
              <w:t>*</w:t>
            </w:r>
            <w:r w:rsidRPr="00F618E9">
              <w:rPr>
                <w:rFonts w:ascii="Times New Roman" w:eastAsia="MS Gothic" w:hAnsi="Times New Roman"/>
                <w:lang w:val="en-US"/>
              </w:rPr>
              <w:t>）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66AB" w:rsidRPr="00F618E9" w:rsidRDefault="00C066AB" w:rsidP="000B1372">
            <w:pPr>
              <w:spacing w:after="0" w:line="240" w:lineRule="auto"/>
              <w:rPr>
                <w:rFonts w:ascii="Times New Roman" w:eastAsia="Times New Roman" w:hAnsi="Times New Roman"/>
                <w:lang w:val="en-US"/>
              </w:rPr>
            </w:pPr>
            <w:r w:rsidRPr="00F618E9">
              <w:rPr>
                <w:rFonts w:ascii="Times New Roman" w:eastAsia="Times New Roman" w:hAnsi="Times New Roman"/>
                <w:lang w:val="en-US"/>
              </w:rPr>
              <w:t xml:space="preserve">Ascertainment of exposure </w:t>
            </w:r>
            <w:r w:rsidRPr="00F618E9">
              <w:rPr>
                <w:rFonts w:ascii="Times New Roman" w:eastAsia="MS Gothic" w:hAnsi="Times New Roman"/>
                <w:lang w:val="en-US"/>
              </w:rPr>
              <w:t>（</w:t>
            </w:r>
            <w:r w:rsidRPr="00F618E9">
              <w:rPr>
                <w:rFonts w:ascii="Times New Roman" w:eastAsia="MS Gothic" w:hAnsi="Times New Roman"/>
                <w:lang w:val="en-US"/>
              </w:rPr>
              <w:t>*</w:t>
            </w:r>
            <w:r w:rsidRPr="00F618E9">
              <w:rPr>
                <w:rFonts w:ascii="Times New Roman" w:eastAsia="MS Gothic" w:hAnsi="Times New Roman"/>
                <w:lang w:val="en-US"/>
              </w:rPr>
              <w:t>）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66AB" w:rsidRPr="00F618E9" w:rsidRDefault="00C066AB" w:rsidP="000B1372">
            <w:pPr>
              <w:spacing w:after="0" w:line="240" w:lineRule="auto"/>
              <w:rPr>
                <w:rFonts w:ascii="Times New Roman" w:eastAsia="Times New Roman" w:hAnsi="Times New Roman"/>
                <w:lang w:val="en-US"/>
              </w:rPr>
            </w:pPr>
            <w:r w:rsidRPr="00F618E9">
              <w:rPr>
                <w:rFonts w:ascii="Times New Roman" w:eastAsia="Times New Roman" w:hAnsi="Times New Roman"/>
                <w:lang w:val="en-US"/>
              </w:rPr>
              <w:t>Demonstration that outcome of interest was not present at start of study</w:t>
            </w:r>
            <w:r w:rsidRPr="00F618E9">
              <w:rPr>
                <w:rFonts w:ascii="Times New Roman" w:eastAsia="MS Gothic" w:hAnsi="Times New Roman"/>
                <w:lang w:val="en-US"/>
              </w:rPr>
              <w:t>（</w:t>
            </w:r>
            <w:r w:rsidRPr="00F618E9">
              <w:rPr>
                <w:rFonts w:ascii="Times New Roman" w:eastAsia="MS Gothic" w:hAnsi="Times New Roman"/>
                <w:lang w:val="en-US"/>
              </w:rPr>
              <w:t>*</w:t>
            </w:r>
            <w:r w:rsidRPr="00F618E9">
              <w:rPr>
                <w:rFonts w:ascii="Times New Roman" w:eastAsia="MS Gothic" w:hAnsi="Times New Roman"/>
                <w:lang w:val="en-US"/>
              </w:rPr>
              <w:t>）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66AB" w:rsidRPr="00F618E9" w:rsidRDefault="00C066AB" w:rsidP="000B1372">
            <w:pPr>
              <w:spacing w:after="0" w:line="240" w:lineRule="auto"/>
              <w:rPr>
                <w:rFonts w:ascii="Times New Roman" w:eastAsia="Times New Roman" w:hAnsi="Times New Roman"/>
                <w:lang w:val="en-US"/>
              </w:rPr>
            </w:pPr>
            <w:r w:rsidRPr="00F618E9">
              <w:rPr>
                <w:rFonts w:ascii="Times New Roman" w:eastAsia="Times New Roman" w:hAnsi="Times New Roman"/>
                <w:lang w:val="en-US"/>
              </w:rPr>
              <w:t xml:space="preserve">Compare ability of cohorts on the basis of the design or analysis </w:t>
            </w:r>
            <w:r w:rsidRPr="00F618E9">
              <w:rPr>
                <w:rFonts w:ascii="Times New Roman" w:eastAsia="MS Gothic" w:hAnsi="Times New Roman"/>
                <w:lang w:val="en-US"/>
              </w:rPr>
              <w:t>（</w:t>
            </w:r>
            <w:r w:rsidRPr="00F618E9">
              <w:rPr>
                <w:rFonts w:ascii="Times New Roman" w:eastAsia="MS Gothic" w:hAnsi="Times New Roman"/>
                <w:lang w:val="en-US"/>
              </w:rPr>
              <w:t>**</w:t>
            </w:r>
            <w:r w:rsidRPr="00F618E9">
              <w:rPr>
                <w:rFonts w:ascii="Times New Roman" w:eastAsia="MS Gothic" w:hAnsi="Times New Roman"/>
                <w:lang w:val="en-US"/>
              </w:rPr>
              <w:t>）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66AB" w:rsidRPr="00F618E9" w:rsidRDefault="00C066AB" w:rsidP="000B1372">
            <w:pPr>
              <w:spacing w:after="0" w:line="240" w:lineRule="auto"/>
              <w:rPr>
                <w:rFonts w:ascii="Times New Roman" w:eastAsia="Times New Roman" w:hAnsi="Times New Roman"/>
                <w:lang w:val="en-US"/>
              </w:rPr>
            </w:pPr>
            <w:r w:rsidRPr="00F618E9">
              <w:rPr>
                <w:rFonts w:ascii="Times New Roman" w:eastAsia="Times New Roman" w:hAnsi="Times New Roman"/>
                <w:lang w:val="en-US"/>
              </w:rPr>
              <w:t xml:space="preserve">Assessment of outcome </w:t>
            </w:r>
            <w:r w:rsidRPr="00F618E9">
              <w:rPr>
                <w:rFonts w:ascii="Times New Roman" w:eastAsia="MS Gothic" w:hAnsi="Times New Roman"/>
                <w:lang w:val="en-US"/>
              </w:rPr>
              <w:t>（</w:t>
            </w:r>
            <w:r w:rsidRPr="00F618E9">
              <w:rPr>
                <w:rFonts w:ascii="Times New Roman" w:eastAsia="MS Gothic" w:hAnsi="Times New Roman"/>
                <w:lang w:val="en-US"/>
              </w:rPr>
              <w:t>*</w:t>
            </w:r>
            <w:r w:rsidRPr="00F618E9">
              <w:rPr>
                <w:rFonts w:ascii="Times New Roman" w:eastAsia="MS Mincho" w:hAnsi="Times New Roman"/>
                <w:lang w:val="en-US"/>
              </w:rPr>
              <w:t>）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66AB" w:rsidRPr="00F618E9" w:rsidRDefault="00C066AB" w:rsidP="000B1372">
            <w:pPr>
              <w:spacing w:after="0" w:line="240" w:lineRule="auto"/>
              <w:rPr>
                <w:rFonts w:ascii="Times New Roman" w:eastAsia="Times New Roman" w:hAnsi="Times New Roman"/>
                <w:lang w:val="en-US"/>
              </w:rPr>
            </w:pPr>
            <w:r w:rsidRPr="00F618E9">
              <w:rPr>
                <w:rFonts w:ascii="Times New Roman" w:eastAsia="Times New Roman" w:hAnsi="Times New Roman"/>
                <w:lang w:val="en-US"/>
              </w:rPr>
              <w:t>Was follow up long enough for outcomes to occur</w:t>
            </w:r>
            <w:r w:rsidRPr="00F618E9">
              <w:rPr>
                <w:rFonts w:ascii="Times New Roman" w:eastAsia="MS Gothic" w:hAnsi="Times New Roman"/>
                <w:lang w:val="en-US"/>
              </w:rPr>
              <w:t>（</w:t>
            </w:r>
            <w:r w:rsidRPr="00F618E9">
              <w:rPr>
                <w:rFonts w:ascii="Times New Roman" w:eastAsia="MS Gothic" w:hAnsi="Times New Roman"/>
                <w:lang w:val="en-US"/>
              </w:rPr>
              <w:t>*</w:t>
            </w:r>
            <w:r w:rsidRPr="00F618E9">
              <w:rPr>
                <w:rFonts w:ascii="Times New Roman" w:eastAsia="MS Gothic" w:hAnsi="Times New Roman"/>
                <w:lang w:val="en-US"/>
              </w:rPr>
              <w:t>）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66AB" w:rsidRPr="00F618E9" w:rsidRDefault="00C066AB" w:rsidP="000B1372">
            <w:pPr>
              <w:spacing w:after="0" w:line="240" w:lineRule="auto"/>
              <w:rPr>
                <w:rFonts w:ascii="Times New Roman" w:eastAsia="Times New Roman" w:hAnsi="Times New Roman"/>
                <w:lang w:val="en-US"/>
              </w:rPr>
            </w:pPr>
            <w:r w:rsidRPr="00F618E9">
              <w:rPr>
                <w:rFonts w:ascii="Times New Roman" w:eastAsia="Times New Roman" w:hAnsi="Times New Roman"/>
                <w:lang w:val="en-US"/>
              </w:rPr>
              <w:t>Adequacy of follow up of cohorts</w:t>
            </w:r>
            <w:r w:rsidRPr="00F618E9">
              <w:rPr>
                <w:rFonts w:ascii="Times New Roman" w:eastAsia="MS Gothic" w:hAnsi="Times New Roman"/>
                <w:lang w:val="en-US"/>
              </w:rPr>
              <w:t>（</w:t>
            </w:r>
            <w:r w:rsidRPr="00F618E9">
              <w:rPr>
                <w:rFonts w:ascii="Times New Roman" w:eastAsia="MS Gothic" w:hAnsi="Times New Roman"/>
                <w:lang w:val="en-US"/>
              </w:rPr>
              <w:t>*</w:t>
            </w:r>
            <w:r w:rsidRPr="00F618E9">
              <w:rPr>
                <w:rFonts w:ascii="Times New Roman" w:eastAsia="MS Gothic" w:hAnsi="Times New Roman"/>
                <w:lang w:val="en-US"/>
              </w:rPr>
              <w:t>）</w:t>
            </w:r>
          </w:p>
        </w:tc>
      </w:tr>
    </w:tbl>
    <w:p w:rsidR="00C066AB" w:rsidRPr="00F618E9" w:rsidRDefault="00C066AB" w:rsidP="00C066AB">
      <w:pPr>
        <w:pStyle w:val="NormalWeb"/>
        <w:spacing w:beforeAutospacing="0" w:after="240" w:afterAutospacing="0"/>
        <w:ind w:left="720" w:hanging="720"/>
        <w:jc w:val="both"/>
        <w:rPr>
          <w:rStyle w:val="Hyperlink"/>
          <w:b/>
          <w:color w:val="auto"/>
          <w:sz w:val="22"/>
          <w:szCs w:val="22"/>
          <w:u w:val="none"/>
        </w:rPr>
      </w:pPr>
      <w:r w:rsidRPr="00F618E9">
        <w:rPr>
          <w:rStyle w:val="Hyperlink"/>
          <w:b/>
          <w:color w:val="auto"/>
          <w:sz w:val="22"/>
          <w:szCs w:val="22"/>
          <w:u w:val="none"/>
        </w:rPr>
        <w:t>Case Studies</w:t>
      </w:r>
    </w:p>
    <w:p w:rsidR="00C066AB" w:rsidRPr="00F618E9" w:rsidRDefault="00C066AB" w:rsidP="00C066AB">
      <w:pPr>
        <w:rPr>
          <w:rFonts w:ascii="Times New Roman" w:hAnsi="Times New Roman"/>
          <w:lang w:val="en-GB"/>
        </w:rPr>
      </w:pPr>
      <w:r w:rsidRPr="00F618E9">
        <w:rPr>
          <w:rFonts w:ascii="Times New Roman" w:hAnsi="Times New Roman"/>
          <w:lang w:val="en-GB"/>
        </w:rPr>
        <w:t>Note: A study can be awarded a maximum of one star for each numbered item within the Selection and Exposure categories. A maximum of two stars can be given for Comparability.</w:t>
      </w:r>
    </w:p>
    <w:tbl>
      <w:tblPr>
        <w:tblW w:w="1017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260"/>
        <w:gridCol w:w="1260"/>
        <w:gridCol w:w="1080"/>
        <w:gridCol w:w="1080"/>
        <w:gridCol w:w="1530"/>
        <w:gridCol w:w="1170"/>
        <w:gridCol w:w="1800"/>
        <w:gridCol w:w="990"/>
      </w:tblGrid>
      <w:tr w:rsidR="00C066AB" w:rsidRPr="00F618E9" w:rsidTr="000B1372">
        <w:trPr>
          <w:trHeight w:val="467"/>
        </w:trPr>
        <w:tc>
          <w:tcPr>
            <w:tcW w:w="4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66AB" w:rsidRPr="00F618E9" w:rsidRDefault="00C066AB" w:rsidP="000B1372">
            <w:pPr>
              <w:spacing w:after="0" w:line="240" w:lineRule="auto"/>
              <w:rPr>
                <w:rFonts w:ascii="Times New Roman" w:eastAsia="Times New Roman" w:hAnsi="Times New Roman"/>
                <w:lang w:val="en-US"/>
              </w:rPr>
            </w:pPr>
            <w:r w:rsidRPr="00F618E9">
              <w:rPr>
                <w:rFonts w:ascii="Times New Roman" w:eastAsia="Times New Roman" w:hAnsi="Times New Roman"/>
                <w:lang w:val="en-US"/>
              </w:rPr>
              <w:t>Selection of case &amp; controls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66AB" w:rsidRPr="00F618E9" w:rsidRDefault="00C066AB" w:rsidP="000B1372">
            <w:pPr>
              <w:spacing w:after="0" w:line="240" w:lineRule="auto"/>
              <w:rPr>
                <w:rFonts w:ascii="Times New Roman" w:eastAsia="Times New Roman" w:hAnsi="Times New Roman"/>
                <w:lang w:val="en-US"/>
              </w:rPr>
            </w:pPr>
            <w:r w:rsidRPr="00F618E9">
              <w:rPr>
                <w:rFonts w:ascii="Times New Roman" w:eastAsia="Times New Roman" w:hAnsi="Times New Roman"/>
                <w:lang w:val="en-US"/>
              </w:rPr>
              <w:t>Comparability of case &amp; controls</w:t>
            </w:r>
          </w:p>
        </w:tc>
        <w:tc>
          <w:tcPr>
            <w:tcW w:w="39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66AB" w:rsidRPr="00F618E9" w:rsidRDefault="00C066AB" w:rsidP="000B1372">
            <w:pPr>
              <w:spacing w:after="0" w:line="240" w:lineRule="auto"/>
              <w:rPr>
                <w:rFonts w:ascii="Times New Roman" w:eastAsia="Times New Roman" w:hAnsi="Times New Roman"/>
                <w:lang w:val="en-US"/>
              </w:rPr>
            </w:pPr>
            <w:r w:rsidRPr="00F618E9">
              <w:rPr>
                <w:rFonts w:ascii="Times New Roman" w:eastAsia="Times New Roman" w:hAnsi="Times New Roman"/>
                <w:lang w:val="en-US"/>
              </w:rPr>
              <w:t>Ascertainment of exposure</w:t>
            </w:r>
          </w:p>
        </w:tc>
      </w:tr>
      <w:tr w:rsidR="00C066AB" w:rsidRPr="00F618E9" w:rsidTr="000B1372">
        <w:trPr>
          <w:trHeight w:val="60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66AB" w:rsidRPr="00F618E9" w:rsidRDefault="00C066AB" w:rsidP="000B1372">
            <w:pPr>
              <w:spacing w:after="0" w:line="240" w:lineRule="auto"/>
              <w:rPr>
                <w:rFonts w:ascii="Times New Roman" w:eastAsia="Times New Roman" w:hAnsi="Times New Roman"/>
                <w:lang w:val="en-US"/>
              </w:rPr>
            </w:pPr>
            <w:r w:rsidRPr="00F618E9">
              <w:rPr>
                <w:rFonts w:ascii="Times New Roman" w:eastAsia="Times New Roman" w:hAnsi="Times New Roman"/>
                <w:lang w:val="en-US"/>
              </w:rPr>
              <w:t>Is the Case Definition Adequate (*)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66AB" w:rsidRPr="00F618E9" w:rsidRDefault="00C066AB" w:rsidP="000B1372">
            <w:pPr>
              <w:spacing w:after="0" w:line="240" w:lineRule="auto"/>
              <w:rPr>
                <w:rFonts w:ascii="Times New Roman" w:eastAsia="Times New Roman" w:hAnsi="Times New Roman"/>
                <w:lang w:val="en-US"/>
              </w:rPr>
            </w:pPr>
            <w:r w:rsidRPr="00F618E9">
              <w:rPr>
                <w:rFonts w:ascii="Times New Roman" w:eastAsia="Times New Roman" w:hAnsi="Times New Roman"/>
                <w:lang w:val="en-US"/>
              </w:rPr>
              <w:t>Representativeness of the Cases (*)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66AB" w:rsidRPr="00F618E9" w:rsidRDefault="00C066AB" w:rsidP="000B1372">
            <w:pPr>
              <w:spacing w:after="0" w:line="240" w:lineRule="auto"/>
              <w:rPr>
                <w:rFonts w:ascii="Times New Roman" w:eastAsia="Times New Roman" w:hAnsi="Times New Roman"/>
                <w:lang w:val="en-US"/>
              </w:rPr>
            </w:pPr>
            <w:r w:rsidRPr="00F618E9">
              <w:rPr>
                <w:rFonts w:ascii="Times New Roman" w:eastAsia="Times New Roman" w:hAnsi="Times New Roman"/>
                <w:lang w:val="en-US"/>
              </w:rPr>
              <w:t>Selection of Controls (*)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66AB" w:rsidRPr="00F618E9" w:rsidRDefault="00C066AB" w:rsidP="000B1372">
            <w:pPr>
              <w:spacing w:after="0" w:line="240" w:lineRule="auto"/>
              <w:rPr>
                <w:rFonts w:ascii="Times New Roman" w:eastAsia="Times New Roman" w:hAnsi="Times New Roman"/>
                <w:lang w:val="en-US"/>
              </w:rPr>
            </w:pPr>
            <w:r w:rsidRPr="00F618E9">
              <w:rPr>
                <w:rFonts w:ascii="Times New Roman" w:eastAsia="Times New Roman" w:hAnsi="Times New Roman"/>
                <w:lang w:val="en-US"/>
              </w:rPr>
              <w:t>Definition of Controls (*)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66AB" w:rsidRPr="00F618E9" w:rsidRDefault="00C066AB" w:rsidP="000B1372">
            <w:pPr>
              <w:spacing w:after="0" w:line="240" w:lineRule="auto"/>
              <w:rPr>
                <w:rFonts w:ascii="Times New Roman" w:eastAsia="Times New Roman" w:hAnsi="Times New Roman"/>
                <w:lang w:val="en-US"/>
              </w:rPr>
            </w:pPr>
            <w:r w:rsidRPr="00F618E9">
              <w:rPr>
                <w:rFonts w:ascii="Times New Roman" w:eastAsia="Times New Roman" w:hAnsi="Times New Roman"/>
                <w:lang w:val="en-US"/>
              </w:rPr>
              <w:t>Comparability of cases and controls (**)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66AB" w:rsidRPr="00F618E9" w:rsidRDefault="00C066AB" w:rsidP="000B1372">
            <w:pPr>
              <w:spacing w:after="0" w:line="240" w:lineRule="auto"/>
              <w:rPr>
                <w:rFonts w:ascii="Times New Roman" w:eastAsia="Times New Roman" w:hAnsi="Times New Roman"/>
                <w:lang w:val="en-US"/>
              </w:rPr>
            </w:pPr>
            <w:r w:rsidRPr="00F618E9">
              <w:rPr>
                <w:rFonts w:ascii="Times New Roman" w:eastAsia="Times New Roman" w:hAnsi="Times New Roman"/>
                <w:lang w:val="en-US"/>
              </w:rPr>
              <w:t>Ascertainment of exposure (*)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66AB" w:rsidRPr="00F618E9" w:rsidRDefault="00C066AB" w:rsidP="000B1372">
            <w:pPr>
              <w:spacing w:after="0" w:line="240" w:lineRule="auto"/>
              <w:rPr>
                <w:rFonts w:ascii="Times New Roman" w:eastAsia="Times New Roman" w:hAnsi="Times New Roman"/>
                <w:lang w:val="en-US"/>
              </w:rPr>
            </w:pPr>
            <w:r w:rsidRPr="00F618E9">
              <w:rPr>
                <w:rFonts w:ascii="Times New Roman" w:eastAsia="Times New Roman" w:hAnsi="Times New Roman"/>
                <w:lang w:val="en-US"/>
              </w:rPr>
              <w:t>Same method of ascertainment for cases &amp; controls (*)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66AB" w:rsidRPr="00F618E9" w:rsidRDefault="00C066AB" w:rsidP="000B1372">
            <w:pPr>
              <w:spacing w:after="0" w:line="240" w:lineRule="auto"/>
              <w:rPr>
                <w:rFonts w:ascii="Times New Roman" w:eastAsia="Times New Roman" w:hAnsi="Times New Roman"/>
                <w:lang w:val="en-US"/>
              </w:rPr>
            </w:pPr>
            <w:r w:rsidRPr="00F618E9">
              <w:rPr>
                <w:rFonts w:ascii="Times New Roman" w:eastAsia="Times New Roman" w:hAnsi="Times New Roman"/>
                <w:lang w:val="en-US"/>
              </w:rPr>
              <w:t>Non-Response rate (*)</w:t>
            </w:r>
          </w:p>
        </w:tc>
      </w:tr>
    </w:tbl>
    <w:p w:rsidR="00C066AB" w:rsidRPr="00F618E9" w:rsidRDefault="00C066AB" w:rsidP="00C066AB">
      <w:pPr>
        <w:pStyle w:val="NormalWeb"/>
        <w:spacing w:beforeAutospacing="0" w:after="240" w:afterAutospacing="0"/>
        <w:ind w:left="720" w:hanging="720"/>
        <w:jc w:val="both"/>
        <w:rPr>
          <w:rStyle w:val="Hyperlink"/>
          <w:b/>
          <w:color w:val="auto"/>
          <w:sz w:val="22"/>
          <w:szCs w:val="22"/>
          <w:u w:val="none"/>
        </w:rPr>
      </w:pPr>
      <w:r w:rsidRPr="00F618E9">
        <w:rPr>
          <w:rStyle w:val="Hyperlink"/>
          <w:b/>
          <w:color w:val="auto"/>
          <w:sz w:val="22"/>
          <w:szCs w:val="22"/>
          <w:u w:val="none"/>
        </w:rPr>
        <w:t>Cross-sectional Studies</w:t>
      </w:r>
    </w:p>
    <w:tbl>
      <w:tblPr>
        <w:tblW w:w="10170" w:type="dxa"/>
        <w:tblInd w:w="108" w:type="dxa"/>
        <w:tblLook w:val="04A0" w:firstRow="1" w:lastRow="0" w:firstColumn="1" w:lastColumn="0" w:noHBand="0" w:noVBand="1"/>
      </w:tblPr>
      <w:tblGrid>
        <w:gridCol w:w="2059"/>
        <w:gridCol w:w="962"/>
        <w:gridCol w:w="1267"/>
        <w:gridCol w:w="1116"/>
        <w:gridCol w:w="1598"/>
        <w:gridCol w:w="1510"/>
        <w:gridCol w:w="1658"/>
      </w:tblGrid>
      <w:tr w:rsidR="00C066AB" w:rsidRPr="00F618E9" w:rsidTr="000B1372">
        <w:trPr>
          <w:trHeight w:val="234"/>
        </w:trPr>
        <w:tc>
          <w:tcPr>
            <w:tcW w:w="54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66AB" w:rsidRPr="00F618E9" w:rsidRDefault="00C066AB" w:rsidP="000B137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val="en-US"/>
              </w:rPr>
            </w:pPr>
            <w:r w:rsidRPr="00F618E9">
              <w:rPr>
                <w:rFonts w:ascii="Times New Roman" w:eastAsia="Times New Roman" w:hAnsi="Times New Roman"/>
                <w:b/>
                <w:bCs/>
                <w:lang w:val="en-US"/>
              </w:rPr>
              <w:t>Selection (5)</w:t>
            </w:r>
          </w:p>
          <w:p w:rsidR="00C066AB" w:rsidRPr="00F618E9" w:rsidRDefault="00C066AB" w:rsidP="000B1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val="en-US"/>
              </w:rPr>
            </w:pPr>
            <w:r w:rsidRPr="00F618E9">
              <w:rPr>
                <w:rFonts w:ascii="Times New Roman" w:eastAsia="Times New Roman" w:hAnsi="Times New Roman"/>
                <w:b/>
                <w:bCs/>
                <w:lang w:val="en-US"/>
              </w:rPr>
              <w:t> 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66AB" w:rsidRPr="00F618E9" w:rsidRDefault="00C066AB" w:rsidP="000B13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val="en-US"/>
              </w:rPr>
            </w:pPr>
            <w:r w:rsidRPr="00F618E9">
              <w:rPr>
                <w:rFonts w:ascii="Times New Roman" w:eastAsia="Times New Roman" w:hAnsi="Times New Roman"/>
                <w:b/>
                <w:bCs/>
                <w:lang w:val="en-US"/>
              </w:rPr>
              <w:t>Comparability (2)</w:t>
            </w:r>
          </w:p>
        </w:tc>
        <w:tc>
          <w:tcPr>
            <w:tcW w:w="31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66AB" w:rsidRPr="00F618E9" w:rsidRDefault="00C066AB" w:rsidP="000B137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val="en-US"/>
              </w:rPr>
            </w:pPr>
            <w:r w:rsidRPr="00F618E9">
              <w:rPr>
                <w:rFonts w:ascii="Times New Roman" w:eastAsia="Times New Roman" w:hAnsi="Times New Roman"/>
                <w:b/>
                <w:bCs/>
                <w:lang w:val="en-US"/>
              </w:rPr>
              <w:t>Outcome (3)</w:t>
            </w:r>
          </w:p>
        </w:tc>
      </w:tr>
      <w:tr w:rsidR="00C066AB" w:rsidRPr="00F618E9" w:rsidTr="000B1372">
        <w:trPr>
          <w:trHeight w:val="569"/>
        </w:trPr>
        <w:tc>
          <w:tcPr>
            <w:tcW w:w="20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66AB" w:rsidRPr="00F618E9" w:rsidRDefault="00C066AB" w:rsidP="000B1372">
            <w:pPr>
              <w:spacing w:after="0" w:line="240" w:lineRule="auto"/>
              <w:rPr>
                <w:rFonts w:ascii="Times New Roman" w:eastAsia="Times New Roman" w:hAnsi="Times New Roman"/>
                <w:lang w:val="en-US"/>
              </w:rPr>
            </w:pPr>
            <w:r w:rsidRPr="00F618E9">
              <w:rPr>
                <w:rFonts w:ascii="Times New Roman" w:eastAsia="Times New Roman" w:hAnsi="Times New Roman"/>
                <w:lang w:val="en-US"/>
              </w:rPr>
              <w:t>Representativeness (*)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066AB" w:rsidRPr="00F618E9" w:rsidRDefault="00C066AB" w:rsidP="000B1372">
            <w:pPr>
              <w:spacing w:after="0" w:line="240" w:lineRule="auto"/>
              <w:rPr>
                <w:rFonts w:ascii="Times New Roman" w:eastAsia="Times New Roman" w:hAnsi="Times New Roman"/>
                <w:lang w:val="en-US"/>
              </w:rPr>
            </w:pPr>
            <w:r w:rsidRPr="00F618E9">
              <w:rPr>
                <w:rFonts w:ascii="Times New Roman" w:eastAsia="Times New Roman" w:hAnsi="Times New Roman"/>
                <w:lang w:val="en-US"/>
              </w:rPr>
              <w:t>Justified sample size (*)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066AB" w:rsidRPr="00F618E9" w:rsidRDefault="00C066AB" w:rsidP="000B1372">
            <w:pPr>
              <w:spacing w:after="0" w:line="240" w:lineRule="auto"/>
              <w:rPr>
                <w:rFonts w:ascii="Times New Roman" w:eastAsia="Times New Roman" w:hAnsi="Times New Roman"/>
                <w:lang w:val="en-US"/>
              </w:rPr>
            </w:pPr>
            <w:r w:rsidRPr="00F618E9">
              <w:rPr>
                <w:rFonts w:ascii="Times New Roman" w:eastAsia="Times New Roman" w:hAnsi="Times New Roman"/>
                <w:lang w:val="en-US"/>
              </w:rPr>
              <w:t>Satisfactory respondent rate (*)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066AB" w:rsidRPr="00F618E9" w:rsidRDefault="00C066AB" w:rsidP="000B1372">
            <w:pPr>
              <w:spacing w:after="0" w:line="240" w:lineRule="auto"/>
              <w:rPr>
                <w:rFonts w:ascii="Times New Roman" w:eastAsia="Times New Roman" w:hAnsi="Times New Roman"/>
                <w:lang w:val="en-US"/>
              </w:rPr>
            </w:pPr>
            <w:r w:rsidRPr="00F618E9">
              <w:rPr>
                <w:rFonts w:ascii="Times New Roman" w:eastAsia="Times New Roman" w:hAnsi="Times New Roman"/>
                <w:lang w:val="en-US"/>
              </w:rPr>
              <w:t xml:space="preserve">Validated tool (**), </w:t>
            </w:r>
            <w:bookmarkStart w:id="0" w:name="_GoBack"/>
            <w:bookmarkEnd w:id="0"/>
            <w:r w:rsidRPr="00F618E9">
              <w:rPr>
                <w:rFonts w:ascii="Times New Roman" w:eastAsia="Times New Roman" w:hAnsi="Times New Roman"/>
                <w:lang w:val="en-US"/>
              </w:rPr>
              <w:t>Non-validated but it’s described (*)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066AB" w:rsidRPr="00F618E9" w:rsidRDefault="00C066AB" w:rsidP="000B1372">
            <w:pPr>
              <w:spacing w:after="0" w:line="240" w:lineRule="auto"/>
              <w:rPr>
                <w:rFonts w:ascii="Times New Roman" w:eastAsia="Times New Roman" w:hAnsi="Times New Roman"/>
                <w:lang w:val="en-US"/>
              </w:rPr>
            </w:pPr>
            <w:r w:rsidRPr="00F618E9">
              <w:rPr>
                <w:rFonts w:ascii="Times New Roman" w:eastAsia="Times New Roman" w:hAnsi="Times New Roman"/>
                <w:lang w:val="en-US"/>
              </w:rPr>
              <w:t>With one factor (1), with additional factor (*)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66AB" w:rsidRPr="00F618E9" w:rsidRDefault="00C066AB" w:rsidP="000B1372">
            <w:pPr>
              <w:spacing w:after="0" w:line="240" w:lineRule="auto"/>
              <w:rPr>
                <w:rFonts w:ascii="Times New Roman" w:eastAsia="Times New Roman" w:hAnsi="Times New Roman"/>
                <w:lang w:val="en-US"/>
              </w:rPr>
            </w:pPr>
            <w:r w:rsidRPr="00F618E9">
              <w:rPr>
                <w:rFonts w:ascii="Times New Roman" w:eastAsia="Times New Roman" w:hAnsi="Times New Roman"/>
                <w:lang w:val="en-US"/>
              </w:rPr>
              <w:t>Outcome: Independent blind (**), record linkage (**), self-report (*)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066AB" w:rsidRPr="00F618E9" w:rsidRDefault="00C066AB" w:rsidP="000B1372">
            <w:pPr>
              <w:spacing w:after="0" w:line="240" w:lineRule="auto"/>
              <w:rPr>
                <w:rFonts w:ascii="Times New Roman" w:eastAsia="Times New Roman" w:hAnsi="Times New Roman"/>
                <w:lang w:val="en-US"/>
              </w:rPr>
            </w:pPr>
            <w:r w:rsidRPr="00F618E9">
              <w:rPr>
                <w:rFonts w:ascii="Times New Roman" w:eastAsia="Times New Roman" w:hAnsi="Times New Roman"/>
                <w:lang w:val="en-US"/>
              </w:rPr>
              <w:t>Appropriateness of statistical tests, presented CI, p-value (*)</w:t>
            </w:r>
          </w:p>
        </w:tc>
      </w:tr>
    </w:tbl>
    <w:p w:rsidR="00C066AB" w:rsidRPr="00F618E9" w:rsidRDefault="00C066AB" w:rsidP="00C066AB">
      <w:pPr>
        <w:spacing w:after="0" w:line="360" w:lineRule="auto"/>
        <w:jc w:val="both"/>
        <w:rPr>
          <w:rFonts w:ascii="Times New Roman" w:hAnsi="Times New Roman"/>
          <w:lang w:val="en-GB"/>
        </w:rPr>
      </w:pPr>
      <w:r w:rsidRPr="00F618E9">
        <w:rPr>
          <w:rFonts w:ascii="Times New Roman" w:hAnsi="Times New Roman"/>
          <w:lang w:val="en-GB"/>
        </w:rPr>
        <w:t>Very Good Studies: 9-10 points</w:t>
      </w:r>
    </w:p>
    <w:p w:rsidR="00C066AB" w:rsidRPr="00F618E9" w:rsidRDefault="00C066AB" w:rsidP="00C066AB">
      <w:pPr>
        <w:spacing w:after="0" w:line="360" w:lineRule="auto"/>
        <w:jc w:val="both"/>
        <w:rPr>
          <w:rFonts w:ascii="Times New Roman" w:hAnsi="Times New Roman"/>
          <w:lang w:val="en-GB"/>
        </w:rPr>
      </w:pPr>
      <w:r w:rsidRPr="00F618E9">
        <w:rPr>
          <w:rFonts w:ascii="Times New Roman" w:hAnsi="Times New Roman"/>
          <w:lang w:val="en-GB"/>
        </w:rPr>
        <w:t>Good Studies: 7-8 points</w:t>
      </w:r>
    </w:p>
    <w:p w:rsidR="00C066AB" w:rsidRPr="00F618E9" w:rsidRDefault="00C066AB" w:rsidP="00C066AB">
      <w:pPr>
        <w:spacing w:after="0" w:line="360" w:lineRule="auto"/>
        <w:jc w:val="both"/>
        <w:rPr>
          <w:rFonts w:ascii="Times New Roman" w:hAnsi="Times New Roman"/>
          <w:lang w:val="en-GB"/>
        </w:rPr>
      </w:pPr>
      <w:r w:rsidRPr="00F618E9">
        <w:rPr>
          <w:rFonts w:ascii="Times New Roman" w:hAnsi="Times New Roman"/>
          <w:lang w:val="en-GB"/>
        </w:rPr>
        <w:t>Satisfactory Studies: 5-6 points</w:t>
      </w:r>
    </w:p>
    <w:p w:rsidR="00C066AB" w:rsidRPr="00F618E9" w:rsidRDefault="00C066AB" w:rsidP="00C066AB">
      <w:pPr>
        <w:spacing w:after="0" w:line="360" w:lineRule="auto"/>
        <w:jc w:val="both"/>
        <w:rPr>
          <w:rFonts w:ascii="Times New Roman" w:hAnsi="Times New Roman"/>
          <w:lang w:val="en-GB"/>
        </w:rPr>
      </w:pPr>
      <w:r w:rsidRPr="00F618E9">
        <w:rPr>
          <w:rFonts w:ascii="Times New Roman" w:hAnsi="Times New Roman"/>
          <w:lang w:val="en-GB"/>
        </w:rPr>
        <w:t>Unsatisfactory Studies: 0 to 4 points</w:t>
      </w:r>
    </w:p>
    <w:p w:rsidR="00C066AB" w:rsidRPr="00F618E9" w:rsidRDefault="00C066AB" w:rsidP="00C066AB">
      <w:pPr>
        <w:pStyle w:val="NormalWeb"/>
        <w:spacing w:beforeAutospacing="0" w:after="0" w:afterAutospacing="0" w:line="360" w:lineRule="auto"/>
        <w:jc w:val="both"/>
        <w:rPr>
          <w:sz w:val="22"/>
          <w:szCs w:val="22"/>
        </w:rPr>
      </w:pPr>
      <w:r w:rsidRPr="00F618E9">
        <w:rPr>
          <w:sz w:val="22"/>
          <w:szCs w:val="22"/>
        </w:rPr>
        <w:t>This scale has been adapted from the Newcastle-Ottawa Quality Assessment Scale for cohort studies to provide quality assessment of cross-sectional studies (Herzog et al., 2013).</w:t>
      </w:r>
    </w:p>
    <w:p w:rsidR="00912EA8" w:rsidRPr="00F618E9" w:rsidRDefault="00912EA8"/>
    <w:sectPr w:rsidR="00912EA8" w:rsidRPr="00F618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66AB"/>
    <w:rsid w:val="004841DE"/>
    <w:rsid w:val="00912EA8"/>
    <w:rsid w:val="00C066AB"/>
    <w:rsid w:val="00E63CCA"/>
    <w:rsid w:val="00F61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66AB"/>
    <w:rPr>
      <w:rFonts w:ascii="Calibri" w:eastAsia="Calibri" w:hAnsi="Calibri" w:cs="Times New Roman"/>
      <w:kern w:val="0"/>
      <w:lang w:val="en-C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C066AB"/>
    <w:rPr>
      <w:color w:val="0563C1"/>
      <w:u w:val="single"/>
    </w:rPr>
  </w:style>
  <w:style w:type="paragraph" w:styleId="NormalWeb">
    <w:name w:val="Normal (Web)"/>
    <w:basedOn w:val="Normal"/>
    <w:uiPriority w:val="99"/>
    <w:unhideWhenUsed/>
    <w:rsid w:val="00C066AB"/>
    <w:pPr>
      <w:spacing w:beforeAutospacing="1" w:after="2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66AB"/>
    <w:rPr>
      <w:rFonts w:ascii="Calibri" w:eastAsia="Calibri" w:hAnsi="Calibri" w:cs="Times New Roman"/>
      <w:kern w:val="0"/>
      <w:lang w:val="en-C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C066AB"/>
    <w:rPr>
      <w:color w:val="0563C1"/>
      <w:u w:val="single"/>
    </w:rPr>
  </w:style>
  <w:style w:type="paragraph" w:styleId="NormalWeb">
    <w:name w:val="Normal (Web)"/>
    <w:basedOn w:val="Normal"/>
    <w:uiPriority w:val="99"/>
    <w:unhideWhenUsed/>
    <w:rsid w:val="00C066AB"/>
    <w:pPr>
      <w:spacing w:beforeAutospacing="1" w:after="2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297</Words>
  <Characters>1695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2025-04-01T21:06:00Z</dcterms:created>
  <dcterms:modified xsi:type="dcterms:W3CDTF">2025-04-01T21:07:00Z</dcterms:modified>
</cp:coreProperties>
</file>