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9DDC" w14:textId="796C996F" w:rsidR="00F24D7E" w:rsidRDefault="001A406D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Supplementary Table S1 </w:t>
      </w:r>
      <w:r w:rsidR="00000000">
        <w:rPr>
          <w:rFonts w:ascii="Calibri" w:eastAsia="Calibri" w:hAnsi="Calibri" w:cs="Calibri"/>
          <w:b/>
          <w:bCs/>
          <w:sz w:val="24"/>
          <w:szCs w:val="24"/>
        </w:rPr>
        <w:t>Univariable logistic regression analysis of risk factors for bacteremia in adults hospitalized with community-acquired urinary tract infection (n = 358)</w:t>
      </w:r>
    </w:p>
    <w:p w14:paraId="6F89AEB3" w14:textId="77777777" w:rsidR="00F24D7E" w:rsidRDefault="00F24D7E">
      <w:pPr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"/>
        <w:tblW w:w="89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35"/>
        <w:gridCol w:w="2205"/>
        <w:gridCol w:w="1215"/>
      </w:tblGrid>
      <w:tr w:rsidR="00F24D7E" w14:paraId="4BE283DC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0088F" w14:textId="77777777" w:rsidR="00F24D7E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50F6B" w14:textId="77777777" w:rsidR="00F24D7E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 (95% CI)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D61ED" w14:textId="77777777" w:rsidR="00F24D7E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 value</w:t>
            </w:r>
          </w:p>
        </w:tc>
      </w:tr>
      <w:tr w:rsidR="00F24D7E" w14:paraId="1D283EFD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962B1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Long-term care facility residence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BFCFC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1.26 (0.69–2.29)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543D6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0.529</w:t>
            </w:r>
          </w:p>
        </w:tc>
      </w:tr>
      <w:tr w:rsidR="00F24D7E" w14:paraId="77F43BA1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260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Recent healthcare exposure (≤90 days)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FFA1C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1.30 (0.76–2.21)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AE6C8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0.336</w:t>
            </w:r>
          </w:p>
        </w:tc>
      </w:tr>
      <w:tr w:rsidR="00F24D7E" w14:paraId="387BF990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796F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Previous hospitalization ≤90 days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F9187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1.76 (1.03–2.99)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EF22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0.037</w:t>
            </w:r>
          </w:p>
        </w:tc>
      </w:tr>
      <w:tr w:rsidR="00F24D7E" w14:paraId="6FF49258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1E2C8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Obstructive uropathy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5C17D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0.91 (0.38–2.16)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CA00C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0.829</w:t>
            </w:r>
          </w:p>
        </w:tc>
      </w:tr>
      <w:tr w:rsidR="00F24D7E" w14:paraId="1C8F4BC6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F3DB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Urinary tract anatomical anomalies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95BA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0.88 (0.22–3.47)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E607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0.855</w:t>
            </w:r>
          </w:p>
        </w:tc>
      </w:tr>
      <w:tr w:rsidR="00F24D7E" w14:paraId="0DFDC6DD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AAB5E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Prostate disease (BPH/prostatitis)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1714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1.56 (0.69–3.52)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439E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0.280</w:t>
            </w:r>
          </w:p>
        </w:tc>
      </w:tr>
      <w:tr w:rsidR="00F24D7E" w14:paraId="5A54BC86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2C42E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Indwelling urinary catheter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116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1.12 (0.65–1.92)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0B7B6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0.680</w:t>
            </w:r>
          </w:p>
        </w:tc>
      </w:tr>
      <w:tr w:rsidR="00F24D7E" w14:paraId="57AA58F8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140CF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Double-J stent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04721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1.20 (0.63–2.27)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56F45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0.585</w:t>
            </w:r>
          </w:p>
        </w:tc>
      </w:tr>
      <w:tr w:rsidR="00F24D7E" w14:paraId="289A48AC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4170F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Recent urological instrumentation ≤30 d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562AE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0.70 (0.30–1.61)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78AF1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0.395</w:t>
            </w:r>
          </w:p>
        </w:tc>
      </w:tr>
      <w:tr w:rsidR="00F24D7E" w14:paraId="61E5BF94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2B18C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Urologic surgery ≤12 months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21124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1.03 (0.52–2.05)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5E48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0.924</w:t>
            </w:r>
          </w:p>
        </w:tc>
      </w:tr>
      <w:tr w:rsidR="00F24D7E" w14:paraId="0F3EE098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37F4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Chronic kidney disease*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EA4A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0.89 (0.48–1.62)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6D965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0.697</w:t>
            </w:r>
          </w:p>
        </w:tc>
      </w:tr>
      <w:tr w:rsidR="00F24D7E" w14:paraId="4239EFA4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AE615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Ischemic heart disease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9CAE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1.33 (0.76–2.31)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C8C2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0.320</w:t>
            </w:r>
          </w:p>
        </w:tc>
      </w:tr>
      <w:tr w:rsidR="00F24D7E" w14:paraId="075C3E23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B2BE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Heart valve disease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F7DFB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1.29 (0.52–3.20)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0C9D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0.586</w:t>
            </w:r>
          </w:p>
        </w:tc>
      </w:tr>
      <w:tr w:rsidR="00F24D7E" w14:paraId="41966641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86FF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Chronic liver disease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B8FB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0.95 (0.35–2.56)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985F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0.916</w:t>
            </w:r>
          </w:p>
        </w:tc>
      </w:tr>
      <w:tr w:rsidR="00F24D7E" w14:paraId="56D57B5D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9B4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Dementia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A3666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3.64 (1.46–9.05)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D7D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0.005</w:t>
            </w:r>
          </w:p>
        </w:tc>
      </w:tr>
      <w:tr w:rsidR="00F24D7E" w14:paraId="1B7A85E7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8416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Solid organ malignancy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300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12.40 (2.70–56.92)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ABC5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0.001</w:t>
            </w:r>
          </w:p>
        </w:tc>
      </w:tr>
      <w:tr w:rsidR="00F24D7E" w14:paraId="30057A81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FA085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Urologic tumor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DF19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2.11 (0.60–7.43)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47E8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0.246</w:t>
            </w:r>
          </w:p>
        </w:tc>
      </w:tr>
      <w:tr w:rsidR="00F24D7E" w14:paraId="227A17D2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97E01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Solid organ / renal transplant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CFB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2.07 (0.13–33.37)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9A24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0.608</w:t>
            </w:r>
          </w:p>
        </w:tc>
      </w:tr>
      <w:tr w:rsidR="00F24D7E" w14:paraId="1B89A544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08FDD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Immunosuppression (any)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BF127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1.85 (0.66–5.24)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61DA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0.245</w:t>
            </w:r>
          </w:p>
        </w:tc>
      </w:tr>
      <w:tr w:rsidR="00F24D7E" w14:paraId="353A495A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5D69B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Chronic systemic steroid use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6B4ED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1.30 (0.42–4.06)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BFE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0.652</w:t>
            </w:r>
          </w:p>
        </w:tc>
      </w:tr>
      <w:tr w:rsidR="00F24D7E" w14:paraId="7C2DB1B7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CD744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Barthel Index &lt;40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0FD1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4.48 (2.01–9.98)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A7CAB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&lt;0.001</w:t>
            </w:r>
          </w:p>
        </w:tc>
      </w:tr>
      <w:tr w:rsidR="00F24D7E" w14:paraId="2CA2BDC2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7B498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Barthel Index 40–60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C91E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1.30 (0.76–2.21)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B4995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0.335</w:t>
            </w:r>
          </w:p>
        </w:tc>
      </w:tr>
      <w:tr w:rsidR="00F24D7E" w14:paraId="5CA6382C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69324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Barthel Index &gt;60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B9D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0.82 (0.51–1.32)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197B7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0.408</w:t>
            </w:r>
          </w:p>
        </w:tc>
      </w:tr>
      <w:tr w:rsidR="00F24D7E" w14:paraId="0443D7EF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5D104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Fever &gt;38°C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068E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1.85 (1.15–2.98)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5803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0.011</w:t>
            </w:r>
          </w:p>
        </w:tc>
      </w:tr>
      <w:tr w:rsidR="00F24D7E" w14:paraId="799F3724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F902A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Heart rate &gt;120 bpm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78C6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2.35 (1.35–4.10)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EB6A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0.002</w:t>
            </w:r>
          </w:p>
        </w:tc>
      </w:tr>
      <w:tr w:rsidR="00F24D7E" w14:paraId="6ED4796B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672C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Systolic blood pressure &lt;90 mmHg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F001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4.03 (2.15–7.53)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3B4A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&lt;0.001</w:t>
            </w:r>
          </w:p>
        </w:tc>
      </w:tr>
      <w:tr w:rsidR="00F24D7E" w14:paraId="09A0DD31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30185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Sepsis at admission (SOFA ≥2)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E2AB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3.00 (1.89–4.78)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F7A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&lt;0.001</w:t>
            </w:r>
          </w:p>
        </w:tc>
      </w:tr>
      <w:tr w:rsidR="00F24D7E" w14:paraId="203F9474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2646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Leukocytosis &gt;12,000/mm³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1FDA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5.39 (1.85–15.70)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D1230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0.002</w:t>
            </w:r>
          </w:p>
        </w:tc>
      </w:tr>
      <w:tr w:rsidR="00F24D7E" w14:paraId="34C37D9B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EF7E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Neutrophil-to-lymphocyte ratio ≥7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89FD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1.67 (1.04–2.67)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82BC1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0.033</w:t>
            </w:r>
          </w:p>
        </w:tc>
      </w:tr>
      <w:tr w:rsidR="00F24D7E" w14:paraId="4EACAE4D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66BC4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Hemoglobin (g/dL)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10A7B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1.01 (0.88–1.16)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BE71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0.905</w:t>
            </w:r>
          </w:p>
        </w:tc>
      </w:tr>
      <w:tr w:rsidR="00F24D7E" w14:paraId="6E52755C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7971D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Thrombocytopenia &lt;100,000/mm³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D16E4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0.77 (0.20–2.94)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3FD1E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0.698</w:t>
            </w:r>
          </w:p>
        </w:tc>
      </w:tr>
      <w:tr w:rsidR="00F24D7E" w14:paraId="5D3BF3FF" w14:textId="77777777">
        <w:trPr>
          <w:trHeight w:val="50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D4839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Creatinine (mg/dL)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8B203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1.33 (0.95–1.87)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E7F2" w14:textId="77777777" w:rsidR="00F24D7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0.098</w:t>
            </w:r>
          </w:p>
        </w:tc>
      </w:tr>
    </w:tbl>
    <w:p w14:paraId="600C699B" w14:textId="77777777" w:rsidR="00F24D7E" w:rsidRDefault="00F24D7E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573C55B2" w14:textId="77777777" w:rsidR="00F24D7E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Abbreviations: </w:t>
      </w:r>
      <w:r>
        <w:rPr>
          <w:rFonts w:ascii="Calibri" w:eastAsia="Calibri" w:hAnsi="Calibri" w:cs="Calibri"/>
          <w:i/>
          <w:iCs/>
          <w:sz w:val="24"/>
          <w:szCs w:val="24"/>
        </w:rPr>
        <w:t>OR, odds ratio; CI, confidence interval; SOFA, Sequential Organ Failure Assessment; BPH, benign prostatic hyperplasia.</w:t>
      </w:r>
    </w:p>
    <w:p w14:paraId="40B06734" w14:textId="77777777" w:rsidR="00F24D7E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* Chronic kidney disease defined as estimated glomerular filtration rate (eGFR) &lt;60 mL/min/1.73 m².</w:t>
      </w:r>
    </w:p>
    <w:p w14:paraId="4A74120D" w14:textId="77777777" w:rsidR="00F24D7E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Note: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Variables already reported in Table 2 (age ≥65 years, female sex, symptom duration before admission, prior ESBL/CRO colonization or infection, CCI ≥2, diabetes mellitus, qSOFA ≥2, C-reactive protein &gt;100 mg/L, and procalcitonin ≥0.5 ng/mL) and variables with unstable </w:t>
      </w:r>
      <w:r>
        <w:rPr>
          <w:rFonts w:ascii="Calibri" w:eastAsia="Calibri" w:hAnsi="Calibri" w:cs="Calibri"/>
          <w:i/>
          <w:iCs/>
          <w:sz w:val="24"/>
          <w:szCs w:val="24"/>
        </w:rPr>
        <w:lastRenderedPageBreak/>
        <w:t>estimates due to sparse data (hemodialysis) were omitted from this supplementary table to avoid redundancy and model separation issues.</w:t>
      </w:r>
    </w:p>
    <w:p w14:paraId="61E56698" w14:textId="77777777" w:rsidR="00F24D7E" w:rsidRDefault="00F24D7E">
      <w:pPr>
        <w:rPr>
          <w:rFonts w:ascii="Calibri" w:eastAsia="Calibri" w:hAnsi="Calibri" w:cs="Calibri"/>
          <w:b/>
          <w:bCs/>
          <w:sz w:val="24"/>
          <w:szCs w:val="24"/>
        </w:rPr>
      </w:pPr>
    </w:p>
    <w:sectPr w:rsidR="00F24D7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2ED720C2-AAF9-4EB4-BF52-4710A33D3C74}"/>
    <w:embedBold r:id="rId2" w:fontKey="{97ADB43B-3135-4035-AB9F-0D9204C6F196}"/>
    <w:embedItalic r:id="rId3" w:fontKey="{55D58BFE-CEDA-4EC0-AA87-1C812E0C3808}"/>
    <w:embedBoldItalic r:id="rId4" w:fontKey="{47EB22FE-84AF-467F-BEB4-CC80ADB8C03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C3CD322A-7B0A-4DE6-8B58-7D0D95E2C2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D7E"/>
    <w:rsid w:val="001A406D"/>
    <w:rsid w:val="00EA714C"/>
    <w:rsid w:val="00F2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7F339"/>
  <w15:docId w15:val="{0EC73118-2F57-42B3-A26F-48342F18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363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Cihan Semet</cp:lastModifiedBy>
  <cp:revision>2</cp:revision>
  <dcterms:created xsi:type="dcterms:W3CDTF">2025-12-15T11:21:00Z</dcterms:created>
  <dcterms:modified xsi:type="dcterms:W3CDTF">2025-12-15T11:22:00Z</dcterms:modified>
</cp:coreProperties>
</file>