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C6208" w14:textId="77777777" w:rsidR="00BE46C6" w:rsidRPr="00BE46C6" w:rsidRDefault="00BE46C6" w:rsidP="00BE46C6">
      <w:pPr>
        <w:rPr>
          <w:b/>
          <w:bCs/>
          <w:lang w:val="en-US"/>
        </w:rPr>
      </w:pPr>
      <w:r w:rsidRPr="00BE46C6">
        <w:rPr>
          <w:b/>
          <w:bCs/>
          <w:lang w:val="en-US"/>
        </w:rPr>
        <w:t>Appendix</w:t>
      </w:r>
    </w:p>
    <w:p w14:paraId="29A99643" w14:textId="77777777" w:rsidR="00BE46C6" w:rsidRPr="00BE46C6" w:rsidRDefault="00BE46C6" w:rsidP="00BE46C6">
      <w:pPr>
        <w:rPr>
          <w:i/>
          <w:iCs/>
          <w:lang w:val="en-US"/>
        </w:rPr>
      </w:pPr>
      <w:bookmarkStart w:id="0" w:name="_Ref215935566"/>
      <w:r w:rsidRPr="00BE46C6">
        <w:rPr>
          <w:i/>
          <w:iCs/>
          <w:lang w:val="en-US"/>
        </w:rPr>
        <w:t xml:space="preserve">Table A </w:t>
      </w:r>
      <w:r w:rsidRPr="00BE46C6">
        <w:rPr>
          <w:i/>
          <w:iCs/>
          <w:lang w:val="en-US"/>
        </w:rPr>
        <w:fldChar w:fldCharType="begin"/>
      </w:r>
      <w:r w:rsidRPr="00BE46C6">
        <w:rPr>
          <w:i/>
          <w:iCs/>
          <w:lang w:val="en-US"/>
        </w:rPr>
        <w:instrText xml:space="preserve"> SEQ Table_A \* ARABIC </w:instrText>
      </w:r>
      <w:r w:rsidRPr="00BE46C6">
        <w:rPr>
          <w:i/>
          <w:iCs/>
          <w:lang w:val="en-US"/>
        </w:rPr>
        <w:fldChar w:fldCharType="separate"/>
      </w:r>
      <w:r w:rsidRPr="00BE46C6">
        <w:rPr>
          <w:i/>
          <w:iCs/>
          <w:lang w:val="en-US"/>
        </w:rPr>
        <w:t>1</w:t>
      </w:r>
      <w:r w:rsidRPr="00BE46C6">
        <w:fldChar w:fldCharType="end"/>
      </w:r>
      <w:bookmarkEnd w:id="0"/>
      <w:r w:rsidRPr="00BE46C6">
        <w:rPr>
          <w:i/>
          <w:iCs/>
          <w:lang w:val="en-US"/>
        </w:rPr>
        <w:t>. Normative parameters of the Abbreviated Development Scale (EAD-1) for children aged 10-24 months</w:t>
      </w:r>
    </w:p>
    <w:tbl>
      <w:tblPr>
        <w:tblW w:w="1105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565"/>
        <w:gridCol w:w="566"/>
        <w:gridCol w:w="567"/>
        <w:gridCol w:w="425"/>
        <w:gridCol w:w="567"/>
        <w:gridCol w:w="567"/>
        <w:gridCol w:w="567"/>
        <w:gridCol w:w="425"/>
        <w:gridCol w:w="567"/>
        <w:gridCol w:w="567"/>
        <w:gridCol w:w="567"/>
        <w:gridCol w:w="426"/>
        <w:gridCol w:w="528"/>
        <w:gridCol w:w="465"/>
        <w:gridCol w:w="567"/>
        <w:gridCol w:w="425"/>
        <w:gridCol w:w="425"/>
        <w:gridCol w:w="425"/>
        <w:gridCol w:w="567"/>
        <w:gridCol w:w="426"/>
      </w:tblGrid>
      <w:tr w:rsidR="00BE46C6" w:rsidRPr="00BE46C6" w14:paraId="53133474" w14:textId="77777777">
        <w:trPr>
          <w:trHeight w:val="340"/>
          <w:jc w:val="center"/>
        </w:trPr>
        <w:tc>
          <w:tcPr>
            <w:tcW w:w="85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F65B82" w14:textId="77777777" w:rsidR="00BE46C6" w:rsidRPr="00BE46C6" w:rsidRDefault="00BE46C6" w:rsidP="00BE46C6">
            <w:pPr>
              <w:rPr>
                <w:b/>
                <w:lang w:bidi="en-US"/>
              </w:rPr>
            </w:pPr>
            <w:r w:rsidRPr="00BE46C6">
              <w:rPr>
                <w:b/>
                <w:lang w:bidi="en-US"/>
              </w:rPr>
              <w:t>Age (months)</w:t>
            </w:r>
          </w:p>
          <w:p w14:paraId="2B217BE5" w14:textId="77777777" w:rsidR="00BE46C6" w:rsidRPr="00BE46C6" w:rsidRDefault="00BE46C6" w:rsidP="00BE46C6">
            <w:pPr>
              <w:rPr>
                <w:b/>
                <w:lang w:bidi="en-US"/>
              </w:rPr>
            </w:pPr>
          </w:p>
        </w:tc>
        <w:tc>
          <w:tcPr>
            <w:tcW w:w="10206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9AC8B9" w14:textId="77777777" w:rsidR="00BE46C6" w:rsidRPr="00BE46C6" w:rsidRDefault="00BE46C6" w:rsidP="00BE46C6">
            <w:pPr>
              <w:rPr>
                <w:b/>
                <w:lang w:bidi="en-US"/>
              </w:rPr>
            </w:pPr>
            <w:r w:rsidRPr="00BE46C6">
              <w:rPr>
                <w:b/>
                <w:lang w:bidi="en-US"/>
              </w:rPr>
              <w:t>Normative parameters for the assessment of child development in children aged 10-24 months</w:t>
            </w:r>
          </w:p>
        </w:tc>
      </w:tr>
      <w:tr w:rsidR="00BE46C6" w:rsidRPr="00BE46C6" w14:paraId="3E5F07E6" w14:textId="77777777">
        <w:trPr>
          <w:trHeight w:val="340"/>
          <w:jc w:val="center"/>
        </w:trPr>
        <w:tc>
          <w:tcPr>
            <w:tcW w:w="852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D0186A" w14:textId="77777777" w:rsidR="00BE46C6" w:rsidRPr="00BE46C6" w:rsidRDefault="00BE46C6" w:rsidP="00BE46C6">
            <w:pPr>
              <w:rPr>
                <w:b/>
                <w:lang w:bidi="en-US"/>
              </w:rPr>
            </w:pPr>
          </w:p>
        </w:tc>
        <w:tc>
          <w:tcPr>
            <w:tcW w:w="21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455EEB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Gross motor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5730FE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 xml:space="preserve"> Fine motor-adaptive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FF4F05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Hearing-language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876F59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Personal-social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C77EF9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Total Score</w:t>
            </w:r>
          </w:p>
        </w:tc>
      </w:tr>
      <w:tr w:rsidR="00BE46C6" w:rsidRPr="00BE46C6" w14:paraId="1E71413D" w14:textId="77777777">
        <w:trPr>
          <w:trHeight w:val="552"/>
          <w:jc w:val="center"/>
        </w:trPr>
        <w:tc>
          <w:tcPr>
            <w:tcW w:w="852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BEDC8B" w14:textId="77777777" w:rsidR="00BE46C6" w:rsidRPr="00BE46C6" w:rsidRDefault="00BE46C6" w:rsidP="00BE46C6">
            <w:pPr>
              <w:rPr>
                <w:b/>
                <w:lang w:bidi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1FA01A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Alert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4DFCF4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Medium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EE11FB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Medium-High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348EE6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High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5AB052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Alert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2B1E6A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Medium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3AC689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Medium-High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DF63B1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High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0042C2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Alert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0DF4EE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Medium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7A09E2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Medium-High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D9D827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High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461AB8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Alert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7BFAC8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Medium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50A0E7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Medium-High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397404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High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249CD6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Alert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A1A05A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Medium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9151AC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Medium-High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F6F711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High</w:t>
            </w:r>
          </w:p>
        </w:tc>
      </w:tr>
      <w:tr w:rsidR="00BE46C6" w:rsidRPr="00BE46C6" w14:paraId="770DA0E0" w14:textId="77777777">
        <w:trPr>
          <w:trHeight w:val="552"/>
          <w:jc w:val="center"/>
        </w:trPr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E07096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10-12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4C29DF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0-11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EF21C3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12-13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EEEFD6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14-16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73AED9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20-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0786F5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D153D2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10-12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899201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13-14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B30DCD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15-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25385B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EFCE74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10-12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D01859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13-14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42F0DE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18-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1F22A8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0-9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814EBD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10-12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5B67BFA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13-14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BF256C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0-42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0B86F6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0-42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456668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43-49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7671DB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50-56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FAC2BC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70-</w:t>
            </w:r>
          </w:p>
        </w:tc>
      </w:tr>
      <w:tr w:rsidR="00BE46C6" w:rsidRPr="00BE46C6" w14:paraId="59868CD3" w14:textId="77777777">
        <w:trPr>
          <w:trHeight w:val="552"/>
          <w:jc w:val="center"/>
        </w:trPr>
        <w:tc>
          <w:tcPr>
            <w:tcW w:w="852" w:type="dxa"/>
            <w:vAlign w:val="center"/>
            <w:hideMark/>
          </w:tcPr>
          <w:p w14:paraId="60E1B7DF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13-18</w:t>
            </w:r>
          </w:p>
        </w:tc>
        <w:tc>
          <w:tcPr>
            <w:tcW w:w="566" w:type="dxa"/>
            <w:vAlign w:val="center"/>
            <w:hideMark/>
          </w:tcPr>
          <w:p w14:paraId="4E57C1A6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0-13</w:t>
            </w:r>
          </w:p>
        </w:tc>
        <w:tc>
          <w:tcPr>
            <w:tcW w:w="567" w:type="dxa"/>
            <w:vAlign w:val="center"/>
            <w:hideMark/>
          </w:tcPr>
          <w:p w14:paraId="17ACDCC4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14-16</w:t>
            </w:r>
          </w:p>
        </w:tc>
        <w:tc>
          <w:tcPr>
            <w:tcW w:w="567" w:type="dxa"/>
            <w:vAlign w:val="center"/>
            <w:hideMark/>
          </w:tcPr>
          <w:p w14:paraId="5D9E0E6A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17-19</w:t>
            </w:r>
          </w:p>
        </w:tc>
        <w:tc>
          <w:tcPr>
            <w:tcW w:w="425" w:type="dxa"/>
            <w:vAlign w:val="center"/>
            <w:hideMark/>
          </w:tcPr>
          <w:p w14:paraId="139BCFBA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24</w:t>
            </w:r>
          </w:p>
        </w:tc>
        <w:tc>
          <w:tcPr>
            <w:tcW w:w="567" w:type="dxa"/>
            <w:vAlign w:val="center"/>
            <w:hideMark/>
          </w:tcPr>
          <w:p w14:paraId="5B7CD687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0-12</w:t>
            </w:r>
          </w:p>
        </w:tc>
        <w:tc>
          <w:tcPr>
            <w:tcW w:w="567" w:type="dxa"/>
            <w:vAlign w:val="center"/>
            <w:hideMark/>
          </w:tcPr>
          <w:p w14:paraId="5F3EEF94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13-15</w:t>
            </w:r>
          </w:p>
        </w:tc>
        <w:tc>
          <w:tcPr>
            <w:tcW w:w="567" w:type="dxa"/>
            <w:vAlign w:val="center"/>
            <w:hideMark/>
          </w:tcPr>
          <w:p w14:paraId="0C79E83F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16-18</w:t>
            </w:r>
          </w:p>
        </w:tc>
        <w:tc>
          <w:tcPr>
            <w:tcW w:w="425" w:type="dxa"/>
            <w:vAlign w:val="center"/>
            <w:hideMark/>
          </w:tcPr>
          <w:p w14:paraId="3BCF6672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19-</w:t>
            </w:r>
          </w:p>
        </w:tc>
        <w:tc>
          <w:tcPr>
            <w:tcW w:w="567" w:type="dxa"/>
            <w:vAlign w:val="center"/>
            <w:hideMark/>
          </w:tcPr>
          <w:p w14:paraId="1E99E7AD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0-12</w:t>
            </w:r>
          </w:p>
        </w:tc>
        <w:tc>
          <w:tcPr>
            <w:tcW w:w="567" w:type="dxa"/>
            <w:vAlign w:val="center"/>
            <w:hideMark/>
          </w:tcPr>
          <w:p w14:paraId="11599D89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13-14</w:t>
            </w:r>
          </w:p>
        </w:tc>
        <w:tc>
          <w:tcPr>
            <w:tcW w:w="567" w:type="dxa"/>
            <w:vAlign w:val="center"/>
            <w:hideMark/>
          </w:tcPr>
          <w:p w14:paraId="35FD4166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15-17</w:t>
            </w:r>
          </w:p>
        </w:tc>
        <w:tc>
          <w:tcPr>
            <w:tcW w:w="426" w:type="dxa"/>
            <w:vAlign w:val="center"/>
            <w:hideMark/>
          </w:tcPr>
          <w:p w14:paraId="4FC2BB79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21-</w:t>
            </w:r>
          </w:p>
        </w:tc>
        <w:tc>
          <w:tcPr>
            <w:tcW w:w="528" w:type="dxa"/>
            <w:vAlign w:val="center"/>
            <w:hideMark/>
          </w:tcPr>
          <w:p w14:paraId="7C9EED7D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0-12</w:t>
            </w:r>
          </w:p>
        </w:tc>
        <w:tc>
          <w:tcPr>
            <w:tcW w:w="465" w:type="dxa"/>
            <w:vAlign w:val="center"/>
            <w:hideMark/>
          </w:tcPr>
          <w:p w14:paraId="7809E11F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13-14</w:t>
            </w:r>
          </w:p>
        </w:tc>
        <w:tc>
          <w:tcPr>
            <w:tcW w:w="567" w:type="dxa"/>
            <w:vAlign w:val="center"/>
            <w:hideMark/>
          </w:tcPr>
          <w:p w14:paraId="2E0E6743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15-17</w:t>
            </w:r>
          </w:p>
        </w:tc>
        <w:tc>
          <w:tcPr>
            <w:tcW w:w="425" w:type="dxa"/>
            <w:vAlign w:val="center"/>
            <w:hideMark/>
          </w:tcPr>
          <w:p w14:paraId="799C38B2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0-51</w:t>
            </w:r>
          </w:p>
        </w:tc>
        <w:tc>
          <w:tcPr>
            <w:tcW w:w="425" w:type="dxa"/>
            <w:vAlign w:val="center"/>
            <w:hideMark/>
          </w:tcPr>
          <w:p w14:paraId="7938102D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0-51</w:t>
            </w:r>
          </w:p>
        </w:tc>
        <w:tc>
          <w:tcPr>
            <w:tcW w:w="425" w:type="dxa"/>
            <w:vAlign w:val="center"/>
            <w:hideMark/>
          </w:tcPr>
          <w:p w14:paraId="76D196F0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52-60</w:t>
            </w:r>
          </w:p>
        </w:tc>
        <w:tc>
          <w:tcPr>
            <w:tcW w:w="567" w:type="dxa"/>
            <w:vAlign w:val="center"/>
            <w:hideMark/>
          </w:tcPr>
          <w:p w14:paraId="61987A7C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61-69</w:t>
            </w:r>
          </w:p>
        </w:tc>
        <w:tc>
          <w:tcPr>
            <w:tcW w:w="426" w:type="dxa"/>
            <w:vAlign w:val="center"/>
            <w:hideMark/>
          </w:tcPr>
          <w:p w14:paraId="319FC648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84-</w:t>
            </w:r>
          </w:p>
        </w:tc>
      </w:tr>
      <w:tr w:rsidR="00BE46C6" w:rsidRPr="00BE46C6" w14:paraId="218A100A" w14:textId="77777777">
        <w:trPr>
          <w:trHeight w:val="552"/>
          <w:jc w:val="center"/>
        </w:trPr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D55E3C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18-24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8CE6A2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78AF98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17-19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F50C6C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20-23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EA598A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28-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79AF7E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4E3CA1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15-18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78CDBE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19-20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79E963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21-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FB3C01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39BF51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14-17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6D4ECE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18-20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752083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25-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6CF5BE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0-14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1C3DB0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15-17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773D3E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18-22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751EC1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0-61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29CAE6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0-61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59ABE6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62-71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24884C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72-83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8D9B43" w14:textId="77777777" w:rsidR="00BE46C6" w:rsidRPr="00BE46C6" w:rsidRDefault="00BE46C6" w:rsidP="00BE46C6">
            <w:pPr>
              <w:rPr>
                <w:lang w:bidi="en-US"/>
              </w:rPr>
            </w:pPr>
            <w:r w:rsidRPr="00BE46C6">
              <w:rPr>
                <w:lang w:bidi="en-US"/>
              </w:rPr>
              <w:t>101</w:t>
            </w:r>
          </w:p>
        </w:tc>
      </w:tr>
    </w:tbl>
    <w:p w14:paraId="4DDD95D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6C6"/>
    <w:rsid w:val="000C54EE"/>
    <w:rsid w:val="00767E38"/>
    <w:rsid w:val="00866F7D"/>
    <w:rsid w:val="00BE46C6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A40D4"/>
  <w15:chartTrackingRefBased/>
  <w15:docId w15:val="{A8C83160-57B4-49B8-8DF3-85648D313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46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46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46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46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46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46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46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46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46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46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46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46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46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46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46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46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46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46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46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46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46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46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46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46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46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46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46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46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46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2026-01-19T12:40:00Z</dcterms:created>
  <dcterms:modified xsi:type="dcterms:W3CDTF">2026-01-19T12:40:00Z</dcterms:modified>
</cp:coreProperties>
</file>