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ind w:firstLine="0" w:firstLineChars="0"/>
        <w:rPr>
          <w:rFonts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In order to explore the complex relationship among SSME, SWB and FI, hierarchical regression analysis was used to solve </w:t>
      </w:r>
      <w:r>
        <w:rPr>
          <w:rFonts w:hint="eastAsia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the </w:t>
      </w:r>
      <w:r>
        <w:rPr>
          <w:rFonts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different research problems step by step. To be specific, Model 1 analyzed baseline associations between control variables (age, education, income) and FI; Model 2 included centralized SSME to assess their independent effects on FI; Model 3 introduced moderating variables (household registration, gender) and SWB to analyze the interaction between structural inequality and affective factors; Model 4 included SSME × household registration, SSME × gender interactions to test institutional moderating effects (</w:t>
      </w:r>
      <w:r>
        <w:fldChar w:fldCharType="begin"/>
      </w:r>
      <w:r>
        <w:instrText xml:space="preserve"> HYPERLINK \l "Wenzhonglin2005" </w:instrText>
      </w:r>
      <w:r>
        <w:fldChar w:fldCharType="separate"/>
      </w:r>
      <w:r>
        <w:rPr>
          <w:rStyle w:val="5"/>
          <w:rFonts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Wen et al., 2005</w:t>
      </w:r>
      <w:r>
        <w:rPr>
          <w:rStyle w:val="5"/>
          <w:rFonts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fldChar w:fldCharType="end"/>
      </w:r>
      <w:r>
        <w:rPr>
          <w:rFonts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). To examine the mediating effect of SWB, we used 1000 resampling (</w:t>
      </w:r>
      <w:r>
        <w:fldChar w:fldCharType="begin"/>
      </w:r>
      <w:r>
        <w:instrText xml:space="preserve"> HYPERLINK \l "WenandYe2014" </w:instrText>
      </w:r>
      <w:r>
        <w:fldChar w:fldCharType="separate"/>
      </w:r>
      <w:r>
        <w:rPr>
          <w:rStyle w:val="4"/>
          <w:rFonts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Wen &amp; Ye, 2014</w:t>
      </w:r>
      <w:r>
        <w:rPr>
          <w:rStyle w:val="4"/>
          <w:rFonts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fldChar w:fldCharType="end"/>
      </w:r>
      <w:r>
        <w:rPr>
          <w:rFonts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). Meanwhile, we divide SWB into four groups: "low SWB","moderate SWB","high SWB" and "very high SWB", and investigate whether there is a mediating path between different groups to determine the "threshold effect" of SWB in the impact of SSME on FI.</w:t>
      </w:r>
    </w:p>
    <w:p>
      <w:pPr>
        <w:keepNext/>
        <w:keepLines/>
        <w:ind w:firstLine="0" w:firstLineChars="0"/>
        <w:rPr>
          <w:rFonts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All effect sizes are calculated as follows: (1) For adjustment effect size calculations, calculated by percentage decay or enhancement</w:t>
      </w:r>
    </w:p>
    <w:p>
      <w:pPr>
        <w:keepNext/>
        <w:keepLines/>
        <w:ind w:firstLine="0" w:firstLineChars="0"/>
        <w:jc w:val="center"/>
        <w:rPr>
          <w:rFonts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m:oMath>
        <m:r>
          <m:rPr/>
          <w:rPr>
            <w:rFonts w:ascii="Cambria Math" w:hAnsi="Cambria Math" w:cs="Times New Roman"/>
            <w:color w:val="000000" w:themeColor="text1"/>
            <w:sz w:val="24"/>
            <w14:textFill>
              <w14:solidFill>
                <w14:schemeClr w14:val="tx1"/>
              </w14:solidFill>
            </w14:textFill>
          </w:rPr>
          <m:t>(</m:t>
        </m:r>
        <m:sSub>
          <m:sSubPr>
            <m:ctrlPr>
              <w:rPr>
                <w:rFonts w:ascii="Cambria Math" w:hAnsi="Cambria Math" w:cs="Times New Roman"/>
                <w:i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r>
              <m:rPr/>
              <w:rPr>
                <w:rFonts w:ascii="Cambria Math" w:hAnsi="Cambria Math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m:t>β</m:t>
            </m:r>
            <m:ctrlPr>
              <w:rPr>
                <w:rFonts w:ascii="Cambria Math" w:hAnsi="Cambria Math" w:cs="Times New Roman"/>
                <w:i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m:rPr/>
              <w:rPr>
                <w:rFonts w:ascii="Cambria Math" w:hAnsi="Cambria Math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m:t>interaction</m:t>
            </m:r>
            <m:ctrlPr>
              <w:rPr>
                <w:rFonts w:ascii="Cambria Math" w:hAnsi="Cambria Math" w:cs="Times New Roman"/>
                <w:i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m:ctrlPr>
          </m:sub>
        </m:sSub>
        <m:r>
          <m:rPr/>
          <w:rPr>
            <w:rFonts w:ascii="Cambria Math" w:hAnsi="Cambria Math" w:cs="Times New Roman"/>
            <w:color w:val="000000" w:themeColor="text1"/>
            <w:sz w:val="24"/>
            <w14:textFill>
              <w14:solidFill>
                <w14:schemeClr w14:val="tx1"/>
              </w14:solidFill>
            </w14:textFill>
          </w:rPr>
          <m:t>/</m:t>
        </m:r>
        <m:sSub>
          <m:sSubPr>
            <m:ctrlPr>
              <w:rPr>
                <w:rFonts w:ascii="Cambria Math" w:hAnsi="Cambria Math" w:cs="Times New Roman"/>
                <w:i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r>
              <m:rPr/>
              <w:rPr>
                <w:rFonts w:ascii="Cambria Math" w:hAnsi="Cambria Math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m:t>β</m:t>
            </m:r>
            <m:ctrlPr>
              <w:rPr>
                <w:rFonts w:ascii="Cambria Math" w:hAnsi="Cambria Math" w:cs="Times New Roman"/>
                <w:i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m:rPr/>
              <w:rPr>
                <w:rFonts w:ascii="Cambria Math" w:hAnsi="Cambria Math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m:t>mobility</m:t>
            </m:r>
            <m:ctrlPr>
              <w:rPr>
                <w:rFonts w:ascii="Cambria Math" w:hAnsi="Cambria Math" w:cs="Times New Roman"/>
                <w:i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m:ctrlPr>
          </m:sub>
        </m:sSub>
        <m:r>
          <m:rPr/>
          <w:rPr>
            <w:rFonts w:ascii="Cambria Math" w:hAnsi="Cambria Math" w:cs="Times New Roman"/>
            <w:color w:val="000000" w:themeColor="text1"/>
            <w:sz w:val="24"/>
            <w14:textFill>
              <w14:solidFill>
                <w14:schemeClr w14:val="tx1"/>
              </w14:solidFill>
            </w14:textFill>
          </w:rPr>
          <m:t>)×100%</m:t>
        </m:r>
      </m:oMath>
      <w:r>
        <w:rPr>
          <w:rFonts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；</w:t>
      </w:r>
    </w:p>
    <w:p>
      <w:pPr>
        <w:keepNext/>
        <w:keepLines/>
        <w:ind w:firstLine="0" w:firstLineChars="0"/>
        <w:rPr>
          <w:rFonts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(2)To test for mediating effects, we decompose the total effect </w:t>
      </w:r>
      <w:r>
        <w:rPr>
          <w:rFonts w:cs="Times New Roman"/>
          <w:i/>
          <w:iCs/>
          <w:color w:val="000000" w:themeColor="text1"/>
          <w:sz w:val="24"/>
          <w14:textFill>
            <w14:solidFill>
              <w14:schemeClr w14:val="tx1"/>
            </w14:solidFill>
          </w14:textFill>
        </w:rPr>
        <w:t>(</w:t>
      </w:r>
      <m:oMath>
        <m:r>
          <m:rPr/>
          <w:rPr>
            <w:rFonts w:ascii="Cambria Math" w:hAnsi="Cambria Math" w:cs="Times New Roman"/>
            <w:color w:val="000000" w:themeColor="text1"/>
            <w:sz w:val="24"/>
            <w14:textFill>
              <w14:solidFill>
                <w14:schemeClr w14:val="tx1"/>
              </w14:solidFill>
            </w14:textFill>
          </w:rPr>
          <m:t>τ</m:t>
        </m:r>
      </m:oMath>
      <w:r>
        <w:rPr>
          <w:rFonts w:cs="Times New Roman"/>
          <w:i/>
          <w:iCs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) </w:t>
      </w:r>
      <w:r>
        <w:rPr>
          <w:rFonts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into two parts: direct effects</w:t>
      </w:r>
      <w:r>
        <w:rPr>
          <w:rFonts w:eastAsia="宋体" w:cs="Times New Roman"/>
          <w:i/>
          <w:iCs/>
          <w:color w:val="000000" w:themeColor="text1"/>
          <w:sz w:val="24"/>
          <w14:textFill>
            <w14:solidFill>
              <w14:schemeClr w14:val="tx1"/>
            </w14:solidFill>
          </w14:textFill>
        </w:rPr>
        <w:t>(</w:t>
      </w:r>
      <m:oMath>
        <m:r>
          <m:rPr/>
          <w:rPr>
            <w:rFonts w:ascii="Cambria Math" w:hAnsi="Cambria Math" w:cs="Times New Roman"/>
            <w:color w:val="000000" w:themeColor="text1"/>
            <w:sz w:val="24"/>
            <w14:textFill>
              <w14:solidFill>
                <w14:schemeClr w14:val="tx1"/>
              </w14:solidFill>
            </w14:textFill>
          </w:rPr>
          <m:t>τ</m:t>
        </m:r>
      </m:oMath>
      <w:r>
        <w:rPr>
          <w:rFonts w:eastAsia="宋体" w:cs="Times New Roman"/>
          <w:i/>
          <w:iCs/>
          <w:color w:val="000000" w:themeColor="text1"/>
          <w:sz w:val="24"/>
          <w14:textFill>
            <w14:solidFill>
              <w14:schemeClr w14:val="tx1"/>
            </w14:solidFill>
          </w14:textFill>
        </w:rPr>
        <w:t>')</w:t>
      </w:r>
      <w:r>
        <w:rPr>
          <w:rFonts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and indirect paths through mediating variables</w:t>
      </w:r>
    </w:p>
    <w:p>
      <w:pPr>
        <w:keepNext/>
        <w:keepLines/>
        <w:ind w:firstLine="0" w:firstLineChars="0"/>
        <w:jc w:val="center"/>
        <w:rPr>
          <w:rFonts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m:oMath>
        <m:r>
          <m:rPr/>
          <w:rPr>
            <w:rFonts w:ascii="Cambria Math" w:hAnsi="Cambria Math" w:cs="Times New Roman"/>
            <w:color w:val="000000" w:themeColor="text1"/>
            <w:sz w:val="24"/>
            <w14:textFill>
              <w14:solidFill>
                <w14:schemeClr w14:val="tx1"/>
              </w14:solidFill>
            </w14:textFill>
          </w:rPr>
          <m:t>1−(</m:t>
        </m:r>
        <m:f>
          <m:fPr>
            <m:ctrlPr>
              <w:rPr>
                <w:rFonts w:ascii="Cambria Math" w:hAnsi="Cambria Math" w:cs="Times New Roman"/>
                <w:i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m:ctrlPr>
          </m:fPr>
          <m:num>
            <m:r>
              <m:rPr/>
              <w:rPr>
                <w:rFonts w:ascii="Cambria Math" w:hAnsi="Cambria Math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m:t>τ'</m:t>
            </m:r>
            <m:ctrlPr>
              <w:rPr>
                <w:rFonts w:ascii="Cambria Math" w:hAnsi="Cambria Math" w:cs="Times New Roman"/>
                <w:i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m:ctrlPr>
          </m:num>
          <m:den>
            <m:r>
              <m:rPr/>
              <w:rPr>
                <w:rFonts w:ascii="Cambria Math" w:hAnsi="Cambria Math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m:t>τ</m:t>
            </m:r>
            <m:ctrlPr>
              <w:rPr>
                <w:rFonts w:ascii="Cambria Math" w:hAnsi="Cambria Math" w:cs="Times New Roman"/>
                <w:i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m:ctrlPr>
          </m:den>
        </m:f>
        <m:r>
          <m:rPr/>
          <w:rPr>
            <w:rFonts w:ascii="Cambria Math" w:hAnsi="Cambria Math" w:cs="Times New Roman"/>
            <w:color w:val="000000" w:themeColor="text1"/>
            <w:sz w:val="24"/>
            <w14:textFill>
              <w14:solidFill>
                <w14:schemeClr w14:val="tx1"/>
              </w14:solidFill>
            </w14:textFill>
          </w:rPr>
          <m:t>)</m:t>
        </m:r>
      </m:oMath>
      <w:r>
        <w:rPr>
          <w:rFonts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;</w:t>
      </w:r>
    </w:p>
    <w:p>
      <w:pPr>
        <w:keepNext/>
        <w:keepLines/>
        <w:ind w:firstLine="0" w:firstLineChars="0"/>
        <w:rPr>
          <w:rFonts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(3)We use a stratified approach to calculate the contribution of institutional factors to the outcome: </w:t>
      </w:r>
    </w:p>
    <w:p>
      <w:pPr>
        <w:keepNext/>
        <w:keepLines/>
        <w:ind w:firstLine="0" w:firstLineChars="0"/>
        <w:jc w:val="center"/>
        <w:rPr>
          <w:rFonts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cs="Times New Roman"/>
          <w:i/>
          <w:iCs/>
          <w:color w:val="000000" w:themeColor="text1"/>
          <w:sz w:val="24"/>
          <w14:textFill>
            <w14:solidFill>
              <w14:schemeClr w14:val="tx1"/>
            </w14:solidFill>
          </w14:textFill>
        </w:rPr>
        <w:t>(</w:t>
      </w:r>
      <m:oMath>
        <m:r>
          <m:rPr/>
          <w:rPr>
            <w:rFonts w:ascii="Cambria Math" w:hAnsi="Cambria Math" w:cs="Times New Roman"/>
            <w:color w:val="000000" w:themeColor="text1"/>
            <w:sz w:val="24"/>
            <w14:textFill>
              <w14:solidFill>
                <w14:schemeClr w14:val="tx1"/>
              </w14:solidFill>
            </w14:textFill>
          </w:rPr>
          <m:t>(</m:t>
        </m:r>
        <m:sSub>
          <m:sSubPr>
            <m:ctrlPr>
              <w:rPr>
                <w:rFonts w:ascii="Cambria Math" w:hAnsi="Cambria Math" w:cs="Times New Roman"/>
                <w:i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r>
              <m:rPr/>
              <w:rPr>
                <w:rFonts w:ascii="Cambria Math" w:hAnsi="Cambria Math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m:t>∆</m:t>
            </m:r>
            <m:sSup>
              <m:sSupPr>
                <m:ctrlPr>
                  <w:rPr>
                    <w:rFonts w:ascii="Cambria Math" w:hAnsi="Cambria Math" w:cs="Times New Roman"/>
                    <w:i/>
                    <w:iCs/>
                    <w:color w:val="000000" w:themeColor="text1"/>
                    <w:sz w:val="24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SupPr>
              <m:e>
                <m:r>
                  <m:rPr/>
                  <w:rPr>
                    <w:rFonts w:ascii="Cambria Math" w:hAnsi="Cambria Math" w:cs="Times New Roman"/>
                    <w:color w:val="000000" w:themeColor="text1"/>
                    <w:sz w:val="24"/>
                    <w14:textFill>
                      <w14:solidFill>
                        <w14:schemeClr w14:val="tx1"/>
                      </w14:solidFill>
                    </w14:textFill>
                  </w:rPr>
                  <m:t>R</m:t>
                </m:r>
                <m:ctrlPr>
                  <w:rPr>
                    <w:rFonts w:ascii="Cambria Math" w:hAnsi="Cambria Math" w:cs="Times New Roman"/>
                    <w:i/>
                    <w:iCs/>
                    <w:color w:val="000000" w:themeColor="text1"/>
                    <w:sz w:val="24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e>
              <m:sup>
                <m:r>
                  <m:rPr/>
                  <w:rPr>
                    <w:rFonts w:ascii="Cambria Math" w:hAnsi="Cambria Math" w:cs="Times New Roman"/>
                    <w:color w:val="000000" w:themeColor="text1"/>
                    <w:sz w:val="24"/>
                    <w14:textFill>
                      <w14:solidFill>
                        <w14:schemeClr w14:val="tx1"/>
                      </w14:solidFill>
                    </w14:textFill>
                  </w:rPr>
                  <m:t>2</m:t>
                </m:r>
                <m:ctrlPr>
                  <w:rPr>
                    <w:rFonts w:ascii="Cambria Math" w:hAnsi="Cambria Math" w:cs="Times New Roman"/>
                    <w:i/>
                    <w:iCs/>
                    <w:color w:val="000000" w:themeColor="text1"/>
                    <w:sz w:val="24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up>
            </m:sSup>
            <m:ctrlPr>
              <w:rPr>
                <w:rFonts w:ascii="Cambria Math" w:hAnsi="Cambria Math" w:cs="Times New Roman"/>
                <w:i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m:rPr/>
              <w:rPr>
                <w:rFonts w:ascii="Cambria Math" w:hAnsi="Cambria Math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m:t>main effects</m:t>
            </m:r>
            <m:ctrlPr>
              <w:rPr>
                <w:rFonts w:ascii="Cambria Math" w:hAnsi="Cambria Math" w:cs="Times New Roman"/>
                <w:i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m:ctrlPr>
          </m:sub>
        </m:sSub>
        <m:r>
          <m:rPr/>
          <w:rPr>
            <w:rFonts w:ascii="Cambria Math" w:hAnsi="Cambria Math" w:cs="Times New Roman"/>
            <w:color w:val="000000" w:themeColor="text1"/>
            <w:sz w:val="24"/>
            <w14:textFill>
              <w14:solidFill>
                <w14:schemeClr w14:val="tx1"/>
              </w14:solidFill>
            </w14:textFill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r>
              <m:rPr/>
              <w:rPr>
                <w:rFonts w:ascii="Cambria Math" w:hAnsi="Cambria Math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m:t>∆</m:t>
            </m:r>
            <m:sSup>
              <m:sSupPr>
                <m:ctrlPr>
                  <w:rPr>
                    <w:rFonts w:ascii="Cambria Math" w:hAnsi="Cambria Math" w:cs="Times New Roman"/>
                    <w:i/>
                    <w:iCs/>
                    <w:color w:val="000000" w:themeColor="text1"/>
                    <w:sz w:val="24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SupPr>
              <m:e>
                <m:r>
                  <m:rPr/>
                  <w:rPr>
                    <w:rFonts w:ascii="Cambria Math" w:hAnsi="Cambria Math" w:cs="Times New Roman"/>
                    <w:color w:val="000000" w:themeColor="text1"/>
                    <w:sz w:val="24"/>
                    <w14:textFill>
                      <w14:solidFill>
                        <w14:schemeClr w14:val="tx1"/>
                      </w14:solidFill>
                    </w14:textFill>
                  </w:rPr>
                  <m:t>R</m:t>
                </m:r>
                <m:ctrlPr>
                  <w:rPr>
                    <w:rFonts w:ascii="Cambria Math" w:hAnsi="Cambria Math" w:cs="Times New Roman"/>
                    <w:i/>
                    <w:iCs/>
                    <w:color w:val="000000" w:themeColor="text1"/>
                    <w:sz w:val="24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e>
              <m:sup>
                <m:r>
                  <m:rPr/>
                  <w:rPr>
                    <w:rFonts w:ascii="Cambria Math" w:hAnsi="Cambria Math" w:cs="Times New Roman"/>
                    <w:color w:val="000000" w:themeColor="text1"/>
                    <w:sz w:val="24"/>
                    <w14:textFill>
                      <w14:solidFill>
                        <w14:schemeClr w14:val="tx1"/>
                      </w14:solidFill>
                    </w14:textFill>
                  </w:rPr>
                  <m:t>2</m:t>
                </m:r>
                <m:ctrlPr>
                  <w:rPr>
                    <w:rFonts w:ascii="Cambria Math" w:hAnsi="Cambria Math" w:cs="Times New Roman"/>
                    <w:i/>
                    <w:iCs/>
                    <w:color w:val="000000" w:themeColor="text1"/>
                    <w:sz w:val="24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up>
            </m:sSup>
            <m:ctrlPr>
              <w:rPr>
                <w:rFonts w:ascii="Cambria Math" w:hAnsi="Cambria Math" w:cs="Times New Roman"/>
                <w:i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m:rPr/>
              <w:rPr>
                <w:rFonts w:ascii="Cambria Math" w:hAnsi="Cambria Math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m:t>interactions</m:t>
            </m:r>
            <m:ctrlPr>
              <w:rPr>
                <w:rFonts w:ascii="Cambria Math" w:hAnsi="Cambria Math" w:cs="Times New Roman"/>
                <w:i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m:ctrlPr>
          </m:sub>
        </m:sSub>
        <m:r>
          <m:rPr/>
          <w:rPr>
            <w:rFonts w:ascii="Cambria Math" w:hAnsi="Cambria Math" w:cs="Times New Roman"/>
            <w:color w:val="000000" w:themeColor="text1"/>
            <w:sz w:val="24"/>
            <w14:textFill>
              <w14:solidFill>
                <w14:schemeClr w14:val="tx1"/>
              </w14:solidFill>
            </w14:textFill>
          </w:rPr>
          <m:t>)/</m:t>
        </m:r>
        <m:sSub>
          <m:sSubPr>
            <m:ctrlPr>
              <w:rPr>
                <w:rFonts w:ascii="Cambria Math" w:hAnsi="Cambria Math" w:cs="Times New Roman"/>
                <w:i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sSup>
              <m:sSupPr>
                <m:ctrlPr>
                  <w:rPr>
                    <w:rFonts w:ascii="Cambria Math" w:hAnsi="Cambria Math" w:cs="Times New Roman"/>
                    <w:i/>
                    <w:iCs/>
                    <w:color w:val="000000" w:themeColor="text1"/>
                    <w:sz w:val="24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SupPr>
              <m:e>
                <m:r>
                  <m:rPr/>
                  <w:rPr>
                    <w:rFonts w:ascii="Cambria Math" w:hAnsi="Cambria Math" w:cs="Times New Roman"/>
                    <w:color w:val="000000" w:themeColor="text1"/>
                    <w:sz w:val="24"/>
                    <w14:textFill>
                      <w14:solidFill>
                        <w14:schemeClr w14:val="tx1"/>
                      </w14:solidFill>
                    </w14:textFill>
                  </w:rPr>
                  <m:t>R</m:t>
                </m:r>
                <m:ctrlPr>
                  <w:rPr>
                    <w:rFonts w:ascii="Cambria Math" w:hAnsi="Cambria Math" w:cs="Times New Roman"/>
                    <w:i/>
                    <w:iCs/>
                    <w:color w:val="000000" w:themeColor="text1"/>
                    <w:sz w:val="24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e>
              <m:sup>
                <m:r>
                  <m:rPr/>
                  <w:rPr>
                    <w:rFonts w:ascii="Cambria Math" w:hAnsi="Cambria Math" w:cs="Times New Roman"/>
                    <w:color w:val="000000" w:themeColor="text1"/>
                    <w:sz w:val="24"/>
                    <w14:textFill>
                      <w14:solidFill>
                        <w14:schemeClr w14:val="tx1"/>
                      </w14:solidFill>
                    </w14:textFill>
                  </w:rPr>
                  <m:t>2</m:t>
                </m:r>
                <m:ctrlPr>
                  <w:rPr>
                    <w:rFonts w:ascii="Cambria Math" w:hAnsi="Cambria Math" w:cs="Times New Roman"/>
                    <w:i/>
                    <w:iCs/>
                    <w:color w:val="000000" w:themeColor="text1"/>
                    <w:sz w:val="24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up>
            </m:sSup>
            <m:ctrlPr>
              <w:rPr>
                <w:rFonts w:ascii="Cambria Math" w:hAnsi="Cambria Math" w:cs="Times New Roman"/>
                <w:i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m:rPr/>
              <w:rPr>
                <w:rFonts w:ascii="Cambria Math" w:hAnsi="Cambria Math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m:t>final model</m:t>
            </m:r>
            <m:ctrlPr>
              <w:rPr>
                <w:rFonts w:ascii="Cambria Math" w:hAnsi="Cambria Math" w:cs="Times New Roman"/>
                <w:i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m:ctrlPr>
          </m:sub>
        </m:sSub>
      </m:oMath>
      <w:r>
        <w:rPr>
          <w:rFonts w:cs="Times New Roman"/>
          <w:i/>
          <w:iCs/>
          <w:color w:val="000000" w:themeColor="text1"/>
          <w:sz w:val="24"/>
          <w14:textFill>
            <w14:solidFill>
              <w14:schemeClr w14:val="tx1"/>
            </w14:solidFill>
          </w14:textFill>
        </w:rPr>
        <w:t>)</w:t>
      </w:r>
    </w:p>
    <w:p>
      <w:pPr>
        <w:keepNext/>
        <w:keepLines/>
        <w:ind w:firstLine="0" w:firstLineChars="0"/>
        <w:rPr>
          <w:rFonts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where the main effect of social mobility expectations contributes were</w:t>
      </w:r>
    </w:p>
    <w:p>
      <w:pPr>
        <w:keepNext/>
        <w:keepLines/>
        <w:ind w:firstLine="0" w:firstLineChars="0"/>
        <w:jc w:val="center"/>
        <w:rPr>
          <w:rFonts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m:oMath>
        <m:sSub>
          <m:sSubPr>
            <m:ctrlPr>
              <w:rPr>
                <w:rFonts w:ascii="Cambria Math" w:hAnsi="Cambria Math" w:cs="Times New Roman"/>
                <w:i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sSup>
              <m:sSupPr>
                <m:ctrlPr>
                  <w:rPr>
                    <w:rFonts w:ascii="Cambria Math" w:hAnsi="Cambria Math" w:cs="Times New Roman"/>
                    <w:i/>
                    <w:iCs/>
                    <w:color w:val="000000" w:themeColor="text1"/>
                    <w:sz w:val="24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SupPr>
              <m:e>
                <m:r>
                  <m:rPr/>
                  <w:rPr>
                    <w:rFonts w:ascii="Cambria Math" w:hAnsi="Cambria Math" w:cs="Times New Roman"/>
                    <w:color w:val="000000" w:themeColor="text1"/>
                    <w:sz w:val="24"/>
                    <w14:textFill>
                      <w14:solidFill>
                        <w14:schemeClr w14:val="tx1"/>
                      </w14:solidFill>
                    </w14:textFill>
                  </w:rPr>
                  <m:t>∆R</m:t>
                </m:r>
                <m:ctrlPr>
                  <w:rPr>
                    <w:rFonts w:ascii="Cambria Math" w:hAnsi="Cambria Math" w:cs="Times New Roman"/>
                    <w:i/>
                    <w:iCs/>
                    <w:color w:val="000000" w:themeColor="text1"/>
                    <w:sz w:val="24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e>
              <m:sup>
                <m:r>
                  <m:rPr/>
                  <w:rPr>
                    <w:rFonts w:ascii="Cambria Math" w:hAnsi="Cambria Math" w:cs="Times New Roman"/>
                    <w:color w:val="000000" w:themeColor="text1"/>
                    <w:sz w:val="24"/>
                    <w14:textFill>
                      <w14:solidFill>
                        <w14:schemeClr w14:val="tx1"/>
                      </w14:solidFill>
                    </w14:textFill>
                  </w:rPr>
                  <m:t>2</m:t>
                </m:r>
                <m:ctrlPr>
                  <w:rPr>
                    <w:rFonts w:ascii="Cambria Math" w:hAnsi="Cambria Math" w:cs="Times New Roman"/>
                    <w:i/>
                    <w:iCs/>
                    <w:color w:val="000000" w:themeColor="text1"/>
                    <w:sz w:val="24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up>
            </m:sSup>
            <m:ctrlPr>
              <w:rPr>
                <w:rFonts w:ascii="Cambria Math" w:hAnsi="Cambria Math" w:cs="Times New Roman"/>
                <w:i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m:rPr/>
              <w:rPr>
                <w:rFonts w:ascii="Cambria Math" w:hAnsi="Cambria Math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m:t>mobility</m:t>
            </m:r>
            <m:ctrlPr>
              <w:rPr>
                <w:rFonts w:ascii="Cambria Math" w:hAnsi="Cambria Math" w:cs="Times New Roman"/>
                <w:i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m:ctrlPr>
          </m:sub>
        </m:sSub>
        <m:r>
          <m:rPr/>
          <w:rPr>
            <w:rFonts w:ascii="Cambria Math" w:hAnsi="Cambria Math" w:cs="Times New Roman"/>
            <w:color w:val="000000" w:themeColor="text1"/>
            <w:sz w:val="24"/>
            <w14:textFill>
              <w14:solidFill>
                <w14:schemeClr w14:val="tx1"/>
              </w14:solidFill>
            </w14:textFill>
          </w:rPr>
          <m:t>/</m:t>
        </m:r>
        <m:sSub>
          <m:sSubPr>
            <m:ctrlPr>
              <w:rPr>
                <w:rFonts w:ascii="Cambria Math" w:hAnsi="Cambria Math" w:cs="Times New Roman"/>
                <w:i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sSup>
              <m:sSupPr>
                <m:ctrlPr>
                  <w:rPr>
                    <w:rFonts w:ascii="Cambria Math" w:hAnsi="Cambria Math" w:cs="Times New Roman"/>
                    <w:i/>
                    <w:iCs/>
                    <w:color w:val="000000" w:themeColor="text1"/>
                    <w:sz w:val="24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SupPr>
              <m:e>
                <m:r>
                  <m:rPr/>
                  <w:rPr>
                    <w:rFonts w:ascii="Cambria Math" w:hAnsi="Cambria Math" w:cs="Times New Roman"/>
                    <w:color w:val="000000" w:themeColor="text1"/>
                    <w:sz w:val="24"/>
                    <w14:textFill>
                      <w14:solidFill>
                        <w14:schemeClr w14:val="tx1"/>
                      </w14:solidFill>
                    </w14:textFill>
                  </w:rPr>
                  <m:t>R</m:t>
                </m:r>
                <m:ctrlPr>
                  <w:rPr>
                    <w:rFonts w:ascii="Cambria Math" w:hAnsi="Cambria Math" w:cs="Times New Roman"/>
                    <w:i/>
                    <w:iCs/>
                    <w:color w:val="000000" w:themeColor="text1"/>
                    <w:sz w:val="24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e>
              <m:sup>
                <m:r>
                  <m:rPr/>
                  <w:rPr>
                    <w:rFonts w:ascii="Cambria Math" w:hAnsi="Cambria Math" w:cs="Times New Roman"/>
                    <w:color w:val="000000" w:themeColor="text1"/>
                    <w:sz w:val="24"/>
                    <w14:textFill>
                      <w14:solidFill>
                        <w14:schemeClr w14:val="tx1"/>
                      </w14:solidFill>
                    </w14:textFill>
                  </w:rPr>
                  <m:t>2</m:t>
                </m:r>
                <m:ctrlPr>
                  <w:rPr>
                    <w:rFonts w:ascii="Cambria Math" w:hAnsi="Cambria Math" w:cs="Times New Roman"/>
                    <w:i/>
                    <w:iCs/>
                    <w:color w:val="000000" w:themeColor="text1"/>
                    <w:sz w:val="24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up>
            </m:sSup>
            <m:ctrlPr>
              <w:rPr>
                <w:rFonts w:ascii="Cambria Math" w:hAnsi="Cambria Math" w:cs="Times New Roman"/>
                <w:i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m:rPr/>
              <w:rPr>
                <w:rFonts w:ascii="Cambria Math" w:hAnsi="Cambria Math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m:t>final model</m:t>
            </m:r>
            <m:ctrlPr>
              <w:rPr>
                <w:rFonts w:ascii="Cambria Math" w:hAnsi="Cambria Math" w:cs="Times New Roman"/>
                <w:i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m:ctrlPr>
          </m:sub>
        </m:sSub>
      </m:oMath>
      <w:r>
        <w:rPr>
          <w:rFonts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.</w:t>
      </w:r>
    </w:p>
    <w:p>
      <w:pPr>
        <w:keepNext/>
        <w:keepLines/>
        <w:ind w:firstLine="0" w:firstLineChars="0"/>
        <w:rPr>
          <w:rFonts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In addition, continuous variables were normalized to facilitate comparison of the influence of different variables.</w:t>
      </w:r>
    </w:p>
    <w:p>
      <w:pPr>
        <w:keepNext/>
        <w:keepLines/>
        <w:ind w:firstLine="0" w:firstLineChars="0"/>
        <w:rPr>
          <w:rFonts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SPSS software was used for analysis, including stratified regression, descriptive statistics</w:t>
      </w:r>
      <w:r>
        <w:rPr>
          <w:rFonts w:hint="eastAsia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,</w:t>
      </w:r>
      <w:r>
        <w:rPr>
          <w:rFonts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and mediation analysis. Cross-sectional data describe the situation well, but are not strong enough to prove causation. </w:t>
      </w:r>
    </w:p>
    <w:p>
      <w:pPr>
        <w:keepNext/>
        <w:keepLines/>
        <w:ind w:firstLine="0" w:firstLineChars="0"/>
        <w:rPr>
          <w:rFonts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We solve this problem in three ways: (1) Use institutional externality to represent causation. Hukou and gender are key institutional variables because people cannot change them at will</w:t>
      </w:r>
      <w:r>
        <w:rPr>
          <w:rFonts w:hint="eastAsia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,</w:t>
      </w:r>
      <w:r>
        <w:rPr>
          <w:rFonts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and they exist before fertility intentions are formed. (2) Expectations of social mobility are forward-looking indicators that measure the difference between current social class perceptions and future expectations of social classes, and that exist before childbearing intentions are formed. (3) Our "institutional embeddedness model" </w:t>
      </w:r>
      <w:r>
        <w:rPr>
          <w:rFonts w:hint="eastAsia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may</w:t>
      </w:r>
      <w:r>
        <w:rPr>
          <w:rFonts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suggest that China's hukou system and gender norms have influenced people's cognition before the formation of fertility intention. The hukou system creates "institutional instability"(</w:t>
      </w:r>
      <w:r>
        <w:fldChar w:fldCharType="begin"/>
      </w:r>
      <w:r>
        <w:instrText xml:space="preserve"> HYPERLINK \l "Wu" </w:instrText>
      </w:r>
      <w:r>
        <w:fldChar w:fldCharType="separate"/>
      </w:r>
      <w:r>
        <w:rPr>
          <w:rStyle w:val="5"/>
          <w:rFonts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Wu &amp; KC, 2022</w:t>
      </w:r>
      <w:r>
        <w:rPr>
          <w:rStyle w:val="5"/>
          <w:rFonts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fldChar w:fldCharType="end"/>
      </w:r>
      <w:r>
        <w:rPr>
          <w:rFonts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), and gender norms require "emotional labor" (</w:t>
      </w:r>
      <w:r>
        <w:fldChar w:fldCharType="begin"/>
      </w:r>
      <w:r>
        <w:instrText xml:space="preserve"> HYPERLINK \l "Tropman" </w:instrText>
      </w:r>
      <w:r>
        <w:fldChar w:fldCharType="separate"/>
      </w:r>
      <w:r>
        <w:rPr>
          <w:rStyle w:val="5"/>
          <w:rFonts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Tropman et al., 1984</w:t>
      </w:r>
      <w:r>
        <w:rPr>
          <w:rStyle w:val="5"/>
          <w:rFonts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fldChar w:fldCharType="end"/>
      </w:r>
      <w:r>
        <w:rPr>
          <w:rFonts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). These factors collectively influence perceptions even before the emergence of the intention to procreate.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wZjE3NTYyNDg0NTBiYWU2OTQzMWJmNDExYzA5NGIifQ=="/>
  </w:docVars>
  <w:rsids>
    <w:rsidRoot w:val="4CDE6916"/>
    <w:rsid w:val="4CDE6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643" w:firstLineChars="20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800080"/>
      <w:u w:val="single"/>
    </w:rPr>
  </w:style>
  <w:style w:type="character" w:styleId="5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2025-12-29T05:51:00Z</dcterms:created>
  <dc:creator>李解语</dc:creator>
  <cp:lastModifiedBy>李解语</cp:lastModifiedBy>
  <dcterms:modified xsi:type="dcterms:W3CDTF">2025-12-29T05:51:59Z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5DC8524EAA83420FA207B4BB54EE56FE_11</vt:lpwstr>
  </property>
</Properties>
</file>