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B0D7DA" w14:textId="519CB986" w:rsidR="006D097D" w:rsidRPr="006D097D" w:rsidRDefault="00A85355" w:rsidP="00A85355">
      <w:pPr>
        <w:spacing w:line="480" w:lineRule="auto"/>
        <w:jc w:val="center"/>
        <w:rPr>
          <w:b/>
          <w:bCs/>
          <w:sz w:val="24"/>
          <w:szCs w:val="24"/>
        </w:rPr>
      </w:pPr>
      <w:r w:rsidRPr="00A85355">
        <w:rPr>
          <w:b/>
          <w:bCs/>
          <w:noProof/>
          <w:sz w:val="24"/>
          <w:szCs w:val="24"/>
        </w:rPr>
        <w:drawing>
          <wp:inline distT="0" distB="0" distL="0" distR="0" wp14:anchorId="048618BC" wp14:editId="51D23F95">
            <wp:extent cx="5576711" cy="6088505"/>
            <wp:effectExtent l="0" t="0" r="0" b="0"/>
            <wp:docPr id="903410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10861" name=""/>
                    <pic:cNvPicPr/>
                  </pic:nvPicPr>
                  <pic:blipFill>
                    <a:blip r:embed="rId8"/>
                    <a:stretch>
                      <a:fillRect/>
                    </a:stretch>
                  </pic:blipFill>
                  <pic:spPr>
                    <a:xfrm>
                      <a:off x="0" y="0"/>
                      <a:ext cx="5593785" cy="6107146"/>
                    </a:xfrm>
                    <a:prstGeom prst="rect">
                      <a:avLst/>
                    </a:prstGeom>
                  </pic:spPr>
                </pic:pic>
              </a:graphicData>
            </a:graphic>
          </wp:inline>
        </w:drawing>
      </w:r>
    </w:p>
    <w:p w14:paraId="2D6867C1" w14:textId="20BE6B0E" w:rsidR="00A85355" w:rsidRDefault="00017DAD" w:rsidP="00A85355">
      <w:pPr>
        <w:spacing w:line="479" w:lineRule="auto"/>
        <w:jc w:val="both"/>
        <w:rPr>
          <w:color w:val="0D0D14"/>
          <w:sz w:val="24"/>
          <w:szCs w:val="24"/>
          <w:highlight w:val="white"/>
        </w:rPr>
      </w:pPr>
      <w:r w:rsidRPr="008A4539">
        <w:rPr>
          <w:b/>
          <w:bCs/>
          <w:color w:val="0D0D14"/>
          <w:sz w:val="24"/>
          <w:szCs w:val="24"/>
          <w:highlight w:val="white"/>
        </w:rPr>
        <w:t>Supplem</w:t>
      </w:r>
      <w:r>
        <w:rPr>
          <w:b/>
          <w:bCs/>
          <w:color w:val="0D0D14"/>
          <w:sz w:val="24"/>
          <w:szCs w:val="24"/>
          <w:highlight w:val="white"/>
        </w:rPr>
        <w:t>entary</w:t>
      </w:r>
      <w:r w:rsidR="00A85355">
        <w:rPr>
          <w:b/>
          <w:bCs/>
          <w:color w:val="0D0D14"/>
          <w:sz w:val="24"/>
          <w:szCs w:val="24"/>
          <w:highlight w:val="white"/>
        </w:rPr>
        <w:t xml:space="preserve"> Fi</w:t>
      </w:r>
      <w:r w:rsidR="00DE7B37">
        <w:rPr>
          <w:b/>
          <w:bCs/>
          <w:color w:val="0D0D14"/>
          <w:sz w:val="24"/>
          <w:szCs w:val="24"/>
          <w:highlight w:val="white"/>
        </w:rPr>
        <w:t>g.</w:t>
      </w:r>
      <w:r w:rsidR="00A85355">
        <w:rPr>
          <w:b/>
          <w:bCs/>
          <w:color w:val="0D0D14"/>
          <w:sz w:val="24"/>
          <w:szCs w:val="24"/>
          <w:highlight w:val="white"/>
        </w:rPr>
        <w:t xml:space="preserve"> 1 Exposure to non-lethal MRSA reduces lung injuries during subsequent lethal MRSA infections</w:t>
      </w:r>
      <w:r w:rsidR="00A85355">
        <w:rPr>
          <w:color w:val="0D0D14"/>
          <w:sz w:val="24"/>
          <w:szCs w:val="24"/>
          <w:highlight w:val="white"/>
        </w:rPr>
        <w:t xml:space="preserve">. Hematoxylin and eosin (H&amp;E) stained lung histology sections from primary or secondary MRSA-infected mice. Mice were inoculated with </w:t>
      </w:r>
      <w:r w:rsidR="00CB0DC7">
        <w:rPr>
          <w:color w:val="0D0D14"/>
          <w:sz w:val="24"/>
          <w:szCs w:val="24"/>
          <w:highlight w:val="white"/>
        </w:rPr>
        <w:t>phosphate</w:t>
      </w:r>
      <w:r w:rsidR="00A85355">
        <w:rPr>
          <w:color w:val="0D0D14"/>
          <w:sz w:val="24"/>
          <w:szCs w:val="24"/>
          <w:highlight w:val="white"/>
        </w:rPr>
        <w:t xml:space="preserve"> buffer saline (PBS) or a non-lethal dose (10</w:t>
      </w:r>
      <w:r w:rsidR="00A85355">
        <w:rPr>
          <w:color w:val="0D0D14"/>
          <w:sz w:val="24"/>
          <w:szCs w:val="24"/>
          <w:highlight w:val="white"/>
          <w:vertAlign w:val="superscript"/>
        </w:rPr>
        <w:t xml:space="preserve">6 </w:t>
      </w:r>
      <w:r w:rsidR="00A85355">
        <w:rPr>
          <w:color w:val="0D0D14"/>
          <w:sz w:val="24"/>
          <w:szCs w:val="24"/>
          <w:highlight w:val="white"/>
        </w:rPr>
        <w:t>CFU) of MRSA for 6 days and then challenged with a lethal dose (10</w:t>
      </w:r>
      <w:r w:rsidR="00A85355">
        <w:rPr>
          <w:color w:val="0D0D14"/>
          <w:sz w:val="24"/>
          <w:szCs w:val="24"/>
          <w:highlight w:val="white"/>
          <w:vertAlign w:val="superscript"/>
        </w:rPr>
        <w:t xml:space="preserve">8 </w:t>
      </w:r>
      <w:r w:rsidR="00A85355">
        <w:rPr>
          <w:color w:val="0D0D14"/>
          <w:sz w:val="24"/>
          <w:szCs w:val="24"/>
          <w:highlight w:val="white"/>
        </w:rPr>
        <w:t xml:space="preserve">CFU) of MRSA for 48 hours. All inoculations were performed by oropharyngeal aspiration. </w:t>
      </w:r>
    </w:p>
    <w:p w14:paraId="2EE9D247" w14:textId="05C1846F" w:rsidR="00733468" w:rsidRDefault="00833024" w:rsidP="00833024">
      <w:pPr>
        <w:spacing w:line="480" w:lineRule="auto"/>
        <w:jc w:val="both"/>
        <w:rPr>
          <w:b/>
          <w:bCs/>
          <w:sz w:val="24"/>
          <w:szCs w:val="24"/>
        </w:rPr>
      </w:pPr>
      <w:r w:rsidRPr="00833024">
        <w:rPr>
          <w:b/>
          <w:bCs/>
          <w:noProof/>
          <w:sz w:val="24"/>
          <w:szCs w:val="24"/>
        </w:rPr>
        <w:lastRenderedPageBreak/>
        <w:drawing>
          <wp:inline distT="0" distB="0" distL="0" distR="0" wp14:anchorId="6C0240BB" wp14:editId="64408860">
            <wp:extent cx="5943600" cy="3040380"/>
            <wp:effectExtent l="0" t="0" r="0" b="0"/>
            <wp:docPr id="1842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88" name=""/>
                    <pic:cNvPicPr/>
                  </pic:nvPicPr>
                  <pic:blipFill>
                    <a:blip r:embed="rId9"/>
                    <a:stretch>
                      <a:fillRect/>
                    </a:stretch>
                  </pic:blipFill>
                  <pic:spPr>
                    <a:xfrm>
                      <a:off x="0" y="0"/>
                      <a:ext cx="5943600" cy="3040380"/>
                    </a:xfrm>
                    <a:prstGeom prst="rect">
                      <a:avLst/>
                    </a:prstGeom>
                  </pic:spPr>
                </pic:pic>
              </a:graphicData>
            </a:graphic>
          </wp:inline>
        </w:drawing>
      </w:r>
    </w:p>
    <w:p w14:paraId="1B7AFFA8" w14:textId="49EC965B" w:rsidR="00A85355" w:rsidRDefault="00A85355" w:rsidP="00A85355">
      <w:pPr>
        <w:spacing w:line="479" w:lineRule="auto"/>
        <w:jc w:val="both"/>
        <w:rPr>
          <w:noProof/>
        </w:rPr>
      </w:pPr>
      <w:r w:rsidRPr="008A4539">
        <w:rPr>
          <w:b/>
          <w:bCs/>
          <w:color w:val="0D0D14"/>
          <w:sz w:val="24"/>
          <w:szCs w:val="24"/>
          <w:highlight w:val="white"/>
        </w:rPr>
        <w:t>Supplem</w:t>
      </w:r>
      <w:r w:rsidR="00017DAD">
        <w:rPr>
          <w:b/>
          <w:bCs/>
          <w:color w:val="0D0D14"/>
          <w:sz w:val="24"/>
          <w:szCs w:val="24"/>
          <w:highlight w:val="white"/>
        </w:rPr>
        <w:t>entary</w:t>
      </w:r>
      <w:r w:rsidRPr="008A4539">
        <w:rPr>
          <w:b/>
          <w:bCs/>
          <w:color w:val="0D0D14"/>
          <w:sz w:val="24"/>
          <w:szCs w:val="24"/>
          <w:highlight w:val="white"/>
        </w:rPr>
        <w:t xml:space="preserve"> Fig</w:t>
      </w:r>
      <w:r w:rsidR="00017DAD">
        <w:rPr>
          <w:b/>
          <w:bCs/>
          <w:color w:val="0D0D14"/>
          <w:sz w:val="24"/>
          <w:szCs w:val="24"/>
          <w:highlight w:val="white"/>
        </w:rPr>
        <w:t>.</w:t>
      </w:r>
      <w:r w:rsidRPr="008A4539">
        <w:rPr>
          <w:b/>
          <w:bCs/>
          <w:color w:val="0D0D14"/>
          <w:sz w:val="24"/>
          <w:szCs w:val="24"/>
          <w:highlight w:val="white"/>
        </w:rPr>
        <w:t xml:space="preserve"> 2 Neutrophils and CCR2-mediated inflammatory monocyte recruitments are insufficient for the LPS-induced immune protection against MRSA infections. </w:t>
      </w:r>
      <w:r w:rsidRPr="008A4539">
        <w:rPr>
          <w:color w:val="0D0D14"/>
          <w:sz w:val="24"/>
          <w:szCs w:val="24"/>
          <w:highlight w:val="white"/>
        </w:rPr>
        <w:t xml:space="preserve">(A) </w:t>
      </w:r>
      <w:r w:rsidRPr="008A4539">
        <w:rPr>
          <w:rFonts w:eastAsia="Arial Unicode MS"/>
          <w:sz w:val="24"/>
          <w:szCs w:val="24"/>
        </w:rPr>
        <w:t xml:space="preserve">Immunophenotyping analysis of leukocytes in BALF of naive mice (n=4) and mice exposed to LPS via oropharyngeal aspiration for 3 or 6 days (n=4). Cells were stained for AMs using anti-CD11c, anti-CD170, neutrophils (PMNs) using anti-Ly6G, anti-CD11b, and monocytes (MONOs) using anti-Ly6C, anti-CD11b, and analyzed by flow cytometry. (B) Flow cytometric analysis of the percentage of neutrophils in bone marrow and its neutrophil-purified fraction from naive and LPS-exposed mice. Cells were stained with anti-CD45, anti-Ly6G, and anti-CD11b. The percent of neutrophils was determined by gating against unstained cells. (C) Bacterial burden in lungs of mice when injected with PBS (naive), adoptively transferred with purified neutrophils from naive mice (naive-&gt;naive), or adoptively transferred with purified neutrophils from LPS-exposed mice (LPS-&gt;naive) one hour prior to MRSA challenges. (D) Survival curves of MRSA-infected WT (n≥8) and CCR2 KO (n≥8) mice when mice were injected with PBS (naive) or LPS </w:t>
      </w:r>
      <w:r w:rsidRPr="008A4539">
        <w:rPr>
          <w:rFonts w:eastAsia="Arial Unicode MS"/>
          <w:sz w:val="24"/>
          <w:szCs w:val="24"/>
        </w:rPr>
        <w:lastRenderedPageBreak/>
        <w:t>via oropharyngeal aspiration for 6 days prior to infections</w:t>
      </w:r>
      <w:r w:rsidRPr="008A4539">
        <w:rPr>
          <w:color w:val="0D0D14"/>
          <w:sz w:val="24"/>
          <w:szCs w:val="24"/>
          <w:highlight w:val="white"/>
        </w:rPr>
        <w:t>.</w:t>
      </w:r>
      <w:r w:rsidRPr="008A4539">
        <w:rPr>
          <w:sz w:val="24"/>
          <w:szCs w:val="24"/>
        </w:rPr>
        <w:t xml:space="preserve"> (E) Bacterial burden in lungs of MRSA-infected naive WT mice (n=10), naive CCR2 KO mice (n=9), LPS-exposed WT mice (n=11), and LPS-exposed CCR2 KO mice (n=9). (F, G) </w:t>
      </w:r>
      <w:r w:rsidR="0036399C">
        <w:rPr>
          <w:sz w:val="24"/>
          <w:szCs w:val="24"/>
          <w:highlight w:val="white"/>
        </w:rPr>
        <w:t>M</w:t>
      </w:r>
      <w:r w:rsidR="0036399C" w:rsidRPr="008A4539">
        <w:rPr>
          <w:sz w:val="24"/>
          <w:szCs w:val="24"/>
          <w:highlight w:val="white"/>
        </w:rPr>
        <w:t>onocyte</w:t>
      </w:r>
      <w:r w:rsidR="0036399C">
        <w:rPr>
          <w:sz w:val="24"/>
          <w:szCs w:val="24"/>
          <w:highlight w:val="white"/>
        </w:rPr>
        <w:t xml:space="preserve"> </w:t>
      </w:r>
      <w:r w:rsidRPr="008A4539">
        <w:rPr>
          <w:sz w:val="24"/>
          <w:szCs w:val="24"/>
          <w:highlight w:val="white"/>
        </w:rPr>
        <w:t xml:space="preserve">(F) and </w:t>
      </w:r>
      <w:r w:rsidR="0036399C">
        <w:rPr>
          <w:sz w:val="24"/>
          <w:szCs w:val="24"/>
          <w:highlight w:val="white"/>
        </w:rPr>
        <w:t xml:space="preserve">alveolar macrophage </w:t>
      </w:r>
      <w:r w:rsidRPr="008A4539">
        <w:rPr>
          <w:sz w:val="24"/>
          <w:szCs w:val="24"/>
          <w:highlight w:val="white"/>
        </w:rPr>
        <w:t xml:space="preserve">counts (G) in lungs of </w:t>
      </w:r>
      <w:r w:rsidRPr="008A4539">
        <w:rPr>
          <w:sz w:val="24"/>
          <w:szCs w:val="24"/>
        </w:rPr>
        <w:t xml:space="preserve">naive WT mice (n=6), LPS-exposed WT mice (n=8), and LPS-exposed CCR2 KO mice (n=8). Graphs representing the mean from at least two independent experiments </w:t>
      </w:r>
      <w:r w:rsidRPr="008A4539">
        <w:rPr>
          <w:color w:val="0E101A"/>
          <w:sz w:val="24"/>
          <w:szCs w:val="24"/>
          <w:highlight w:val="white"/>
        </w:rPr>
        <w:t>± SEM</w:t>
      </w:r>
      <w:r w:rsidRPr="008A4539">
        <w:rPr>
          <w:sz w:val="24"/>
          <w:szCs w:val="24"/>
        </w:rPr>
        <w:t xml:space="preserve">. Statistical analysis was performed by Two-way ANOVA for panels A and E with Holm-Sidak’s post-test for multiple comparisons and One-way ANOVA with Holm-Sidak’s post-test for panels C, F, and G. </w:t>
      </w:r>
      <w:r w:rsidRPr="008A4539">
        <w:rPr>
          <w:i/>
          <w:iCs/>
          <w:color w:val="0D0D14"/>
          <w:sz w:val="24"/>
          <w:szCs w:val="24"/>
          <w:highlight w:val="white"/>
        </w:rPr>
        <w:t xml:space="preserve">P </w:t>
      </w:r>
      <w:r w:rsidRPr="008A4539">
        <w:rPr>
          <w:color w:val="0D0D14"/>
          <w:sz w:val="24"/>
          <w:szCs w:val="24"/>
          <w:highlight w:val="white"/>
        </w:rPr>
        <w:t>value:</w:t>
      </w:r>
      <w:r w:rsidRPr="008A4539">
        <w:rPr>
          <w:sz w:val="24"/>
          <w:szCs w:val="24"/>
        </w:rPr>
        <w:t xml:space="preserve"> *&lt;0.05; **&lt; 0.01, ***&lt; 0.001, ****&lt; 0.0001, and ns: not statistically significant.</w:t>
      </w:r>
      <w:r w:rsidRPr="00A85355">
        <w:rPr>
          <w:noProof/>
        </w:rPr>
        <w:t xml:space="preserve"> </w:t>
      </w:r>
      <w:r>
        <w:rPr>
          <w:noProof/>
        </w:rPr>
        <w:br w:type="page"/>
      </w:r>
    </w:p>
    <w:p w14:paraId="137AC269" w14:textId="38291798" w:rsidR="00A85355" w:rsidRPr="008A4539" w:rsidRDefault="00A85355" w:rsidP="00A85355">
      <w:pPr>
        <w:spacing w:line="479" w:lineRule="auto"/>
        <w:jc w:val="both"/>
        <w:rPr>
          <w:sz w:val="24"/>
          <w:szCs w:val="24"/>
        </w:rPr>
      </w:pPr>
      <w:r w:rsidRPr="00A85355">
        <w:rPr>
          <w:noProof/>
          <w:sz w:val="24"/>
          <w:szCs w:val="24"/>
        </w:rPr>
        <w:lastRenderedPageBreak/>
        <w:drawing>
          <wp:inline distT="0" distB="0" distL="0" distR="0" wp14:anchorId="613E119F" wp14:editId="1B807462">
            <wp:extent cx="5943600" cy="5061585"/>
            <wp:effectExtent l="0" t="0" r="0" b="5715"/>
            <wp:docPr id="170035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50035" name=""/>
                    <pic:cNvPicPr/>
                  </pic:nvPicPr>
                  <pic:blipFill>
                    <a:blip r:embed="rId10"/>
                    <a:stretch>
                      <a:fillRect/>
                    </a:stretch>
                  </pic:blipFill>
                  <pic:spPr>
                    <a:xfrm>
                      <a:off x="0" y="0"/>
                      <a:ext cx="5943600" cy="5061585"/>
                    </a:xfrm>
                    <a:prstGeom prst="rect">
                      <a:avLst/>
                    </a:prstGeom>
                  </pic:spPr>
                </pic:pic>
              </a:graphicData>
            </a:graphic>
          </wp:inline>
        </w:drawing>
      </w:r>
    </w:p>
    <w:p w14:paraId="2C8C0EF3" w14:textId="4B79B391" w:rsidR="0091707C" w:rsidRDefault="00017DAD" w:rsidP="0091707C">
      <w:pPr>
        <w:spacing w:line="479" w:lineRule="auto"/>
        <w:jc w:val="both"/>
        <w:rPr>
          <w:noProof/>
        </w:rPr>
      </w:pPr>
      <w:r w:rsidRPr="008A4539">
        <w:rPr>
          <w:b/>
          <w:bCs/>
          <w:color w:val="0D0D14"/>
          <w:sz w:val="24"/>
          <w:szCs w:val="24"/>
          <w:highlight w:val="white"/>
        </w:rPr>
        <w:t>Supplem</w:t>
      </w:r>
      <w:r>
        <w:rPr>
          <w:b/>
          <w:bCs/>
          <w:color w:val="0D0D14"/>
          <w:sz w:val="24"/>
          <w:szCs w:val="24"/>
          <w:highlight w:val="white"/>
        </w:rPr>
        <w:t>entary</w:t>
      </w:r>
      <w:r w:rsidR="0091707C" w:rsidRPr="008A4539">
        <w:rPr>
          <w:b/>
          <w:bCs/>
          <w:color w:val="0D0D14"/>
          <w:sz w:val="24"/>
          <w:szCs w:val="24"/>
          <w:highlight w:val="white"/>
        </w:rPr>
        <w:t xml:space="preserve"> Fig</w:t>
      </w:r>
      <w:r>
        <w:rPr>
          <w:b/>
          <w:bCs/>
          <w:color w:val="0D0D14"/>
          <w:sz w:val="24"/>
          <w:szCs w:val="24"/>
          <w:highlight w:val="white"/>
        </w:rPr>
        <w:t>.</w:t>
      </w:r>
      <w:r w:rsidR="0091707C" w:rsidRPr="008A4539">
        <w:rPr>
          <w:b/>
          <w:bCs/>
          <w:color w:val="0D0D14"/>
          <w:sz w:val="24"/>
          <w:szCs w:val="24"/>
          <w:highlight w:val="white"/>
        </w:rPr>
        <w:t xml:space="preserve"> 3 Expression of inflammatory genes is differentially changed in lungs of LPS-exposed mice relative to unexposed mice during MRSA infections.</w:t>
      </w:r>
      <w:r w:rsidR="0091707C">
        <w:rPr>
          <w:b/>
          <w:bCs/>
          <w:color w:val="0D0D14"/>
          <w:sz w:val="24"/>
          <w:szCs w:val="24"/>
        </w:rPr>
        <w:t xml:space="preserve"> </w:t>
      </w:r>
      <w:r w:rsidR="0091707C" w:rsidRPr="008A4539">
        <w:rPr>
          <w:sz w:val="24"/>
          <w:szCs w:val="24"/>
        </w:rPr>
        <w:t xml:space="preserve">(A) qPCR of </w:t>
      </w:r>
      <w:proofErr w:type="spellStart"/>
      <w:r w:rsidR="0091707C" w:rsidRPr="008A4539">
        <w:rPr>
          <w:i/>
          <w:iCs/>
          <w:sz w:val="24"/>
          <w:szCs w:val="24"/>
        </w:rPr>
        <w:t>Tnf</w:t>
      </w:r>
      <w:proofErr w:type="spellEnd"/>
      <w:r w:rsidR="0091707C" w:rsidRPr="008A4539">
        <w:rPr>
          <w:i/>
          <w:iCs/>
          <w:sz w:val="24"/>
          <w:szCs w:val="24"/>
        </w:rPr>
        <w:t>α</w:t>
      </w:r>
      <w:r w:rsidR="0091707C" w:rsidRPr="008A4539">
        <w:rPr>
          <w:sz w:val="24"/>
          <w:szCs w:val="24"/>
        </w:rPr>
        <w:t xml:space="preserve">, </w:t>
      </w:r>
      <w:r w:rsidR="0091707C" w:rsidRPr="008A4539">
        <w:rPr>
          <w:i/>
          <w:iCs/>
          <w:sz w:val="24"/>
          <w:szCs w:val="24"/>
        </w:rPr>
        <w:t>Il1β</w:t>
      </w:r>
      <w:r w:rsidR="0091707C" w:rsidRPr="008A4539">
        <w:rPr>
          <w:sz w:val="24"/>
          <w:szCs w:val="24"/>
        </w:rPr>
        <w:t xml:space="preserve">, </w:t>
      </w:r>
      <w:r w:rsidR="0091707C" w:rsidRPr="008A4539">
        <w:rPr>
          <w:i/>
          <w:iCs/>
          <w:sz w:val="24"/>
          <w:szCs w:val="24"/>
        </w:rPr>
        <w:t>Il6,</w:t>
      </w:r>
      <w:r w:rsidR="0091707C" w:rsidRPr="008A4539">
        <w:rPr>
          <w:sz w:val="24"/>
          <w:szCs w:val="24"/>
        </w:rPr>
        <w:t xml:space="preserve"> and </w:t>
      </w:r>
      <w:r w:rsidR="0091707C" w:rsidRPr="008A4539">
        <w:rPr>
          <w:i/>
          <w:iCs/>
          <w:sz w:val="24"/>
          <w:szCs w:val="24"/>
        </w:rPr>
        <w:t>Il10</w:t>
      </w:r>
      <w:r w:rsidR="0091707C" w:rsidRPr="008A4539">
        <w:rPr>
          <w:sz w:val="24"/>
          <w:szCs w:val="24"/>
        </w:rPr>
        <w:t xml:space="preserve"> transcript levels in lungs of uninfected mice when mice were exposed to LPS for 6 days or left untreated (naive).</w:t>
      </w:r>
      <w:r w:rsidR="0091707C">
        <w:rPr>
          <w:sz w:val="24"/>
          <w:szCs w:val="24"/>
        </w:rPr>
        <w:t xml:space="preserve"> </w:t>
      </w:r>
      <w:r w:rsidR="0091707C" w:rsidRPr="008A4539">
        <w:rPr>
          <w:sz w:val="24"/>
          <w:szCs w:val="24"/>
        </w:rPr>
        <w:t xml:space="preserve">(B) Transcript levels of </w:t>
      </w:r>
      <w:r w:rsidR="0091707C" w:rsidRPr="008A4539">
        <w:rPr>
          <w:i/>
          <w:iCs/>
          <w:sz w:val="24"/>
          <w:szCs w:val="24"/>
        </w:rPr>
        <w:t>Marco</w:t>
      </w:r>
      <w:r w:rsidR="0091707C" w:rsidRPr="008A4539">
        <w:rPr>
          <w:sz w:val="24"/>
          <w:szCs w:val="24"/>
        </w:rPr>
        <w:t xml:space="preserve">, </w:t>
      </w:r>
      <w:proofErr w:type="spellStart"/>
      <w:r w:rsidR="0091707C" w:rsidRPr="008A4539">
        <w:rPr>
          <w:i/>
          <w:iCs/>
          <w:sz w:val="24"/>
          <w:szCs w:val="24"/>
        </w:rPr>
        <w:t>Anpep</w:t>
      </w:r>
      <w:proofErr w:type="spellEnd"/>
      <w:r w:rsidR="0091707C" w:rsidRPr="008A4539">
        <w:rPr>
          <w:sz w:val="24"/>
          <w:szCs w:val="24"/>
        </w:rPr>
        <w:t xml:space="preserve">, and </w:t>
      </w:r>
      <w:proofErr w:type="spellStart"/>
      <w:r w:rsidR="0091707C" w:rsidRPr="008A4539">
        <w:rPr>
          <w:i/>
          <w:iCs/>
          <w:sz w:val="24"/>
          <w:szCs w:val="24"/>
        </w:rPr>
        <w:t>Itgax</w:t>
      </w:r>
      <w:proofErr w:type="spellEnd"/>
      <w:r w:rsidR="0091707C" w:rsidRPr="008A4539">
        <w:rPr>
          <w:sz w:val="24"/>
          <w:szCs w:val="24"/>
        </w:rPr>
        <w:t xml:space="preserve"> in lungs of uninfected mice (n=3), MRSA-infected mice pre-exposed to LPS for 6 days (n=3), or MRSA-infected naive mice (n=3). Graphs represent the mean of normalized counts </w:t>
      </w:r>
      <w:r w:rsidR="0091707C" w:rsidRPr="008A4539">
        <w:rPr>
          <w:color w:val="0D0D14"/>
          <w:sz w:val="24"/>
          <w:szCs w:val="24"/>
          <w:highlight w:val="white"/>
        </w:rPr>
        <w:t xml:space="preserve">± SD </w:t>
      </w:r>
      <w:r w:rsidR="0091707C" w:rsidRPr="008A4539">
        <w:rPr>
          <w:sz w:val="24"/>
          <w:szCs w:val="24"/>
        </w:rPr>
        <w:t xml:space="preserve">from the </w:t>
      </w:r>
      <w:proofErr w:type="spellStart"/>
      <w:r w:rsidR="0091707C" w:rsidRPr="008A4539">
        <w:rPr>
          <w:sz w:val="24"/>
          <w:szCs w:val="24"/>
        </w:rPr>
        <w:t>NanoString</w:t>
      </w:r>
      <w:proofErr w:type="spellEnd"/>
      <w:r w:rsidR="0091707C" w:rsidRPr="008A4539">
        <w:rPr>
          <w:sz w:val="24"/>
          <w:szCs w:val="24"/>
        </w:rPr>
        <w:t xml:space="preserve"> data.</w:t>
      </w:r>
      <w:r w:rsidR="0091707C">
        <w:rPr>
          <w:sz w:val="24"/>
          <w:szCs w:val="24"/>
        </w:rPr>
        <w:t xml:space="preserve"> </w:t>
      </w:r>
      <w:r w:rsidR="0091707C" w:rsidRPr="008A4539">
        <w:rPr>
          <w:sz w:val="24"/>
          <w:szCs w:val="24"/>
        </w:rPr>
        <w:t xml:space="preserve">(C) Expression of selected genes from the </w:t>
      </w:r>
      <w:proofErr w:type="spellStart"/>
      <w:r w:rsidR="0091707C" w:rsidRPr="008A4539">
        <w:rPr>
          <w:sz w:val="24"/>
          <w:szCs w:val="24"/>
        </w:rPr>
        <w:t>NanoString</w:t>
      </w:r>
      <w:proofErr w:type="spellEnd"/>
      <w:r w:rsidR="0091707C" w:rsidRPr="008A4539">
        <w:rPr>
          <w:sz w:val="24"/>
          <w:szCs w:val="24"/>
        </w:rPr>
        <w:t xml:space="preserve"> data presented as log</w:t>
      </w:r>
      <w:r w:rsidR="0091707C" w:rsidRPr="008A4539">
        <w:rPr>
          <w:sz w:val="24"/>
          <w:szCs w:val="24"/>
          <w:vertAlign w:val="subscript"/>
        </w:rPr>
        <w:t>2</w:t>
      </w:r>
      <w:r w:rsidR="0091707C" w:rsidRPr="008A4539">
        <w:rPr>
          <w:sz w:val="24"/>
          <w:szCs w:val="24"/>
        </w:rPr>
        <w:t xml:space="preserve">(fold change) in lungs of MRSA-infected naive mice or mice exposed to LPS for 6 days relative to lungs from uninfected </w:t>
      </w:r>
      <w:r w:rsidR="0091707C" w:rsidRPr="008A4539">
        <w:rPr>
          <w:sz w:val="24"/>
          <w:szCs w:val="24"/>
        </w:rPr>
        <w:lastRenderedPageBreak/>
        <w:t>mice.</w:t>
      </w:r>
      <w:r w:rsidR="0091707C">
        <w:rPr>
          <w:sz w:val="24"/>
          <w:szCs w:val="24"/>
        </w:rPr>
        <w:t xml:space="preserve"> </w:t>
      </w:r>
      <w:r w:rsidR="0091707C" w:rsidRPr="008A4539">
        <w:rPr>
          <w:sz w:val="24"/>
          <w:szCs w:val="24"/>
        </w:rPr>
        <w:t xml:space="preserve">(D) Levels of indicated inflammatory mediator in supernatants of lung signal-cell suspensions from uninfected naive mice, uninfected LPS pre-exposed mice, MRSA-infected naive mice, and MRSA-infected LPS pre-exposed mice. Graphs represent the mean of </w:t>
      </w:r>
      <w:r w:rsidR="0091707C" w:rsidRPr="008A4539">
        <w:rPr>
          <w:rFonts w:eastAsia="Arial Unicode MS"/>
          <w:sz w:val="24"/>
          <w:szCs w:val="24"/>
          <w:highlight w:val="white"/>
        </w:rPr>
        <w:t>n≥3 biological replicates ± SD</w:t>
      </w:r>
      <w:r w:rsidR="0091707C" w:rsidRPr="008A4539">
        <w:rPr>
          <w:sz w:val="24"/>
          <w:szCs w:val="24"/>
        </w:rPr>
        <w:t xml:space="preserve">. </w:t>
      </w:r>
      <w:r w:rsidR="0091707C" w:rsidRPr="008A4539">
        <w:rPr>
          <w:i/>
          <w:iCs/>
          <w:color w:val="0D0D14"/>
          <w:sz w:val="24"/>
          <w:szCs w:val="24"/>
          <w:highlight w:val="white"/>
        </w:rPr>
        <w:t xml:space="preserve">P </w:t>
      </w:r>
      <w:r w:rsidR="0091707C" w:rsidRPr="008A4539">
        <w:rPr>
          <w:color w:val="0D0D14"/>
          <w:sz w:val="24"/>
          <w:szCs w:val="24"/>
          <w:highlight w:val="white"/>
        </w:rPr>
        <w:t>values were calculated using the Mann-Whitney test for panel A,</w:t>
      </w:r>
      <w:r w:rsidR="0091707C" w:rsidRPr="008A4539">
        <w:rPr>
          <w:color w:val="0D0D14"/>
          <w:sz w:val="24"/>
          <w:szCs w:val="24"/>
        </w:rPr>
        <w:t xml:space="preserve"> One-way ANOVA followed by a </w:t>
      </w:r>
      <w:r w:rsidR="0091707C" w:rsidRPr="008A4539">
        <w:rPr>
          <w:sz w:val="24"/>
          <w:szCs w:val="24"/>
        </w:rPr>
        <w:t xml:space="preserve">Holm-Sidak’s </w:t>
      </w:r>
      <w:r w:rsidR="0091707C" w:rsidRPr="008A4539">
        <w:rPr>
          <w:color w:val="0D0D14"/>
          <w:sz w:val="24"/>
          <w:szCs w:val="24"/>
        </w:rPr>
        <w:t xml:space="preserve">multiple comparisons test for panel B, or Two-way ANOVA followed by a </w:t>
      </w:r>
      <w:r w:rsidR="0091707C" w:rsidRPr="008A4539">
        <w:rPr>
          <w:sz w:val="24"/>
          <w:szCs w:val="24"/>
        </w:rPr>
        <w:t xml:space="preserve">Holm-Sidak’s </w:t>
      </w:r>
      <w:r w:rsidR="0091707C" w:rsidRPr="008A4539">
        <w:rPr>
          <w:color w:val="0D0D14"/>
          <w:sz w:val="24"/>
          <w:szCs w:val="24"/>
        </w:rPr>
        <w:t xml:space="preserve">multiple comparisons test for panel D. </w:t>
      </w:r>
      <w:r w:rsidR="0091707C" w:rsidRPr="008A4539">
        <w:rPr>
          <w:i/>
          <w:iCs/>
          <w:color w:val="0D0D14"/>
          <w:sz w:val="24"/>
          <w:szCs w:val="24"/>
          <w:highlight w:val="white"/>
        </w:rPr>
        <w:t xml:space="preserve">P </w:t>
      </w:r>
      <w:r w:rsidR="0091707C" w:rsidRPr="008A4539">
        <w:rPr>
          <w:color w:val="0D0D14"/>
          <w:sz w:val="24"/>
          <w:szCs w:val="24"/>
          <w:highlight w:val="white"/>
        </w:rPr>
        <w:t>value:</w:t>
      </w:r>
      <w:r w:rsidR="0091707C" w:rsidRPr="008A4539">
        <w:rPr>
          <w:sz w:val="24"/>
          <w:szCs w:val="24"/>
        </w:rPr>
        <w:t xml:space="preserve"> *&lt;0.05; **&lt; 0.01, ***&lt; 0.001, ****&lt; 0.0001, and ns: not statistically significant.</w:t>
      </w:r>
      <w:r w:rsidR="0091707C" w:rsidRPr="0091707C">
        <w:rPr>
          <w:noProof/>
        </w:rPr>
        <w:t xml:space="preserve"> </w:t>
      </w:r>
    </w:p>
    <w:p w14:paraId="0E2FC06E" w14:textId="4C92CF79" w:rsidR="00733468" w:rsidRPr="0091707C" w:rsidRDefault="00E93F3E" w:rsidP="00E93F3E">
      <w:pPr>
        <w:spacing w:line="479" w:lineRule="auto"/>
        <w:jc w:val="both"/>
        <w:rPr>
          <w:b/>
          <w:bCs/>
          <w:color w:val="0D0D14"/>
          <w:sz w:val="24"/>
          <w:szCs w:val="24"/>
          <w:highlight w:val="white"/>
        </w:rPr>
      </w:pPr>
      <w:r w:rsidRPr="00E93F3E">
        <w:rPr>
          <w:b/>
          <w:bCs/>
          <w:noProof/>
          <w:color w:val="0D0D14"/>
          <w:sz w:val="24"/>
          <w:szCs w:val="24"/>
          <w:highlight w:val="white"/>
        </w:rPr>
        <w:lastRenderedPageBreak/>
        <w:drawing>
          <wp:inline distT="0" distB="0" distL="0" distR="0" wp14:anchorId="372E39BD" wp14:editId="7769BCDA">
            <wp:extent cx="5943600" cy="7358380"/>
            <wp:effectExtent l="0" t="0" r="0" b="0"/>
            <wp:docPr id="187151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11000" name=""/>
                    <pic:cNvPicPr/>
                  </pic:nvPicPr>
                  <pic:blipFill>
                    <a:blip r:embed="rId11"/>
                    <a:stretch>
                      <a:fillRect/>
                    </a:stretch>
                  </pic:blipFill>
                  <pic:spPr>
                    <a:xfrm>
                      <a:off x="0" y="0"/>
                      <a:ext cx="5943600" cy="7358380"/>
                    </a:xfrm>
                    <a:prstGeom prst="rect">
                      <a:avLst/>
                    </a:prstGeom>
                  </pic:spPr>
                </pic:pic>
              </a:graphicData>
            </a:graphic>
          </wp:inline>
        </w:drawing>
      </w:r>
    </w:p>
    <w:p w14:paraId="354D6E7B" w14:textId="0250A6F8" w:rsidR="0091707C" w:rsidRPr="0091707C" w:rsidRDefault="00017DAD" w:rsidP="0091707C">
      <w:pPr>
        <w:spacing w:line="479" w:lineRule="auto"/>
        <w:jc w:val="both"/>
        <w:rPr>
          <w:b/>
          <w:bCs/>
          <w:color w:val="0D0D14"/>
          <w:sz w:val="24"/>
          <w:szCs w:val="24"/>
          <w:highlight w:val="white"/>
        </w:rPr>
      </w:pPr>
      <w:r w:rsidRPr="008A4539">
        <w:rPr>
          <w:b/>
          <w:bCs/>
          <w:color w:val="0D0D14"/>
          <w:sz w:val="24"/>
          <w:szCs w:val="24"/>
          <w:highlight w:val="white"/>
        </w:rPr>
        <w:t>Supplem</w:t>
      </w:r>
      <w:r>
        <w:rPr>
          <w:b/>
          <w:bCs/>
          <w:color w:val="0D0D14"/>
          <w:sz w:val="24"/>
          <w:szCs w:val="24"/>
          <w:highlight w:val="white"/>
        </w:rPr>
        <w:t>entary</w:t>
      </w:r>
      <w:r w:rsidRPr="00D21222">
        <w:rPr>
          <w:b/>
          <w:bCs/>
          <w:color w:val="0D0D14"/>
          <w:sz w:val="24"/>
          <w:szCs w:val="24"/>
          <w:highlight w:val="white"/>
        </w:rPr>
        <w:t xml:space="preserve"> </w:t>
      </w:r>
      <w:r w:rsidR="0091707C" w:rsidRPr="00D21222">
        <w:rPr>
          <w:b/>
          <w:bCs/>
          <w:color w:val="0D0D14"/>
          <w:sz w:val="24"/>
          <w:szCs w:val="24"/>
          <w:highlight w:val="white"/>
        </w:rPr>
        <w:t>Fig</w:t>
      </w:r>
      <w:r>
        <w:rPr>
          <w:b/>
          <w:bCs/>
          <w:color w:val="0D0D14"/>
          <w:sz w:val="24"/>
          <w:szCs w:val="24"/>
          <w:highlight w:val="white"/>
        </w:rPr>
        <w:t>.</w:t>
      </w:r>
      <w:r w:rsidR="0091707C" w:rsidRPr="00D21222">
        <w:rPr>
          <w:b/>
          <w:bCs/>
          <w:color w:val="0D0D14"/>
          <w:sz w:val="24"/>
          <w:szCs w:val="24"/>
          <w:highlight w:val="white"/>
        </w:rPr>
        <w:t xml:space="preserve"> 4 LPS exposure stimulates AM self-renewal and MPO uptake.</w:t>
      </w:r>
      <w:r w:rsidR="0091707C">
        <w:rPr>
          <w:b/>
          <w:bCs/>
          <w:color w:val="0D0D14"/>
          <w:sz w:val="24"/>
          <w:szCs w:val="24"/>
          <w:highlight w:val="white"/>
        </w:rPr>
        <w:t xml:space="preserve"> </w:t>
      </w:r>
      <w:r w:rsidR="0091707C" w:rsidRPr="00D21222">
        <w:rPr>
          <w:color w:val="0D0D14"/>
          <w:sz w:val="24"/>
          <w:szCs w:val="24"/>
          <w:highlight w:val="white"/>
        </w:rPr>
        <w:t xml:space="preserve">(A) Representative </w:t>
      </w:r>
      <w:proofErr w:type="spellStart"/>
      <w:r w:rsidR="0091707C" w:rsidRPr="00D21222">
        <w:rPr>
          <w:color w:val="0D0D14"/>
          <w:sz w:val="24"/>
          <w:szCs w:val="24"/>
          <w:highlight w:val="white"/>
        </w:rPr>
        <w:t>cytospin</w:t>
      </w:r>
      <w:proofErr w:type="spellEnd"/>
      <w:r w:rsidR="0091707C" w:rsidRPr="00D21222">
        <w:rPr>
          <w:color w:val="0D0D14"/>
          <w:sz w:val="24"/>
          <w:szCs w:val="24"/>
          <w:highlight w:val="white"/>
        </w:rPr>
        <w:t xml:space="preserve"> image of BALF cells from uninfected naive mice, uninfected </w:t>
      </w:r>
      <w:r w:rsidR="0091707C" w:rsidRPr="00D21222">
        <w:rPr>
          <w:color w:val="0D0D14"/>
          <w:sz w:val="24"/>
          <w:szCs w:val="24"/>
          <w:highlight w:val="white"/>
        </w:rPr>
        <w:lastRenderedPageBreak/>
        <w:t>LPS pre-exposed mice, MRSA-infected naive mice, or MRSA-infected LPS pre-exposed mice. Scale bar represents 20 µm.</w:t>
      </w:r>
      <w:r w:rsidR="0091707C">
        <w:rPr>
          <w:color w:val="0D0D14"/>
          <w:sz w:val="24"/>
          <w:szCs w:val="24"/>
          <w:highlight w:val="white"/>
        </w:rPr>
        <w:t xml:space="preserve"> </w:t>
      </w:r>
      <w:r w:rsidR="0091707C" w:rsidRPr="00D21222">
        <w:rPr>
          <w:color w:val="0D0D14"/>
          <w:sz w:val="24"/>
          <w:szCs w:val="24"/>
          <w:highlight w:val="white"/>
        </w:rPr>
        <w:t xml:space="preserve">(B) </w:t>
      </w:r>
      <w:r w:rsidR="0091707C" w:rsidRPr="00D21222">
        <w:rPr>
          <w:sz w:val="24"/>
          <w:szCs w:val="24"/>
        </w:rPr>
        <w:t xml:space="preserve">Representative confocal microscopy images or Mono and Binucleated AMs from LPS pre-exposed mice for 6 days and subsequently infected with MRSA for 48 hours. Cells were extracted from the lungs ex vivo and stained with DAPI (gray), CD169 (green), and CD11c (red). </w:t>
      </w:r>
      <w:r w:rsidR="0091707C" w:rsidRPr="00D21222">
        <w:rPr>
          <w:color w:val="0D0D14"/>
          <w:sz w:val="24"/>
          <w:szCs w:val="24"/>
          <w:highlight w:val="white"/>
        </w:rPr>
        <w:t xml:space="preserve">Scale bar represents 10 µm. </w:t>
      </w:r>
    </w:p>
    <w:p w14:paraId="3EC2D851" w14:textId="72013807" w:rsidR="0091707C" w:rsidRDefault="0091707C" w:rsidP="001E446E">
      <w:pPr>
        <w:spacing w:line="479" w:lineRule="auto"/>
        <w:jc w:val="both"/>
        <w:rPr>
          <w:sz w:val="24"/>
          <w:szCs w:val="24"/>
        </w:rPr>
      </w:pPr>
      <w:r w:rsidRPr="00D21222">
        <w:rPr>
          <w:sz w:val="24"/>
          <w:szCs w:val="24"/>
        </w:rPr>
        <w:t>(C)  Absolute AM counts in lungs of MRSA-infected mice when mice were left untreated (naive) or pre-exposed to LPS for 6 days.</w:t>
      </w:r>
      <w:r>
        <w:rPr>
          <w:sz w:val="24"/>
          <w:szCs w:val="24"/>
        </w:rPr>
        <w:t xml:space="preserve"> </w:t>
      </w:r>
      <w:r w:rsidRPr="00D21222">
        <w:rPr>
          <w:sz w:val="24"/>
          <w:szCs w:val="24"/>
        </w:rPr>
        <w:t>(D) Representative flow cytometry histogram of blood monocytes from mice injected with control PBS or Rhodamine liposomes via the tail vein. Cells were stained with monocyte markers (CD45, CD11b, and Ly6C). The percent of monocyte-positive liposomes was determined by gating against monocytes from PBS-injected mice.</w:t>
      </w:r>
      <w:r>
        <w:rPr>
          <w:sz w:val="24"/>
          <w:szCs w:val="24"/>
        </w:rPr>
        <w:t xml:space="preserve"> </w:t>
      </w:r>
      <w:r w:rsidRPr="00D21222">
        <w:rPr>
          <w:sz w:val="24"/>
          <w:szCs w:val="24"/>
        </w:rPr>
        <w:t>(E) Mean fluorescence intensity of GFP in lung cells when naive or LPS pre-exposed mice infected with MRSA-GFP for 48 hours.</w:t>
      </w:r>
      <w:r>
        <w:rPr>
          <w:sz w:val="24"/>
          <w:szCs w:val="24"/>
        </w:rPr>
        <w:t xml:space="preserve"> </w:t>
      </w:r>
      <w:r w:rsidRPr="00D21222">
        <w:rPr>
          <w:sz w:val="24"/>
          <w:szCs w:val="24"/>
        </w:rPr>
        <w:t xml:space="preserve">(F) The expression level of </w:t>
      </w:r>
      <w:proofErr w:type="spellStart"/>
      <w:r w:rsidRPr="00D21222">
        <w:rPr>
          <w:i/>
          <w:iCs/>
          <w:sz w:val="24"/>
          <w:szCs w:val="24"/>
        </w:rPr>
        <w:t>Mpo</w:t>
      </w:r>
      <w:proofErr w:type="spellEnd"/>
      <w:r w:rsidRPr="00D21222">
        <w:rPr>
          <w:sz w:val="24"/>
          <w:szCs w:val="24"/>
        </w:rPr>
        <w:t xml:space="preserve"> was quantified by qPCR and normalized relative to </w:t>
      </w:r>
      <w:proofErr w:type="spellStart"/>
      <w:r w:rsidRPr="00D21222">
        <w:rPr>
          <w:i/>
          <w:iCs/>
          <w:sz w:val="24"/>
          <w:szCs w:val="24"/>
        </w:rPr>
        <w:t>Gapdh</w:t>
      </w:r>
      <w:proofErr w:type="spellEnd"/>
      <w:r w:rsidRPr="00D21222">
        <w:rPr>
          <w:sz w:val="24"/>
          <w:szCs w:val="24"/>
        </w:rPr>
        <w:t xml:space="preserve">. The </w:t>
      </w:r>
      <w:proofErr w:type="spellStart"/>
      <w:r w:rsidRPr="00D21222">
        <w:rPr>
          <w:sz w:val="24"/>
          <w:szCs w:val="24"/>
        </w:rPr>
        <w:t>ΔΔCt</w:t>
      </w:r>
      <w:proofErr w:type="spellEnd"/>
      <w:r w:rsidRPr="00D21222">
        <w:rPr>
          <w:sz w:val="24"/>
          <w:szCs w:val="24"/>
        </w:rPr>
        <w:t xml:space="preserve"> was calculated relative to the average </w:t>
      </w:r>
      <w:proofErr w:type="spellStart"/>
      <w:r w:rsidRPr="00D21222">
        <w:rPr>
          <w:sz w:val="24"/>
          <w:szCs w:val="24"/>
        </w:rPr>
        <w:t>ΔCt</w:t>
      </w:r>
      <w:proofErr w:type="spellEnd"/>
      <w:r w:rsidRPr="00D21222">
        <w:rPr>
          <w:sz w:val="24"/>
          <w:szCs w:val="24"/>
        </w:rPr>
        <w:t xml:space="preserve"> of </w:t>
      </w:r>
      <w:r w:rsidR="006A55E7">
        <w:rPr>
          <w:sz w:val="24"/>
          <w:szCs w:val="24"/>
        </w:rPr>
        <w:t xml:space="preserve">MRSA-infected naïve </w:t>
      </w:r>
      <w:r w:rsidRPr="00D21222">
        <w:rPr>
          <w:sz w:val="24"/>
          <w:szCs w:val="24"/>
        </w:rPr>
        <w:t>mice.</w:t>
      </w:r>
      <w:r>
        <w:rPr>
          <w:sz w:val="24"/>
          <w:szCs w:val="24"/>
        </w:rPr>
        <w:t xml:space="preserve"> </w:t>
      </w:r>
      <w:r w:rsidRPr="00D21222">
        <w:rPr>
          <w:sz w:val="24"/>
          <w:szCs w:val="24"/>
        </w:rPr>
        <w:t xml:space="preserve">(G) Quantification of </w:t>
      </w:r>
      <w:r w:rsidRPr="00D21222">
        <w:rPr>
          <w:i/>
          <w:iCs/>
          <w:sz w:val="24"/>
          <w:szCs w:val="24"/>
        </w:rPr>
        <w:t>Elane</w:t>
      </w:r>
      <w:r w:rsidRPr="00D21222">
        <w:rPr>
          <w:sz w:val="24"/>
          <w:szCs w:val="24"/>
        </w:rPr>
        <w:t xml:space="preserve"> transcripts in lungs of MRSA-infected naive mice (n=3)</w:t>
      </w:r>
      <w:r w:rsidR="006A55E7">
        <w:rPr>
          <w:sz w:val="24"/>
          <w:szCs w:val="24"/>
        </w:rPr>
        <w:t xml:space="preserve"> </w:t>
      </w:r>
      <w:r w:rsidRPr="00D21222">
        <w:rPr>
          <w:sz w:val="24"/>
          <w:szCs w:val="24"/>
        </w:rPr>
        <w:t xml:space="preserve">and MRSA-infected LPS pre-exposed mice (n=3) from </w:t>
      </w:r>
      <w:proofErr w:type="spellStart"/>
      <w:r w:rsidRPr="00D21222">
        <w:rPr>
          <w:sz w:val="24"/>
          <w:szCs w:val="24"/>
        </w:rPr>
        <w:t>NanoString</w:t>
      </w:r>
      <w:proofErr w:type="spellEnd"/>
      <w:r w:rsidRPr="00D21222">
        <w:rPr>
          <w:sz w:val="24"/>
          <w:szCs w:val="24"/>
        </w:rPr>
        <w:t xml:space="preserve"> data.</w:t>
      </w:r>
      <w:r>
        <w:rPr>
          <w:sz w:val="24"/>
          <w:szCs w:val="24"/>
        </w:rPr>
        <w:t xml:space="preserve"> </w:t>
      </w:r>
      <w:r w:rsidRPr="00D21222">
        <w:rPr>
          <w:sz w:val="24"/>
          <w:szCs w:val="24"/>
        </w:rPr>
        <w:t xml:space="preserve">(H, I) Representative confocal microscopy images (H) and quantification (I) of MPO levels in AMs of LPS pre-exposed mice when mice were infected with MRSA-GFP for 6, 24, or 48 hours. </w:t>
      </w:r>
      <w:r w:rsidR="001E446E" w:rsidRPr="00417306">
        <w:rPr>
          <w:sz w:val="24"/>
          <w:szCs w:val="24"/>
        </w:rPr>
        <w:t>MFI of MPO</w:t>
      </w:r>
      <w:r w:rsidR="001E446E">
        <w:rPr>
          <w:sz w:val="24"/>
          <w:szCs w:val="24"/>
        </w:rPr>
        <w:t xml:space="preserve"> is presented in v</w:t>
      </w:r>
      <w:r w:rsidR="001E446E" w:rsidRPr="00417306">
        <w:rPr>
          <w:sz w:val="24"/>
          <w:szCs w:val="24"/>
        </w:rPr>
        <w:t xml:space="preserve">iolin plots from at least </w:t>
      </w:r>
      <w:r w:rsidR="001E446E">
        <w:rPr>
          <w:sz w:val="24"/>
          <w:szCs w:val="24"/>
        </w:rPr>
        <w:t>96</w:t>
      </w:r>
      <w:r w:rsidR="001E446E" w:rsidRPr="00417306">
        <w:rPr>
          <w:sz w:val="24"/>
          <w:szCs w:val="24"/>
        </w:rPr>
        <w:t xml:space="preserve"> </w:t>
      </w:r>
      <w:r w:rsidR="001E446E">
        <w:rPr>
          <w:sz w:val="24"/>
          <w:szCs w:val="24"/>
        </w:rPr>
        <w:t>AMs</w:t>
      </w:r>
      <w:r w:rsidR="001E446E" w:rsidRPr="00417306">
        <w:rPr>
          <w:sz w:val="24"/>
          <w:szCs w:val="24"/>
        </w:rPr>
        <w:t xml:space="preserve"> for each condition from </w:t>
      </w:r>
      <w:r w:rsidR="001E446E" w:rsidRPr="00417306">
        <w:rPr>
          <w:rFonts w:eastAsia="Arial Unicode MS"/>
          <w:color w:val="0D0D14"/>
          <w:sz w:val="24"/>
          <w:szCs w:val="24"/>
          <w:highlight w:val="white"/>
        </w:rPr>
        <w:t>n≥3 mice</w:t>
      </w:r>
      <w:r w:rsidR="001E446E">
        <w:rPr>
          <w:sz w:val="24"/>
          <w:szCs w:val="24"/>
        </w:rPr>
        <w:t xml:space="preserve">. </w:t>
      </w:r>
      <w:r w:rsidRPr="00D21222">
        <w:rPr>
          <w:color w:val="0D0D14"/>
          <w:sz w:val="24"/>
          <w:szCs w:val="24"/>
          <w:highlight w:val="white"/>
        </w:rPr>
        <w:t>Scale bar represents 5 µm.</w:t>
      </w:r>
      <w:r>
        <w:rPr>
          <w:color w:val="0D0D14"/>
          <w:sz w:val="24"/>
          <w:szCs w:val="24"/>
        </w:rPr>
        <w:t xml:space="preserve"> </w:t>
      </w:r>
      <w:r w:rsidRPr="00D21222">
        <w:rPr>
          <w:sz w:val="24"/>
          <w:szCs w:val="24"/>
        </w:rPr>
        <w:t xml:space="preserve">Graphs represent the mean of </w:t>
      </w:r>
      <w:r w:rsidRPr="00D21222">
        <w:rPr>
          <w:rFonts w:eastAsia="Arial Unicode MS"/>
          <w:color w:val="0D0D14"/>
          <w:sz w:val="24"/>
          <w:szCs w:val="24"/>
          <w:highlight w:val="white"/>
        </w:rPr>
        <w:t xml:space="preserve">n≥3 biological replicates ± SD. </w:t>
      </w:r>
      <w:r w:rsidRPr="00D21222">
        <w:rPr>
          <w:i/>
          <w:iCs/>
          <w:color w:val="0D0D14"/>
          <w:sz w:val="24"/>
          <w:szCs w:val="24"/>
          <w:highlight w:val="white"/>
        </w:rPr>
        <w:t xml:space="preserve">P </w:t>
      </w:r>
      <w:r w:rsidRPr="00D21222">
        <w:rPr>
          <w:color w:val="0D0D14"/>
          <w:sz w:val="24"/>
          <w:szCs w:val="24"/>
          <w:highlight w:val="white"/>
        </w:rPr>
        <w:t>values were calculated using the Mann-Whitney test</w:t>
      </w:r>
      <w:r w:rsidRPr="00D21222">
        <w:rPr>
          <w:color w:val="0D0D14"/>
          <w:sz w:val="24"/>
          <w:szCs w:val="24"/>
        </w:rPr>
        <w:t xml:space="preserve"> for panels C</w:t>
      </w:r>
      <w:r w:rsidR="006A55E7">
        <w:rPr>
          <w:color w:val="0D0D14"/>
          <w:sz w:val="24"/>
          <w:szCs w:val="24"/>
        </w:rPr>
        <w:t xml:space="preserve">, </w:t>
      </w:r>
      <w:r w:rsidRPr="00D21222">
        <w:rPr>
          <w:color w:val="0D0D14"/>
          <w:sz w:val="24"/>
          <w:szCs w:val="24"/>
        </w:rPr>
        <w:t>E,</w:t>
      </w:r>
      <w:r w:rsidR="006A55E7">
        <w:rPr>
          <w:color w:val="0D0D14"/>
          <w:sz w:val="24"/>
          <w:szCs w:val="24"/>
        </w:rPr>
        <w:t xml:space="preserve"> F, and G</w:t>
      </w:r>
      <w:r w:rsidRPr="00D21222">
        <w:rPr>
          <w:color w:val="0D0D14"/>
          <w:sz w:val="24"/>
          <w:szCs w:val="24"/>
        </w:rPr>
        <w:t xml:space="preserve"> or One-way ANOVA followed by a </w:t>
      </w:r>
      <w:r w:rsidRPr="00D21222">
        <w:rPr>
          <w:sz w:val="24"/>
          <w:szCs w:val="24"/>
        </w:rPr>
        <w:t xml:space="preserve">Holm-Sidak’s </w:t>
      </w:r>
      <w:r w:rsidRPr="00D21222">
        <w:rPr>
          <w:color w:val="0D0D14"/>
          <w:sz w:val="24"/>
          <w:szCs w:val="24"/>
        </w:rPr>
        <w:t xml:space="preserve">multiple comparisons test for panel I. </w:t>
      </w:r>
      <w:r w:rsidRPr="00D21222">
        <w:rPr>
          <w:i/>
          <w:iCs/>
          <w:color w:val="0D0D14"/>
          <w:sz w:val="24"/>
          <w:szCs w:val="24"/>
          <w:highlight w:val="white"/>
        </w:rPr>
        <w:t xml:space="preserve">P </w:t>
      </w:r>
      <w:r w:rsidRPr="00D21222">
        <w:rPr>
          <w:color w:val="0D0D14"/>
          <w:sz w:val="24"/>
          <w:szCs w:val="24"/>
          <w:highlight w:val="white"/>
        </w:rPr>
        <w:t>value:</w:t>
      </w:r>
      <w:r w:rsidRPr="00D21222">
        <w:rPr>
          <w:sz w:val="24"/>
          <w:szCs w:val="24"/>
        </w:rPr>
        <w:t xml:space="preserve"> *&lt;0.05, ***&lt; 0.001, ****&lt; 0.0001.</w:t>
      </w:r>
      <w:r>
        <w:rPr>
          <w:sz w:val="24"/>
          <w:szCs w:val="24"/>
        </w:rPr>
        <w:t xml:space="preserve"> </w:t>
      </w:r>
    </w:p>
    <w:p w14:paraId="44E26CC8" w14:textId="4485094E" w:rsidR="0091707C" w:rsidRPr="00D21222" w:rsidRDefault="0091707C" w:rsidP="0091707C">
      <w:pPr>
        <w:spacing w:line="479" w:lineRule="auto"/>
        <w:jc w:val="both"/>
        <w:rPr>
          <w:sz w:val="24"/>
          <w:szCs w:val="24"/>
        </w:rPr>
      </w:pPr>
      <w:r w:rsidRPr="0091707C">
        <w:rPr>
          <w:noProof/>
          <w:sz w:val="24"/>
          <w:szCs w:val="24"/>
        </w:rPr>
        <w:lastRenderedPageBreak/>
        <w:drawing>
          <wp:inline distT="0" distB="0" distL="0" distR="0" wp14:anchorId="1F05B9CE" wp14:editId="2F170E7F">
            <wp:extent cx="5943600" cy="6207760"/>
            <wp:effectExtent l="0" t="0" r="0" b="2540"/>
            <wp:docPr id="2053224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24125" name=""/>
                    <pic:cNvPicPr/>
                  </pic:nvPicPr>
                  <pic:blipFill>
                    <a:blip r:embed="rId12"/>
                    <a:stretch>
                      <a:fillRect/>
                    </a:stretch>
                  </pic:blipFill>
                  <pic:spPr>
                    <a:xfrm>
                      <a:off x="0" y="0"/>
                      <a:ext cx="5943600" cy="6207760"/>
                    </a:xfrm>
                    <a:prstGeom prst="rect">
                      <a:avLst/>
                    </a:prstGeom>
                  </pic:spPr>
                </pic:pic>
              </a:graphicData>
            </a:graphic>
          </wp:inline>
        </w:drawing>
      </w:r>
    </w:p>
    <w:p w14:paraId="00000111" w14:textId="084BF0B5" w:rsidR="004D1A3C" w:rsidRPr="00C472BF" w:rsidRDefault="00017DAD" w:rsidP="00C472BF">
      <w:pPr>
        <w:spacing w:line="479" w:lineRule="auto"/>
        <w:jc w:val="both"/>
        <w:rPr>
          <w:sz w:val="24"/>
          <w:szCs w:val="24"/>
          <w:highlight w:val="white"/>
        </w:rPr>
      </w:pPr>
      <w:r w:rsidRPr="008A4539">
        <w:rPr>
          <w:b/>
          <w:bCs/>
          <w:color w:val="0D0D14"/>
          <w:sz w:val="24"/>
          <w:szCs w:val="24"/>
          <w:highlight w:val="white"/>
        </w:rPr>
        <w:t>Supplem</w:t>
      </w:r>
      <w:r>
        <w:rPr>
          <w:b/>
          <w:bCs/>
          <w:color w:val="0D0D14"/>
          <w:sz w:val="24"/>
          <w:szCs w:val="24"/>
          <w:highlight w:val="white"/>
        </w:rPr>
        <w:t>entary</w:t>
      </w:r>
      <w:r>
        <w:rPr>
          <w:b/>
          <w:bCs/>
          <w:sz w:val="24"/>
          <w:szCs w:val="24"/>
          <w:highlight w:val="white"/>
        </w:rPr>
        <w:t xml:space="preserve"> </w:t>
      </w:r>
      <w:r w:rsidR="0091707C">
        <w:rPr>
          <w:b/>
          <w:bCs/>
          <w:sz w:val="24"/>
          <w:szCs w:val="24"/>
          <w:highlight w:val="white"/>
        </w:rPr>
        <w:t>Fig</w:t>
      </w:r>
      <w:r>
        <w:rPr>
          <w:b/>
          <w:bCs/>
          <w:sz w:val="24"/>
          <w:szCs w:val="24"/>
          <w:highlight w:val="white"/>
        </w:rPr>
        <w:t>.</w:t>
      </w:r>
      <w:r w:rsidR="0091707C">
        <w:rPr>
          <w:b/>
          <w:bCs/>
          <w:sz w:val="24"/>
          <w:szCs w:val="24"/>
          <w:highlight w:val="white"/>
        </w:rPr>
        <w:t xml:space="preserve"> 5 </w:t>
      </w:r>
      <w:proofErr w:type="spellStart"/>
      <w:r w:rsidR="0091707C">
        <w:rPr>
          <w:b/>
          <w:bCs/>
          <w:sz w:val="24"/>
          <w:szCs w:val="24"/>
          <w:highlight w:val="white"/>
        </w:rPr>
        <w:t>Bcl-xL</w:t>
      </w:r>
      <w:proofErr w:type="spellEnd"/>
      <w:r w:rsidR="0091707C">
        <w:rPr>
          <w:b/>
          <w:bCs/>
          <w:sz w:val="24"/>
          <w:szCs w:val="24"/>
          <w:highlight w:val="white"/>
        </w:rPr>
        <w:t xml:space="preserve"> and </w:t>
      </w:r>
      <w:proofErr w:type="spellStart"/>
      <w:r w:rsidR="0091707C">
        <w:rPr>
          <w:b/>
          <w:bCs/>
          <w:sz w:val="24"/>
          <w:szCs w:val="24"/>
          <w:highlight w:val="white"/>
        </w:rPr>
        <w:t>MerTK</w:t>
      </w:r>
      <w:proofErr w:type="spellEnd"/>
      <w:r w:rsidR="0091707C">
        <w:rPr>
          <w:b/>
          <w:bCs/>
          <w:sz w:val="24"/>
          <w:szCs w:val="24"/>
          <w:highlight w:val="white"/>
        </w:rPr>
        <w:t xml:space="preserve"> inhibitors do not cause lung toxicity to uninfected mice or MRSA-infected AM cell death in LPS-exposed mice. </w:t>
      </w:r>
      <w:r w:rsidR="0091707C">
        <w:rPr>
          <w:sz w:val="24"/>
          <w:szCs w:val="24"/>
          <w:highlight w:val="white"/>
        </w:rPr>
        <w:t xml:space="preserve">(A) H&amp;E-stained lung histological sections from mice treated with DMSO control, </w:t>
      </w:r>
      <w:proofErr w:type="spellStart"/>
      <w:r w:rsidR="0091707C">
        <w:rPr>
          <w:sz w:val="24"/>
          <w:szCs w:val="24"/>
          <w:highlight w:val="white"/>
        </w:rPr>
        <w:t>Bcl-xL</w:t>
      </w:r>
      <w:proofErr w:type="spellEnd"/>
      <w:r w:rsidR="0091707C">
        <w:rPr>
          <w:sz w:val="24"/>
          <w:szCs w:val="24"/>
          <w:highlight w:val="white"/>
        </w:rPr>
        <w:t xml:space="preserve"> inhibitor (A-1331852), or </w:t>
      </w:r>
      <w:proofErr w:type="spellStart"/>
      <w:r w:rsidR="0091707C">
        <w:rPr>
          <w:sz w:val="24"/>
          <w:szCs w:val="24"/>
          <w:highlight w:val="white"/>
        </w:rPr>
        <w:t>MerTK</w:t>
      </w:r>
      <w:proofErr w:type="spellEnd"/>
      <w:r w:rsidR="0091707C">
        <w:rPr>
          <w:sz w:val="24"/>
          <w:szCs w:val="24"/>
          <w:highlight w:val="white"/>
        </w:rPr>
        <w:t xml:space="preserve"> inhibitor (UNC2025). (B) Representative confocal microscopy images of AMs extracted from lungs of LPS-exposed mice for 6 days, when mice were </w:t>
      </w:r>
      <w:r w:rsidR="0091707C">
        <w:rPr>
          <w:sz w:val="24"/>
          <w:szCs w:val="24"/>
          <w:highlight w:val="white"/>
        </w:rPr>
        <w:lastRenderedPageBreak/>
        <w:t xml:space="preserve">treated with DMSO control or </w:t>
      </w:r>
      <w:proofErr w:type="spellStart"/>
      <w:r w:rsidR="0091707C">
        <w:rPr>
          <w:sz w:val="24"/>
          <w:szCs w:val="24"/>
          <w:highlight w:val="white"/>
        </w:rPr>
        <w:t>Bcl-xL</w:t>
      </w:r>
      <w:proofErr w:type="spellEnd"/>
      <w:r w:rsidR="0091707C">
        <w:rPr>
          <w:sz w:val="24"/>
          <w:szCs w:val="24"/>
          <w:highlight w:val="white"/>
        </w:rPr>
        <w:t xml:space="preserve"> inhibitor, or </w:t>
      </w:r>
      <w:proofErr w:type="spellStart"/>
      <w:r w:rsidR="0091707C">
        <w:rPr>
          <w:sz w:val="24"/>
          <w:szCs w:val="24"/>
          <w:highlight w:val="white"/>
        </w:rPr>
        <w:t>MerTK</w:t>
      </w:r>
      <w:proofErr w:type="spellEnd"/>
      <w:r w:rsidR="0091707C">
        <w:rPr>
          <w:sz w:val="24"/>
          <w:szCs w:val="24"/>
          <w:highlight w:val="white"/>
        </w:rPr>
        <w:t xml:space="preserve"> inhibitor before being infected with MRSA-GFP (green) for 48 hours. Cells were stained with DAPI (gray), anti-cleaved Caspase 3 (red), and anti-CD169 (magenta) Scale bar represents 5 µm. (C) Representative confocal microscopy images of cleaved Caspase 3-positive cells present in lungs of LPS-exposed mice, treated with </w:t>
      </w:r>
      <w:proofErr w:type="spellStart"/>
      <w:r w:rsidR="0091707C">
        <w:rPr>
          <w:sz w:val="24"/>
          <w:szCs w:val="24"/>
          <w:highlight w:val="white"/>
        </w:rPr>
        <w:t>Bcl-xL</w:t>
      </w:r>
      <w:proofErr w:type="spellEnd"/>
      <w:r w:rsidR="0091707C">
        <w:rPr>
          <w:sz w:val="24"/>
          <w:szCs w:val="24"/>
          <w:highlight w:val="white"/>
        </w:rPr>
        <w:t xml:space="preserve"> or </w:t>
      </w:r>
      <w:proofErr w:type="spellStart"/>
      <w:r w:rsidR="0091707C">
        <w:rPr>
          <w:sz w:val="24"/>
          <w:szCs w:val="24"/>
          <w:highlight w:val="white"/>
        </w:rPr>
        <w:t>MerTK</w:t>
      </w:r>
      <w:proofErr w:type="spellEnd"/>
      <w:r w:rsidR="0091707C">
        <w:rPr>
          <w:sz w:val="24"/>
          <w:szCs w:val="24"/>
          <w:highlight w:val="white"/>
        </w:rPr>
        <w:t xml:space="preserve"> inhibitors, and infected with MRSA. Scale bar represents 5 µm.</w:t>
      </w:r>
    </w:p>
    <w:sectPr w:rsidR="004D1A3C" w:rsidRPr="00C472BF">
      <w:footerReference w:type="default" r:id="rId13"/>
      <w:footerReference w:type="first" r:id="rId14"/>
      <w:pgSz w:w="12240" w:h="15840"/>
      <w:pgMar w:top="1440" w:right="1440" w:bottom="1440" w:left="1440" w:header="720" w:footer="720" w:gutter="0"/>
      <w:lnNumType w:countBy="1" w:restart="continuous"/>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70842C" w14:textId="77777777" w:rsidR="00493669" w:rsidRDefault="00493669">
      <w:pPr>
        <w:spacing w:line="240" w:lineRule="auto"/>
      </w:pPr>
      <w:r>
        <w:separator/>
      </w:r>
    </w:p>
  </w:endnote>
  <w:endnote w:type="continuationSeparator" w:id="0">
    <w:p w14:paraId="7962DE99" w14:textId="77777777" w:rsidR="00493669" w:rsidRDefault="0049366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30BD812-B6AE-354B-AEAD-5AC97E22A84B}"/>
  </w:font>
  <w:font w:name="Arial">
    <w:panose1 w:val="020B0604020202020204"/>
    <w:charset w:val="00"/>
    <w:family w:val="swiss"/>
    <w:pitch w:val="variable"/>
    <w:sig w:usb0="E0002EFF" w:usb1="C000785B" w:usb2="00000009" w:usb3="00000000" w:csb0="000001FF" w:csb1="00000000"/>
    <w:embedRegular r:id="rId2" w:fontKey="{F42D66A6-585E-7A4F-878A-DB2D9459313C}"/>
    <w:embedBold r:id="rId3" w:fontKey="{8BADB4D7-1AF5-0247-8CCC-AE2932FB9DED}"/>
    <w:embedItalic r:id="rId4" w:fontKey="{6046424A-44CF-244B-A4ED-99EC3B66C5DB}"/>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5" w:fontKey="{B4D67C81-35B1-8B4A-8B6E-B559BF50CEC8}"/>
  </w:font>
  <w:font w:name="Cambria">
    <w:panose1 w:val="02040503050406030204"/>
    <w:charset w:val="00"/>
    <w:family w:val="roman"/>
    <w:pitch w:val="variable"/>
    <w:sig w:usb0="E00006FF" w:usb1="420024FF" w:usb2="02000000" w:usb3="00000000" w:csb0="0000019F" w:csb1="00000000"/>
    <w:embedRegular r:id="rId6" w:fontKey="{A649981F-11A2-9048-A605-6D7A3B42ECB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2" w14:textId="77777777" w:rsidR="004D1A3C" w:rsidRDefault="004D1A3C">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3" w14:textId="77777777" w:rsidR="004D1A3C" w:rsidRDefault="004D1A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A04BE7" w14:textId="77777777" w:rsidR="00493669" w:rsidRDefault="00493669">
      <w:pPr>
        <w:spacing w:line="240" w:lineRule="auto"/>
      </w:pPr>
      <w:r>
        <w:separator/>
      </w:r>
    </w:p>
  </w:footnote>
  <w:footnote w:type="continuationSeparator" w:id="0">
    <w:p w14:paraId="025B3B0E" w14:textId="77777777" w:rsidR="00493669" w:rsidRDefault="0049366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390CFF"/>
    <w:multiLevelType w:val="multilevel"/>
    <w:tmpl w:val="951012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0E1063C"/>
    <w:multiLevelType w:val="multilevel"/>
    <w:tmpl w:val="B3206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44573082">
    <w:abstractNumId w:val="0"/>
  </w:num>
  <w:num w:numId="2" w16cid:durableId="6395055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9"/>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paperpile-clusterType" w:val="normal"/>
    <w:docVar w:name="paperpile-doc-id" w:val="T962H328W619A323"/>
    <w:docVar w:name="paperpile-doc-name" w:val="Trained immunity_Manuscript_2025-12-2.docx"/>
    <w:docVar w:name="paperpile-includeDoi" w:val="false"/>
    <w:docVar w:name="paperpile-styleFile" w:val="cell.csl"/>
    <w:docVar w:name="paperpile-styleId" w:val="cell-host-and-microbe"/>
    <w:docVar w:name="paperpile-styleLabel" w:val="Cell Host &amp;amp; Microbe"/>
    <w:docVar w:name="paperpile-styleLocale" w:val="default"/>
  </w:docVars>
  <w:rsids>
    <w:rsidRoot w:val="004D1A3C"/>
    <w:rsid w:val="00011308"/>
    <w:rsid w:val="00017DAD"/>
    <w:rsid w:val="00022258"/>
    <w:rsid w:val="0002699E"/>
    <w:rsid w:val="00027973"/>
    <w:rsid w:val="00044F48"/>
    <w:rsid w:val="00047A3E"/>
    <w:rsid w:val="0005422D"/>
    <w:rsid w:val="00070132"/>
    <w:rsid w:val="0008195B"/>
    <w:rsid w:val="000820D1"/>
    <w:rsid w:val="000975B7"/>
    <w:rsid w:val="000B40B5"/>
    <w:rsid w:val="000D2E2C"/>
    <w:rsid w:val="001006B3"/>
    <w:rsid w:val="00100990"/>
    <w:rsid w:val="00144789"/>
    <w:rsid w:val="00145294"/>
    <w:rsid w:val="00175778"/>
    <w:rsid w:val="00186F80"/>
    <w:rsid w:val="001906B6"/>
    <w:rsid w:val="001A3629"/>
    <w:rsid w:val="001A45CF"/>
    <w:rsid w:val="001C3753"/>
    <w:rsid w:val="001D47A7"/>
    <w:rsid w:val="001E446E"/>
    <w:rsid w:val="001E73A2"/>
    <w:rsid w:val="001F6F53"/>
    <w:rsid w:val="00234D67"/>
    <w:rsid w:val="00244E69"/>
    <w:rsid w:val="002567CB"/>
    <w:rsid w:val="0029198A"/>
    <w:rsid w:val="00297975"/>
    <w:rsid w:val="002A07DD"/>
    <w:rsid w:val="002F3D25"/>
    <w:rsid w:val="0032134B"/>
    <w:rsid w:val="003553FF"/>
    <w:rsid w:val="0036399C"/>
    <w:rsid w:val="003847DF"/>
    <w:rsid w:val="003B3904"/>
    <w:rsid w:val="003D0E84"/>
    <w:rsid w:val="003D200F"/>
    <w:rsid w:val="003F0676"/>
    <w:rsid w:val="003F33D7"/>
    <w:rsid w:val="00442FDD"/>
    <w:rsid w:val="00493669"/>
    <w:rsid w:val="004D1A3C"/>
    <w:rsid w:val="004D346B"/>
    <w:rsid w:val="004F3BDB"/>
    <w:rsid w:val="00501844"/>
    <w:rsid w:val="00503ADE"/>
    <w:rsid w:val="0053436D"/>
    <w:rsid w:val="00555B02"/>
    <w:rsid w:val="00561B1D"/>
    <w:rsid w:val="00562797"/>
    <w:rsid w:val="005D6F6A"/>
    <w:rsid w:val="005E2B6D"/>
    <w:rsid w:val="00607792"/>
    <w:rsid w:val="00664EE0"/>
    <w:rsid w:val="006658FD"/>
    <w:rsid w:val="00674DA9"/>
    <w:rsid w:val="0068185A"/>
    <w:rsid w:val="00681F24"/>
    <w:rsid w:val="00686F25"/>
    <w:rsid w:val="006A55E7"/>
    <w:rsid w:val="006B2076"/>
    <w:rsid w:val="006D097D"/>
    <w:rsid w:val="00726032"/>
    <w:rsid w:val="00733468"/>
    <w:rsid w:val="00764984"/>
    <w:rsid w:val="0077238C"/>
    <w:rsid w:val="007964DB"/>
    <w:rsid w:val="007A0DFD"/>
    <w:rsid w:val="007B60C3"/>
    <w:rsid w:val="00800C6D"/>
    <w:rsid w:val="00833024"/>
    <w:rsid w:val="00855D75"/>
    <w:rsid w:val="00897458"/>
    <w:rsid w:val="008B5F59"/>
    <w:rsid w:val="0090333A"/>
    <w:rsid w:val="0091707C"/>
    <w:rsid w:val="00976790"/>
    <w:rsid w:val="009A3459"/>
    <w:rsid w:val="00A009BA"/>
    <w:rsid w:val="00A06A4C"/>
    <w:rsid w:val="00A26FA6"/>
    <w:rsid w:val="00A42458"/>
    <w:rsid w:val="00A503FF"/>
    <w:rsid w:val="00A50A1C"/>
    <w:rsid w:val="00A85355"/>
    <w:rsid w:val="00A929AC"/>
    <w:rsid w:val="00A934A3"/>
    <w:rsid w:val="00AB4C50"/>
    <w:rsid w:val="00AC7F27"/>
    <w:rsid w:val="00AE3C96"/>
    <w:rsid w:val="00B17A9F"/>
    <w:rsid w:val="00B2123E"/>
    <w:rsid w:val="00B6612D"/>
    <w:rsid w:val="00B76323"/>
    <w:rsid w:val="00B82872"/>
    <w:rsid w:val="00BE7CF3"/>
    <w:rsid w:val="00BF24B0"/>
    <w:rsid w:val="00C42693"/>
    <w:rsid w:val="00C472BF"/>
    <w:rsid w:val="00C5204E"/>
    <w:rsid w:val="00C5278C"/>
    <w:rsid w:val="00C67F15"/>
    <w:rsid w:val="00C91786"/>
    <w:rsid w:val="00CB0A3C"/>
    <w:rsid w:val="00CB0DC7"/>
    <w:rsid w:val="00CC5C9A"/>
    <w:rsid w:val="00CF5B3A"/>
    <w:rsid w:val="00CF67AA"/>
    <w:rsid w:val="00D0059E"/>
    <w:rsid w:val="00D21D86"/>
    <w:rsid w:val="00D229F2"/>
    <w:rsid w:val="00D46034"/>
    <w:rsid w:val="00D85A7C"/>
    <w:rsid w:val="00D9076C"/>
    <w:rsid w:val="00DE0A54"/>
    <w:rsid w:val="00DE0DBA"/>
    <w:rsid w:val="00DE7B37"/>
    <w:rsid w:val="00DF57B3"/>
    <w:rsid w:val="00DF73EC"/>
    <w:rsid w:val="00E03C53"/>
    <w:rsid w:val="00E26670"/>
    <w:rsid w:val="00E3750C"/>
    <w:rsid w:val="00E93F3E"/>
    <w:rsid w:val="00EC09E5"/>
    <w:rsid w:val="00EF2498"/>
    <w:rsid w:val="00F0370E"/>
    <w:rsid w:val="00F111BE"/>
    <w:rsid w:val="00F13415"/>
    <w:rsid w:val="00F4474D"/>
    <w:rsid w:val="00F65BD3"/>
    <w:rsid w:val="00F72000"/>
    <w:rsid w:val="00FB2866"/>
    <w:rsid w:val="00FC41B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30F1C5"/>
  <w15:docId w15:val="{F4775CEB-6D49-B74F-A3F5-FFCB24F88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3024"/>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LineNumber">
    <w:name w:val="line number"/>
    <w:basedOn w:val="DefaultParagraphFont"/>
    <w:uiPriority w:val="99"/>
    <w:semiHidden/>
    <w:unhideWhenUsed/>
    <w:rsid w:val="00855D75"/>
  </w:style>
  <w:style w:type="paragraph" w:styleId="Revision">
    <w:name w:val="Revision"/>
    <w:hidden/>
    <w:uiPriority w:val="99"/>
    <w:semiHidden/>
    <w:rsid w:val="00B6612D"/>
    <w:pPr>
      <w:spacing w:line="240" w:lineRule="auto"/>
    </w:pPr>
  </w:style>
  <w:style w:type="paragraph" w:styleId="BodyText">
    <w:name w:val="Body Text"/>
    <w:basedOn w:val="Normal"/>
    <w:link w:val="BodyTextChar"/>
    <w:uiPriority w:val="99"/>
    <w:semiHidden/>
    <w:unhideWhenUsed/>
    <w:rsid w:val="001F6F53"/>
    <w:pPr>
      <w:spacing w:after="120"/>
    </w:pPr>
  </w:style>
  <w:style w:type="character" w:customStyle="1" w:styleId="BodyTextChar">
    <w:name w:val="Body Text Char"/>
    <w:basedOn w:val="DefaultParagraphFont"/>
    <w:link w:val="BodyText"/>
    <w:uiPriority w:val="99"/>
    <w:semiHidden/>
    <w:rsid w:val="001F6F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E5A89C-E34A-2E4E-8ABA-76799D26C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9</Pages>
  <Words>994</Words>
  <Characters>5658</Characters>
  <Application>Microsoft Office Word</Application>
  <DocSecurity>0</DocSecurity>
  <Lines>91</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Basel Abuaita</cp:lastModifiedBy>
  <cp:revision>10</cp:revision>
  <cp:lastPrinted>2025-12-03T11:52:00Z</cp:lastPrinted>
  <dcterms:created xsi:type="dcterms:W3CDTF">2025-12-14T12:48:00Z</dcterms:created>
  <dcterms:modified xsi:type="dcterms:W3CDTF">2025-12-14T17:16:00Z</dcterms:modified>
</cp:coreProperties>
</file>