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E2B7" w14:textId="456F0585" w:rsidR="008B38FA" w:rsidRPr="00233320" w:rsidRDefault="008B38FA" w:rsidP="008B3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8FA">
        <w:rPr>
          <w:rFonts w:ascii="Times New Roman" w:hAnsi="Times New Roman" w:cs="Times New Roman" w:hint="eastAsia"/>
          <w:b/>
          <w:bCs/>
          <w:sz w:val="24"/>
          <w:szCs w:val="24"/>
        </w:rPr>
        <w:t>Supplement 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</w:t>
      </w:r>
      <w:r w:rsidRPr="005745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he elements of behavioral change based on the </w:t>
      </w:r>
      <w:proofErr w:type="spellStart"/>
      <w:r w:rsidRPr="00574555">
        <w:rPr>
          <w:rFonts w:ascii="Times New Roman" w:hAnsi="Times New Roman" w:cs="Times New Roman" w:hint="eastAsia"/>
          <w:b/>
          <w:bCs/>
          <w:sz w:val="24"/>
          <w:szCs w:val="24"/>
        </w:rPr>
        <w:t>BCW</w:t>
      </w:r>
      <w:proofErr w:type="spellEnd"/>
      <w:r w:rsidRPr="0057455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theory</w:t>
      </w:r>
    </w:p>
    <w:tbl>
      <w:tblPr>
        <w:tblStyle w:val="71"/>
        <w:tblW w:w="5000" w:type="pct"/>
        <w:jc w:val="center"/>
        <w:tblLook w:val="04A0" w:firstRow="1" w:lastRow="0" w:firstColumn="1" w:lastColumn="0" w:noHBand="0" w:noVBand="1"/>
      </w:tblPr>
      <w:tblGrid>
        <w:gridCol w:w="1396"/>
        <w:gridCol w:w="2569"/>
        <w:gridCol w:w="3261"/>
        <w:gridCol w:w="1983"/>
        <w:gridCol w:w="2184"/>
        <w:gridCol w:w="2555"/>
      </w:tblGrid>
      <w:tr w:rsidR="008B38FA" w:rsidRPr="005014EB" w14:paraId="0A2DF03A" w14:textId="77777777" w:rsidTr="006B04A8">
        <w:trPr>
          <w:trHeight w:val="1053"/>
          <w:jc w:val="center"/>
        </w:trPr>
        <w:tc>
          <w:tcPr>
            <w:tcW w:w="500" w:type="pct"/>
            <w:shd w:val="clear" w:color="auto" w:fill="C1E4F5" w:themeFill="accent1" w:themeFillTint="33"/>
          </w:tcPr>
          <w:p w14:paraId="36427740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COM-B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component</w:t>
            </w:r>
          </w:p>
        </w:tc>
        <w:tc>
          <w:tcPr>
            <w:tcW w:w="921" w:type="pct"/>
            <w:shd w:val="clear" w:color="auto" w:fill="C1E4F5" w:themeFill="accent1" w:themeFillTint="33"/>
          </w:tcPr>
          <w:p w14:paraId="2EE593E3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Barrier (B) or facilitator (F)</w:t>
            </w:r>
          </w:p>
        </w:tc>
        <w:tc>
          <w:tcPr>
            <w:tcW w:w="1169" w:type="pct"/>
            <w:shd w:val="clear" w:color="auto" w:fill="C1E4F5" w:themeFill="accent1" w:themeFillTint="33"/>
          </w:tcPr>
          <w:p w14:paraId="386749CD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Intervention</w:t>
            </w:r>
          </w:p>
          <w:p w14:paraId="6D870B3F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goals</w:t>
            </w:r>
          </w:p>
        </w:tc>
        <w:tc>
          <w:tcPr>
            <w:tcW w:w="711" w:type="pct"/>
            <w:shd w:val="clear" w:color="auto" w:fill="C1E4F5" w:themeFill="accent1" w:themeFillTint="33"/>
          </w:tcPr>
          <w:p w14:paraId="70C75E8E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Intervention</w:t>
            </w:r>
          </w:p>
          <w:p w14:paraId="2B83525E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function</w:t>
            </w:r>
          </w:p>
        </w:tc>
        <w:tc>
          <w:tcPr>
            <w:tcW w:w="783" w:type="pct"/>
            <w:shd w:val="clear" w:color="auto" w:fill="C1E4F5" w:themeFill="accent1" w:themeFillTint="33"/>
          </w:tcPr>
          <w:p w14:paraId="67FB9F76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Behavior change techniques</w:t>
            </w: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proofErr w:type="spellStart"/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BCTs</w:t>
            </w:r>
            <w:proofErr w:type="spellEnd"/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916" w:type="pct"/>
            <w:shd w:val="clear" w:color="auto" w:fill="C1E4F5" w:themeFill="accent1" w:themeFillTint="33"/>
          </w:tcPr>
          <w:p w14:paraId="3B215E5D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none"/>
              </w:rPr>
              <w:t>Policy categories</w:t>
            </w:r>
          </w:p>
        </w:tc>
      </w:tr>
      <w:tr w:rsidR="008B38FA" w:rsidRPr="005014EB" w14:paraId="4619E004" w14:textId="77777777" w:rsidTr="006B04A8">
        <w:trPr>
          <w:trHeight w:val="878"/>
          <w:jc w:val="center"/>
        </w:trPr>
        <w:tc>
          <w:tcPr>
            <w:tcW w:w="500" w:type="pct"/>
            <w:shd w:val="clear" w:color="auto" w:fill="B3E5A1" w:themeFill="accent6" w:themeFillTint="66"/>
          </w:tcPr>
          <w:p w14:paraId="1F659DC4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Psychological</w:t>
            </w:r>
          </w:p>
          <w:p w14:paraId="186220A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capability</w:t>
            </w:r>
          </w:p>
        </w:tc>
        <w:tc>
          <w:tcPr>
            <w:tcW w:w="921" w:type="pct"/>
          </w:tcPr>
          <w:p w14:paraId="078A6B5A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Lack of sexual health knowledge and skills(F)</w:t>
            </w:r>
          </w:p>
        </w:tc>
        <w:tc>
          <w:tcPr>
            <w:tcW w:w="1169" w:type="pct"/>
          </w:tcPr>
          <w:p w14:paraId="64450B46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Providing sex-related professional knowledge, skills,  and continuous knowledge acquisition</w:t>
            </w:r>
          </w:p>
        </w:tc>
        <w:tc>
          <w:tcPr>
            <w:tcW w:w="711" w:type="pct"/>
          </w:tcPr>
          <w:p w14:paraId="47CE6362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Education</w:t>
            </w:r>
          </w:p>
          <w:p w14:paraId="53C7701B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Training</w:t>
            </w:r>
          </w:p>
        </w:tc>
        <w:tc>
          <w:tcPr>
            <w:tcW w:w="783" w:type="pct"/>
          </w:tcPr>
          <w:p w14:paraId="25249CEB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Provides information on health benefits,</w:t>
            </w:r>
          </w:p>
          <w:p w14:paraId="08A4A67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Behavioral exercises</w:t>
            </w:r>
          </w:p>
        </w:tc>
        <w:tc>
          <w:tcPr>
            <w:tcW w:w="916" w:type="pct"/>
          </w:tcPr>
          <w:p w14:paraId="2F91B99B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Communication/Marketing,</w:t>
            </w:r>
          </w:p>
          <w:p w14:paraId="048A3B84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Guidelines</w:t>
            </w:r>
          </w:p>
        </w:tc>
      </w:tr>
      <w:tr w:rsidR="008B38FA" w:rsidRPr="005014EB" w14:paraId="36D9164E" w14:textId="77777777" w:rsidTr="006B04A8">
        <w:trPr>
          <w:trHeight w:val="697"/>
          <w:jc w:val="center"/>
        </w:trPr>
        <w:tc>
          <w:tcPr>
            <w:tcW w:w="500" w:type="pct"/>
            <w:shd w:val="clear" w:color="auto" w:fill="B3E5A1" w:themeFill="accent6" w:themeFillTint="66"/>
          </w:tcPr>
          <w:p w14:paraId="69B3C19B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Physical</w:t>
            </w:r>
          </w:p>
          <w:p w14:paraId="30175471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capability</w:t>
            </w:r>
          </w:p>
        </w:tc>
        <w:tc>
          <w:tcPr>
            <w:tcW w:w="921" w:type="pct"/>
          </w:tcPr>
          <w:p w14:paraId="0A0F3391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Characteristic attraction and favorable feelings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69" w:type="pct"/>
          </w:tcPr>
          <w:p w14:paraId="043A0437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Correctly understanding attractiveness</w:t>
            </w:r>
          </w:p>
        </w:tc>
        <w:tc>
          <w:tcPr>
            <w:tcW w:w="711" w:type="pct"/>
          </w:tcPr>
          <w:p w14:paraId="40C070D8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Training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Enablement</w:t>
            </w:r>
          </w:p>
        </w:tc>
        <w:tc>
          <w:tcPr>
            <w:tcW w:w="783" w:type="pct"/>
          </w:tcPr>
          <w:p w14:paraId="31B5F785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behavioral demonstration,</w:t>
            </w:r>
          </w:p>
          <w:p w14:paraId="2CE5761F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Self-monitoring</w:t>
            </w:r>
          </w:p>
        </w:tc>
        <w:tc>
          <w:tcPr>
            <w:tcW w:w="916" w:type="pct"/>
          </w:tcPr>
          <w:p w14:paraId="79F13DB4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Guidelines,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Service provision</w:t>
            </w:r>
          </w:p>
        </w:tc>
      </w:tr>
      <w:tr w:rsidR="008B38FA" w:rsidRPr="005014EB" w14:paraId="0CDEFDE2" w14:textId="77777777" w:rsidTr="006B04A8">
        <w:trPr>
          <w:trHeight w:val="1259"/>
          <w:jc w:val="center"/>
        </w:trPr>
        <w:tc>
          <w:tcPr>
            <w:tcW w:w="500" w:type="pct"/>
            <w:shd w:val="clear" w:color="auto" w:fill="B3E5A1" w:themeFill="accent6" w:themeFillTint="66"/>
          </w:tcPr>
          <w:p w14:paraId="4139882D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Automatic motivation</w:t>
            </w:r>
          </w:p>
        </w:tc>
        <w:tc>
          <w:tcPr>
            <w:tcW w:w="921" w:type="pct"/>
          </w:tcPr>
          <w:p w14:paraId="5729F805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Sensation seeking and impulsivity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  <w:p w14:paraId="001CB136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Maintenance of "intimate relationships "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69" w:type="pct"/>
          </w:tcPr>
          <w:p w14:paraId="67C70C7A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Identifying sexual impulses and coping strategies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；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and establishing and maintaining normal intimate relationships</w:t>
            </w:r>
          </w:p>
        </w:tc>
        <w:tc>
          <w:tcPr>
            <w:tcW w:w="711" w:type="pct"/>
          </w:tcPr>
          <w:p w14:paraId="5A369670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Persuasion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Training</w:t>
            </w:r>
          </w:p>
          <w:p w14:paraId="7B36210C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sz w:val="21"/>
                <w:szCs w:val="21"/>
                <w14:ligatures w14:val="none"/>
              </w:rPr>
              <w:t>Modeling</w:t>
            </w:r>
          </w:p>
        </w:tc>
        <w:tc>
          <w:tcPr>
            <w:tcW w:w="783" w:type="pct"/>
          </w:tcPr>
          <w:p w14:paraId="669ECBCF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verbal persuasion,</w:t>
            </w:r>
          </w:p>
          <w:p w14:paraId="74FDA72D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Behavioral exercises and demonstrations</w:t>
            </w:r>
          </w:p>
        </w:tc>
        <w:tc>
          <w:tcPr>
            <w:tcW w:w="916" w:type="pct"/>
          </w:tcPr>
          <w:p w14:paraId="42036787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Communication/Marketing,</w:t>
            </w:r>
          </w:p>
          <w:p w14:paraId="17A77B64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Guidelines,</w:t>
            </w:r>
          </w:p>
          <w:p w14:paraId="0F355A89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Regulation</w:t>
            </w:r>
          </w:p>
        </w:tc>
      </w:tr>
      <w:tr w:rsidR="008B38FA" w:rsidRPr="005014EB" w14:paraId="1465E5FC" w14:textId="77777777" w:rsidTr="006B04A8">
        <w:trPr>
          <w:trHeight w:val="979"/>
          <w:jc w:val="center"/>
        </w:trPr>
        <w:tc>
          <w:tcPr>
            <w:tcW w:w="500" w:type="pct"/>
            <w:shd w:val="clear" w:color="auto" w:fill="B3E5A1" w:themeFill="accent6" w:themeFillTint="66"/>
          </w:tcPr>
          <w:p w14:paraId="61BE7ED9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Reflective motivation</w:t>
            </w:r>
          </w:p>
        </w:tc>
        <w:tc>
          <w:tcPr>
            <w:tcW w:w="921" w:type="pct"/>
          </w:tcPr>
          <w:p w14:paraId="64152A1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Reflection and sense of responsibility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69" w:type="pct"/>
          </w:tcPr>
          <w:p w14:paraId="1AFBA2D9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Enhancing the ability to judge risky sexual behaviors and reflect on their adverse consequences</w:t>
            </w:r>
          </w:p>
        </w:tc>
        <w:tc>
          <w:tcPr>
            <w:tcW w:w="711" w:type="pct"/>
          </w:tcPr>
          <w:p w14:paraId="42A31C0C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Incentivization Education</w:t>
            </w:r>
          </w:p>
        </w:tc>
        <w:tc>
          <w:tcPr>
            <w:tcW w:w="783" w:type="pct"/>
          </w:tcPr>
          <w:p w14:paraId="0677E19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Incentivization,</w:t>
            </w:r>
          </w:p>
          <w:p w14:paraId="401505B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Provide information on health outcomes</w:t>
            </w:r>
          </w:p>
        </w:tc>
        <w:tc>
          <w:tcPr>
            <w:tcW w:w="916" w:type="pct"/>
          </w:tcPr>
          <w:p w14:paraId="01880982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Communication/Marketing,</w:t>
            </w:r>
          </w:p>
          <w:p w14:paraId="5AE16829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Guidelines</w:t>
            </w:r>
          </w:p>
        </w:tc>
      </w:tr>
      <w:tr w:rsidR="008B38FA" w:rsidRPr="005014EB" w14:paraId="08C80B97" w14:textId="77777777" w:rsidTr="006B04A8">
        <w:trPr>
          <w:trHeight w:val="1276"/>
          <w:jc w:val="center"/>
        </w:trPr>
        <w:tc>
          <w:tcPr>
            <w:tcW w:w="500" w:type="pct"/>
            <w:shd w:val="clear" w:color="auto" w:fill="B3E5A1" w:themeFill="accent6" w:themeFillTint="66"/>
          </w:tcPr>
          <w:p w14:paraId="2434A182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Physical opportunity</w:t>
            </w:r>
          </w:p>
        </w:tc>
        <w:tc>
          <w:tcPr>
            <w:tcW w:w="921" w:type="pct"/>
          </w:tcPr>
          <w:p w14:paraId="1224AB1B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Risky situations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69" w:type="pct"/>
          </w:tcPr>
          <w:p w14:paraId="23C4EB19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Learning to assess and identify sexual risk factors, sudden sexual situations, and corresponding handling methods</w:t>
            </w:r>
          </w:p>
        </w:tc>
        <w:tc>
          <w:tcPr>
            <w:tcW w:w="711" w:type="pct"/>
          </w:tcPr>
          <w:p w14:paraId="547BF213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Restriction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Training</w:t>
            </w:r>
          </w:p>
        </w:tc>
        <w:tc>
          <w:tcPr>
            <w:tcW w:w="783" w:type="pct"/>
          </w:tcPr>
          <w:p w14:paraId="3202B47F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  <w14:ligatures w14:val="none"/>
              </w:rPr>
              <w:t>O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utcome goal setting,</w:t>
            </w:r>
          </w:p>
          <w:p w14:paraId="2CD32DB3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Behavioral exercises</w:t>
            </w:r>
          </w:p>
        </w:tc>
        <w:tc>
          <w:tcPr>
            <w:tcW w:w="916" w:type="pct"/>
          </w:tcPr>
          <w:p w14:paraId="3C8D0365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Legislation, Guidelines</w:t>
            </w:r>
          </w:p>
        </w:tc>
      </w:tr>
      <w:tr w:rsidR="008B38FA" w:rsidRPr="005014EB" w14:paraId="5159C531" w14:textId="77777777" w:rsidTr="006B04A8">
        <w:trPr>
          <w:trHeight w:val="1124"/>
          <w:jc w:val="center"/>
        </w:trPr>
        <w:tc>
          <w:tcPr>
            <w:tcW w:w="500" w:type="pct"/>
            <w:shd w:val="clear" w:color="auto" w:fill="B3E5A1" w:themeFill="accent6" w:themeFillTint="66"/>
          </w:tcPr>
          <w:p w14:paraId="7D7167C9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Social opportunity</w:t>
            </w:r>
          </w:p>
        </w:tc>
        <w:tc>
          <w:tcPr>
            <w:tcW w:w="921" w:type="pct"/>
          </w:tcPr>
          <w:p w14:paraId="02A7724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Limited access to resources and services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F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  <w:p w14:paraId="6CD6A7D6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Regular sexual partners and interpersonal support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（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B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69" w:type="pct"/>
          </w:tcPr>
          <w:p w14:paraId="01F1AB7E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Providing sexual health service resources; and strengthening peer and interpersonal support</w:t>
            </w:r>
          </w:p>
        </w:tc>
        <w:tc>
          <w:tcPr>
            <w:tcW w:w="711" w:type="pct"/>
          </w:tcPr>
          <w:p w14:paraId="2F4CB6CC" w14:textId="77777777" w:rsidR="008B38FA" w:rsidRPr="00233320" w:rsidRDefault="008B38FA" w:rsidP="006B04A8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Environmental restructuring,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Enablement</w:t>
            </w:r>
          </w:p>
        </w:tc>
        <w:tc>
          <w:tcPr>
            <w:tcW w:w="783" w:type="pct"/>
          </w:tcPr>
          <w:p w14:paraId="2D0D8887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rebuilding the social environment,</w:t>
            </w:r>
          </w:p>
          <w:p w14:paraId="7B3B7A68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Imagine success.</w:t>
            </w:r>
          </w:p>
        </w:tc>
        <w:tc>
          <w:tcPr>
            <w:tcW w:w="916" w:type="pct"/>
          </w:tcPr>
          <w:p w14:paraId="33D3E00B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Environmental/</w:t>
            </w:r>
          </w:p>
          <w:p w14:paraId="6246CE00" w14:textId="77777777" w:rsidR="008B38FA" w:rsidRPr="00233320" w:rsidRDefault="008B38FA" w:rsidP="006B04A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social planning,</w:t>
            </w:r>
            <w:r w:rsidRPr="0023332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3320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Service provision</w:t>
            </w:r>
          </w:p>
        </w:tc>
      </w:tr>
    </w:tbl>
    <w:p w14:paraId="492D6DB6" w14:textId="77777777" w:rsidR="00FA6DE1" w:rsidRPr="008B38FA" w:rsidRDefault="00FA6DE1">
      <w:pPr>
        <w:rPr>
          <w:rFonts w:hint="eastAsia"/>
        </w:rPr>
      </w:pPr>
    </w:p>
    <w:sectPr w:rsidR="00FA6DE1" w:rsidRPr="008B38FA" w:rsidSect="008B38F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FA"/>
    <w:rsid w:val="00106D27"/>
    <w:rsid w:val="004F4802"/>
    <w:rsid w:val="008B38FA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4536"/>
  <w15:chartTrackingRefBased/>
  <w15:docId w15:val="{4C845F3F-9C6B-4707-9E57-BCBCBCB2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8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8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8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8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8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8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8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8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8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8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38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8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8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8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8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8FA"/>
    <w:rPr>
      <w:b/>
      <w:bCs/>
      <w:smallCaps/>
      <w:color w:val="0F4761" w:themeColor="accent1" w:themeShade="BF"/>
      <w:spacing w:val="5"/>
    </w:rPr>
  </w:style>
  <w:style w:type="table" w:customStyle="1" w:styleId="71">
    <w:name w:val="网格型7"/>
    <w:basedOn w:val="a1"/>
    <w:uiPriority w:val="39"/>
    <w:qFormat/>
    <w:rsid w:val="008B38FA"/>
    <w:rPr>
      <w:rFonts w:ascii="等线" w:eastAsia="等线" w:hAnsi="等线" w:cs="Times New Roman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</dc:creator>
  <cp:keywords/>
  <dc:description/>
  <cp:lastModifiedBy>张慧</cp:lastModifiedBy>
  <cp:revision>1</cp:revision>
  <dcterms:created xsi:type="dcterms:W3CDTF">2025-11-28T06:42:00Z</dcterms:created>
  <dcterms:modified xsi:type="dcterms:W3CDTF">2025-11-28T06:43:00Z</dcterms:modified>
</cp:coreProperties>
</file>