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88EC" w14:textId="77777777" w:rsidR="00504EB2" w:rsidRPr="001F607C" w:rsidRDefault="00504EB2" w:rsidP="00504EB2">
      <w:pPr>
        <w:spacing w:line="360" w:lineRule="auto"/>
        <w:rPr>
          <w:rFonts w:ascii="Times New Roman" w:hAnsi="Times New Roman" w:cs="Times New Roman"/>
          <w:b/>
          <w:bCs/>
          <w:sz w:val="32"/>
          <w:szCs w:val="32"/>
        </w:rPr>
      </w:pPr>
      <w:r w:rsidRPr="001F607C">
        <w:rPr>
          <w:rFonts w:ascii="Times New Roman" w:hAnsi="Times New Roman" w:cs="Times New Roman"/>
          <w:b/>
          <w:bCs/>
          <w:sz w:val="32"/>
          <w:szCs w:val="32"/>
        </w:rPr>
        <w:t>Detailed Clinical Course of the Illustrative Case</w:t>
      </w:r>
    </w:p>
    <w:p w14:paraId="1A85C2B5" w14:textId="7169E271" w:rsidR="00EF28D6" w:rsidRPr="001F607C" w:rsidRDefault="00EF28D6" w:rsidP="00504EB2">
      <w:pPr>
        <w:spacing w:line="360" w:lineRule="auto"/>
        <w:rPr>
          <w:rFonts w:ascii="Times New Roman" w:hAnsi="Times New Roman" w:cs="Times New Roman" w:hint="eastAsia"/>
          <w:szCs w:val="22"/>
        </w:rPr>
      </w:pPr>
      <w:r w:rsidRPr="001F607C">
        <w:rPr>
          <w:rFonts w:ascii="Times New Roman" w:hAnsi="Times New Roman" w:cs="Times New Roman"/>
          <w:szCs w:val="22"/>
        </w:rPr>
        <w:t xml:space="preserve">The patient was a 58-year-old woman (height 1.54 m, weight 59 kg) who was admitted on August 7, 2024, with a 3-day history of left-sided flank and abdominal discomfort. </w:t>
      </w:r>
      <w:bookmarkStart w:id="0" w:name="_Hlk216500461"/>
      <w:r w:rsidRPr="001F607C">
        <w:rPr>
          <w:rFonts w:ascii="Times New Roman" w:hAnsi="Times New Roman" w:cs="Times New Roman"/>
          <w:szCs w:val="22"/>
        </w:rPr>
        <w:t xml:space="preserve">Non–contrast-enhanced </w:t>
      </w:r>
      <w:r w:rsidR="00504EB2" w:rsidRPr="001F607C">
        <w:rPr>
          <w:rFonts w:ascii="Times New Roman" w:hAnsi="Times New Roman" w:cs="Times New Roman"/>
          <w:szCs w:val="22"/>
        </w:rPr>
        <w:t xml:space="preserve">abdominal </w:t>
      </w:r>
      <w:r w:rsidRPr="001F607C">
        <w:rPr>
          <w:rFonts w:ascii="Times New Roman" w:hAnsi="Times New Roman" w:cs="Times New Roman"/>
          <w:szCs w:val="22"/>
        </w:rPr>
        <w:t>computed tomography</w:t>
      </w:r>
      <w:bookmarkEnd w:id="0"/>
      <w:r w:rsidR="008C3C75" w:rsidRPr="001F607C">
        <w:rPr>
          <w:rFonts w:ascii="Times New Roman" w:hAnsi="Times New Roman" w:cs="Times New Roman"/>
          <w:szCs w:val="22"/>
        </w:rPr>
        <w:t xml:space="preserve"> (CT)</w:t>
      </w:r>
      <w:r w:rsidRPr="001F607C">
        <w:rPr>
          <w:rFonts w:ascii="Times New Roman" w:hAnsi="Times New Roman" w:cs="Times New Roman"/>
          <w:szCs w:val="22"/>
        </w:rPr>
        <w:t xml:space="preserve"> </w:t>
      </w:r>
      <w:r w:rsidR="00504EB2" w:rsidRPr="001F607C">
        <w:rPr>
          <w:rFonts w:ascii="Times New Roman" w:hAnsi="Times New Roman" w:cs="Times New Roman"/>
          <w:szCs w:val="22"/>
        </w:rPr>
        <w:t xml:space="preserve">demonstrated a stone located at the left ureteropelvic junction, accompanied by </w:t>
      </w:r>
      <w:bookmarkStart w:id="1" w:name="_Hlk216500656"/>
      <w:r w:rsidR="00504EB2" w:rsidRPr="001F607C">
        <w:rPr>
          <w:rFonts w:ascii="Times New Roman" w:hAnsi="Times New Roman" w:cs="Times New Roman"/>
          <w:szCs w:val="22"/>
        </w:rPr>
        <w:t>ipsilateral hydronephrosis</w:t>
      </w:r>
      <w:bookmarkEnd w:id="1"/>
      <w:r w:rsidR="008C3C75" w:rsidRPr="001F607C">
        <w:rPr>
          <w:rFonts w:ascii="Times New Roman" w:hAnsi="Times New Roman" w:cs="Times New Roman"/>
          <w:szCs w:val="22"/>
        </w:rPr>
        <w:t xml:space="preserve"> (</w:t>
      </w:r>
      <w:bookmarkStart w:id="2" w:name="_Hlk216497946"/>
      <w:bookmarkStart w:id="3" w:name="_Hlk216497963"/>
      <w:r w:rsidR="008C3C75" w:rsidRPr="001F607C">
        <w:rPr>
          <w:rFonts w:ascii="Times New Roman" w:hAnsi="Times New Roman" w:cs="Times New Roman"/>
          <w:szCs w:val="22"/>
        </w:rPr>
        <w:t xml:space="preserve">Supplementary Figure S1 </w:t>
      </w:r>
      <w:bookmarkEnd w:id="2"/>
      <w:r w:rsidR="008C3C75" w:rsidRPr="001F607C">
        <w:rPr>
          <w:rFonts w:ascii="Times New Roman" w:hAnsi="Times New Roman" w:cs="Times New Roman"/>
          <w:szCs w:val="22"/>
        </w:rPr>
        <w:t>and Supplementary Video S1</w:t>
      </w:r>
      <w:bookmarkEnd w:id="3"/>
      <w:r w:rsidR="008C3C75" w:rsidRPr="001F607C">
        <w:rPr>
          <w:rFonts w:ascii="Times New Roman" w:hAnsi="Times New Roman" w:cs="Times New Roman"/>
          <w:szCs w:val="22"/>
        </w:rPr>
        <w:t>)</w:t>
      </w:r>
      <w:r w:rsidRPr="001F607C">
        <w:rPr>
          <w:rFonts w:ascii="Times New Roman" w:hAnsi="Times New Roman" w:cs="Times New Roman"/>
          <w:szCs w:val="22"/>
        </w:rPr>
        <w:t>. The stone measured 16.3 × 9.0 × 4.9 mm, with a mean attenuation value of 1382 Hounsfield units.</w:t>
      </w:r>
      <w:r w:rsidR="001F607C" w:rsidRPr="001F607C">
        <w:rPr>
          <w:rFonts w:ascii="Times New Roman" w:hAnsi="Times New Roman" w:cs="Times New Roman"/>
          <w:szCs w:val="22"/>
        </w:rPr>
        <w:t xml:space="preserve"> </w:t>
      </w:r>
      <w:r w:rsidR="001F607C" w:rsidRPr="001F607C">
        <w:rPr>
          <w:rFonts w:ascii="Times New Roman" w:hAnsi="Times New Roman" w:cs="Times New Roman"/>
          <w:szCs w:val="22"/>
        </w:rPr>
        <w:t>No prior abdominal surgery or known gastrointestinal disease was documented. Preoperative laboratory evaluation and anesthetic assessment did not reveal contraindications to surgical intervention.</w:t>
      </w:r>
    </w:p>
    <w:p w14:paraId="71B1F113" w14:textId="03436570" w:rsidR="00010805" w:rsidRPr="001F607C" w:rsidRDefault="00010805" w:rsidP="00504EB2">
      <w:pPr>
        <w:spacing w:line="360" w:lineRule="auto"/>
        <w:rPr>
          <w:rFonts w:ascii="Times New Roman" w:hAnsi="Times New Roman" w:cs="Times New Roman"/>
          <w:szCs w:val="22"/>
        </w:rPr>
      </w:pPr>
      <w:r w:rsidRPr="001F607C">
        <w:rPr>
          <w:rFonts w:ascii="Times New Roman" w:hAnsi="Times New Roman" w:cs="Times New Roman"/>
          <w:noProof/>
          <w:szCs w:val="22"/>
        </w:rPr>
        <w:drawing>
          <wp:inline distT="0" distB="0" distL="0" distR="0" wp14:anchorId="4B972EF6" wp14:editId="7ED4ED5A">
            <wp:extent cx="5274310" cy="2294890"/>
            <wp:effectExtent l="0" t="0" r="0" b="3810"/>
            <wp:docPr id="14782849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84938" name="图片 14782849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294890"/>
                    </a:xfrm>
                    <a:prstGeom prst="rect">
                      <a:avLst/>
                    </a:prstGeom>
                  </pic:spPr>
                </pic:pic>
              </a:graphicData>
            </a:graphic>
          </wp:inline>
        </w:drawing>
      </w:r>
    </w:p>
    <w:p w14:paraId="0C62B7A5" w14:textId="2FB467BA" w:rsidR="00010805" w:rsidRPr="001F607C" w:rsidRDefault="00010805" w:rsidP="00504EB2">
      <w:pPr>
        <w:spacing w:line="360" w:lineRule="auto"/>
        <w:rPr>
          <w:rFonts w:ascii="Times New Roman" w:hAnsi="Times New Roman" w:cs="Times New Roman"/>
          <w:szCs w:val="22"/>
        </w:rPr>
      </w:pPr>
      <w:r w:rsidRPr="001F607C">
        <w:rPr>
          <w:rFonts w:ascii="Times New Roman" w:hAnsi="Times New Roman" w:cs="Times New Roman"/>
          <w:szCs w:val="22"/>
        </w:rPr>
        <w:t>Supplementary</w:t>
      </w:r>
      <w:r w:rsidRPr="001F607C">
        <w:rPr>
          <w:rFonts w:ascii="Times New Roman" w:hAnsi="Times New Roman" w:cs="Times New Roman" w:hint="eastAsia"/>
          <w:szCs w:val="22"/>
        </w:rPr>
        <w:t xml:space="preserve"> </w:t>
      </w:r>
      <w:r w:rsidRPr="001F607C">
        <w:rPr>
          <w:rFonts w:ascii="Times New Roman" w:hAnsi="Times New Roman" w:cs="Times New Roman"/>
          <w:szCs w:val="22"/>
        </w:rPr>
        <w:t>Figure S1: Preoperative non–contrast-enhanced abdominal CT showing a left ureteropelvic junction stone (white arrows) on axial (A) and coronal (B) images.</w:t>
      </w:r>
    </w:p>
    <w:p w14:paraId="0B86C98B" w14:textId="3A9D674A" w:rsidR="00EF28D6" w:rsidRPr="001F607C" w:rsidRDefault="00EF28D6" w:rsidP="00504EB2">
      <w:pPr>
        <w:spacing w:line="360" w:lineRule="auto"/>
        <w:rPr>
          <w:rFonts w:ascii="Times New Roman" w:hAnsi="Times New Roman" w:cs="Times New Roman"/>
          <w:szCs w:val="22"/>
        </w:rPr>
      </w:pPr>
      <w:r w:rsidRPr="001F607C">
        <w:rPr>
          <w:rFonts w:ascii="Times New Roman" w:hAnsi="Times New Roman" w:cs="Times New Roman"/>
          <w:szCs w:val="22"/>
        </w:rPr>
        <w:t>On August 8, 2024, the patient underwent left-sided percutaneous nephrolithotomy</w:t>
      </w:r>
      <w:r w:rsidR="001F607C">
        <w:rPr>
          <w:rFonts w:ascii="Times New Roman" w:hAnsi="Times New Roman" w:cs="Times New Roman"/>
          <w:szCs w:val="22"/>
        </w:rPr>
        <w:t xml:space="preserve"> (PCNL)</w:t>
      </w:r>
      <w:r w:rsidRPr="001F607C">
        <w:rPr>
          <w:rFonts w:ascii="Times New Roman" w:hAnsi="Times New Roman" w:cs="Times New Roman"/>
          <w:szCs w:val="22"/>
        </w:rPr>
        <w:t xml:space="preserve"> under general anesthesia.</w:t>
      </w:r>
      <w:bookmarkStart w:id="4" w:name="_Hlk216498172"/>
      <w:r w:rsidRPr="001F607C">
        <w:rPr>
          <w:rFonts w:ascii="Times New Roman" w:hAnsi="Times New Roman" w:cs="Times New Roman"/>
          <w:szCs w:val="22"/>
        </w:rPr>
        <w:t xml:space="preserve"> A </w:t>
      </w:r>
      <w:r w:rsidR="008C3C75" w:rsidRPr="001F607C">
        <w:rPr>
          <w:rFonts w:ascii="Times New Roman" w:hAnsi="Times New Roman" w:cs="Times New Roman"/>
          <w:szCs w:val="22"/>
        </w:rPr>
        <w:t>6-</w:t>
      </w:r>
      <w:r w:rsidRPr="001F607C">
        <w:rPr>
          <w:rFonts w:ascii="Times New Roman" w:hAnsi="Times New Roman" w:cs="Times New Roman"/>
          <w:szCs w:val="22"/>
        </w:rPr>
        <w:t>Fr</w:t>
      </w:r>
      <w:bookmarkEnd w:id="4"/>
      <w:r w:rsidRPr="001F607C">
        <w:rPr>
          <w:rFonts w:ascii="Times New Roman" w:hAnsi="Times New Roman" w:cs="Times New Roman"/>
          <w:szCs w:val="22"/>
        </w:rPr>
        <w:t xml:space="preserve"> ureteral catheter was first placed cystoscopically, after which the patient was repositioned prone. Ultrasound-guided puncture of the renal middle calyx was attempted </w:t>
      </w:r>
      <w:bookmarkStart w:id="5" w:name="_Hlk216498112"/>
      <w:r w:rsidRPr="001F607C">
        <w:rPr>
          <w:rFonts w:ascii="Times New Roman" w:hAnsi="Times New Roman" w:cs="Times New Roman"/>
          <w:szCs w:val="22"/>
        </w:rPr>
        <w:t>via a flank percutaneous approach</w:t>
      </w:r>
      <w:bookmarkEnd w:id="5"/>
      <w:r w:rsidRPr="001F607C">
        <w:rPr>
          <w:rFonts w:ascii="Times New Roman" w:hAnsi="Times New Roman" w:cs="Times New Roman"/>
          <w:szCs w:val="22"/>
        </w:rPr>
        <w:t>. After urine return was observed, a guidewire was inserted, and tract dilation was performed stepwise to 18</w:t>
      </w:r>
      <w:r w:rsidR="008C3C75" w:rsidRPr="001F607C">
        <w:rPr>
          <w:rFonts w:ascii="Times New Roman" w:hAnsi="Times New Roman" w:cs="Times New Roman"/>
          <w:szCs w:val="22"/>
        </w:rPr>
        <w:t>-</w:t>
      </w:r>
      <w:r w:rsidRPr="001F607C">
        <w:rPr>
          <w:rFonts w:ascii="Times New Roman" w:hAnsi="Times New Roman" w:cs="Times New Roman"/>
          <w:szCs w:val="22"/>
        </w:rPr>
        <w:t xml:space="preserve">Fr, </w:t>
      </w:r>
      <w:bookmarkStart w:id="6" w:name="_Hlk216498223"/>
      <w:r w:rsidRPr="001F607C">
        <w:rPr>
          <w:rFonts w:ascii="Times New Roman" w:hAnsi="Times New Roman" w:cs="Times New Roman"/>
          <w:szCs w:val="22"/>
        </w:rPr>
        <w:t xml:space="preserve">followed by placement of </w:t>
      </w:r>
      <w:bookmarkStart w:id="7" w:name="_Hlk216498300"/>
      <w:r w:rsidR="00844089" w:rsidRPr="001F607C">
        <w:rPr>
          <w:rFonts w:ascii="Times New Roman" w:hAnsi="Times New Roman" w:cs="Times New Roman"/>
          <w:szCs w:val="22"/>
        </w:rPr>
        <w:t>a nephrostomy access</w:t>
      </w:r>
      <w:r w:rsidR="008C3C75" w:rsidRPr="001F607C">
        <w:rPr>
          <w:rFonts w:ascii="Times New Roman" w:hAnsi="Times New Roman" w:cs="Times New Roman"/>
          <w:szCs w:val="22"/>
        </w:rPr>
        <w:t xml:space="preserve"> sheath</w:t>
      </w:r>
      <w:bookmarkEnd w:id="7"/>
      <w:r w:rsidRPr="001F607C">
        <w:rPr>
          <w:rFonts w:ascii="Times New Roman" w:hAnsi="Times New Roman" w:cs="Times New Roman"/>
          <w:szCs w:val="22"/>
        </w:rPr>
        <w:t>.</w:t>
      </w:r>
      <w:bookmarkEnd w:id="6"/>
      <w:r w:rsidR="00844089" w:rsidRPr="001F607C">
        <w:rPr>
          <w:rFonts w:ascii="Times New Roman" w:hAnsi="Times New Roman" w:cs="Times New Roman"/>
          <w:szCs w:val="22"/>
        </w:rPr>
        <w:t xml:space="preserve"> </w:t>
      </w:r>
      <w:proofErr w:type="spellStart"/>
      <w:proofErr w:type="gramStart"/>
      <w:r w:rsidR="00844089" w:rsidRPr="001F607C">
        <w:rPr>
          <w:rFonts w:ascii="Times New Roman" w:hAnsi="Times New Roman" w:cs="Times New Roman"/>
          <w:szCs w:val="22"/>
        </w:rPr>
        <w:t>Holmium:YAG</w:t>
      </w:r>
      <w:proofErr w:type="spellEnd"/>
      <w:proofErr w:type="gramEnd"/>
      <w:r w:rsidR="00844089" w:rsidRPr="001F607C">
        <w:rPr>
          <w:rFonts w:ascii="Times New Roman" w:hAnsi="Times New Roman" w:cs="Times New Roman"/>
          <w:szCs w:val="22"/>
        </w:rPr>
        <w:t xml:space="preserve"> laser lithotripsy was performed under direct endoscopic visualization, with successful stone fragmentation. The total operative time was approximately 95 minutes.</w:t>
      </w:r>
    </w:p>
    <w:p w14:paraId="06743A9E" w14:textId="026EF294" w:rsidR="00844089" w:rsidRPr="001F607C" w:rsidRDefault="00FB265B" w:rsidP="00504EB2">
      <w:pPr>
        <w:spacing w:line="360" w:lineRule="auto"/>
        <w:rPr>
          <w:rFonts w:ascii="Times New Roman" w:hAnsi="Times New Roman" w:cs="Times New Roman"/>
          <w:szCs w:val="22"/>
        </w:rPr>
      </w:pPr>
      <w:r w:rsidRPr="001F607C">
        <w:rPr>
          <w:rFonts w:ascii="Times New Roman" w:hAnsi="Times New Roman" w:cs="Times New Roman"/>
          <w:szCs w:val="22"/>
        </w:rPr>
        <w:t xml:space="preserve">Immediately after returning to the ward, the patient developed severe flank and abdominal </w:t>
      </w:r>
      <w:r w:rsidRPr="001F607C">
        <w:rPr>
          <w:rFonts w:ascii="Times New Roman" w:hAnsi="Times New Roman" w:cs="Times New Roman"/>
          <w:szCs w:val="22"/>
        </w:rPr>
        <w:lastRenderedPageBreak/>
        <w:t>pain that was poorly responsive to nonsteroidal anti-inflammatory analgesics. Physical examination revealed abdominal wall guarding and generalized abdominal tenderness, which was most prominent in the left abdomen.</w:t>
      </w:r>
      <w:r w:rsidR="00844089" w:rsidRPr="001F607C">
        <w:rPr>
          <w:rFonts w:ascii="Times New Roman" w:hAnsi="Times New Roman" w:cs="Times New Roman"/>
          <w:szCs w:val="22"/>
        </w:rPr>
        <w:t xml:space="preserve"> Given the atypical severity of symptoms, emergency contrast-enhanced abdominal </w:t>
      </w:r>
      <w:r w:rsidR="00504EB2" w:rsidRPr="001F607C">
        <w:rPr>
          <w:rFonts w:ascii="Times New Roman" w:hAnsi="Times New Roman" w:cs="Times New Roman" w:hint="eastAsia"/>
          <w:szCs w:val="22"/>
        </w:rPr>
        <w:t>CT</w:t>
      </w:r>
      <w:r w:rsidR="00844089" w:rsidRPr="001F607C">
        <w:rPr>
          <w:rFonts w:ascii="Times New Roman" w:hAnsi="Times New Roman" w:cs="Times New Roman"/>
          <w:szCs w:val="22"/>
        </w:rPr>
        <w:t xml:space="preserve"> was performed. Imaging demonstrated perirenal fluid accumulation and revealed that the nephrostomy tract traversed the descending colon before entering the renal collecting system via the ventral aspect of the middle calyx, consistent with colonic injury </w:t>
      </w:r>
      <w:bookmarkStart w:id="8" w:name="_Hlk216499559"/>
      <w:r w:rsidR="00844089" w:rsidRPr="001F607C">
        <w:rPr>
          <w:rFonts w:ascii="Times New Roman" w:hAnsi="Times New Roman" w:cs="Times New Roman"/>
          <w:szCs w:val="22"/>
        </w:rPr>
        <w:t>(Supplementary Figure S2A and S2D, and Supplementary Video S2).</w:t>
      </w:r>
      <w:bookmarkEnd w:id="8"/>
      <w:r w:rsidR="00AF2682" w:rsidRPr="001F607C">
        <w:rPr>
          <w:rFonts w:ascii="Times New Roman" w:hAnsi="Times New Roman" w:cs="Times New Roman"/>
          <w:szCs w:val="22"/>
        </w:rPr>
        <w:t xml:space="preserve"> Bedside abdominal ultrasonography demonstrated left-sided intraperitoneal fluid with a maximal depth of approximately 25 mm. Despite these findings, the patient remained hemodynamically stable and </w:t>
      </w:r>
      <w:bookmarkStart w:id="9" w:name="_Hlk216633442"/>
      <w:r w:rsidR="00AF2682" w:rsidRPr="001F607C">
        <w:rPr>
          <w:rFonts w:ascii="Times New Roman" w:hAnsi="Times New Roman" w:cs="Times New Roman"/>
          <w:szCs w:val="22"/>
        </w:rPr>
        <w:t>afebrile</w:t>
      </w:r>
      <w:bookmarkEnd w:id="9"/>
      <w:r w:rsidR="00AF2682" w:rsidRPr="001F607C">
        <w:rPr>
          <w:rFonts w:ascii="Times New Roman" w:hAnsi="Times New Roman" w:cs="Times New Roman"/>
          <w:szCs w:val="22"/>
        </w:rPr>
        <w:t>, with no evidence of diffuse or progressive peritonitis.</w:t>
      </w:r>
    </w:p>
    <w:p w14:paraId="6C42EC9B" w14:textId="54E390FF" w:rsidR="00EF28D6" w:rsidRPr="001F607C" w:rsidRDefault="00EF28D6" w:rsidP="00504EB2">
      <w:pPr>
        <w:spacing w:line="360" w:lineRule="auto"/>
        <w:rPr>
          <w:rFonts w:ascii="Times New Roman" w:hAnsi="Times New Roman" w:cs="Times New Roman"/>
          <w:szCs w:val="22"/>
        </w:rPr>
      </w:pPr>
      <w:r w:rsidRPr="001F607C">
        <w:rPr>
          <w:rFonts w:ascii="Times New Roman" w:hAnsi="Times New Roman" w:cs="Times New Roman"/>
          <w:szCs w:val="22"/>
        </w:rPr>
        <w:t xml:space="preserve">Conservative management was initiated, including bowel rest, gastric protection, </w:t>
      </w:r>
      <w:r w:rsidR="00AF2682" w:rsidRPr="001F607C">
        <w:rPr>
          <w:rFonts w:ascii="Times New Roman" w:hAnsi="Times New Roman" w:cs="Times New Roman"/>
          <w:szCs w:val="22"/>
        </w:rPr>
        <w:t xml:space="preserve">total </w:t>
      </w:r>
      <w:r w:rsidRPr="001F607C">
        <w:rPr>
          <w:rFonts w:ascii="Times New Roman" w:hAnsi="Times New Roman" w:cs="Times New Roman"/>
          <w:szCs w:val="22"/>
        </w:rPr>
        <w:t>parenteral nutrition, and escalation to broad-spectrum antibiotic therapy with ertapenem. The patient’s condition stabilized, and severe abdominal pain gradually resolved.</w:t>
      </w:r>
      <w:bookmarkStart w:id="10" w:name="_Hlk216500848"/>
      <w:r w:rsidRPr="001F607C">
        <w:rPr>
          <w:rFonts w:ascii="Times New Roman" w:hAnsi="Times New Roman" w:cs="Times New Roman"/>
          <w:szCs w:val="22"/>
        </w:rPr>
        <w:t xml:space="preserve"> From postoperative day 3 onward, </w:t>
      </w:r>
      <w:bookmarkStart w:id="11" w:name="_Hlk216500844"/>
      <w:r w:rsidRPr="001F607C">
        <w:rPr>
          <w:rFonts w:ascii="Times New Roman" w:hAnsi="Times New Roman" w:cs="Times New Roman"/>
          <w:szCs w:val="22"/>
        </w:rPr>
        <w:t>the patient reported no significant abdominal pain.</w:t>
      </w:r>
      <w:r w:rsidR="00504EB2" w:rsidRPr="001F607C">
        <w:rPr>
          <w:rFonts w:ascii="Times New Roman" w:hAnsi="Times New Roman" w:cs="Times New Roman" w:hint="eastAsia"/>
          <w:szCs w:val="22"/>
        </w:rPr>
        <w:t xml:space="preserve"> </w:t>
      </w:r>
      <w:r w:rsidR="00504EB2" w:rsidRPr="001F607C">
        <w:rPr>
          <w:rFonts w:ascii="Times New Roman" w:hAnsi="Times New Roman" w:cs="Times New Roman"/>
          <w:szCs w:val="22"/>
        </w:rPr>
        <w:t>On physical examination, the abdomen was soft, with no obvious abnormalities, and mild deep tenderness was present in the left flank.</w:t>
      </w:r>
    </w:p>
    <w:bookmarkEnd w:id="10"/>
    <w:bookmarkEnd w:id="11"/>
    <w:p w14:paraId="53EC39ED" w14:textId="3633550B" w:rsidR="00EF28D6" w:rsidRPr="001F607C" w:rsidRDefault="00AF2682" w:rsidP="00504EB2">
      <w:pPr>
        <w:spacing w:line="360" w:lineRule="auto"/>
        <w:rPr>
          <w:rFonts w:ascii="Times New Roman" w:hAnsi="Times New Roman" w:cs="Times New Roman"/>
          <w:szCs w:val="22"/>
        </w:rPr>
      </w:pPr>
      <w:r w:rsidRPr="001F607C">
        <w:rPr>
          <w:rFonts w:ascii="Times New Roman" w:hAnsi="Times New Roman" w:cs="Times New Roman"/>
          <w:szCs w:val="22"/>
        </w:rPr>
        <w:t xml:space="preserve">On postoperative day 6, follow-up non-contrast </w:t>
      </w:r>
      <w:bookmarkStart w:id="12" w:name="_Hlk216499528"/>
      <w:r w:rsidRPr="001F607C">
        <w:rPr>
          <w:rFonts w:ascii="Times New Roman" w:hAnsi="Times New Roman" w:cs="Times New Roman"/>
          <w:szCs w:val="22"/>
        </w:rPr>
        <w:t>abdominal CT</w:t>
      </w:r>
      <w:bookmarkEnd w:id="12"/>
      <w:r w:rsidRPr="001F607C">
        <w:rPr>
          <w:rFonts w:ascii="Times New Roman" w:hAnsi="Times New Roman" w:cs="Times New Roman"/>
          <w:szCs w:val="22"/>
        </w:rPr>
        <w:t xml:space="preserve"> was performed (</w:t>
      </w:r>
      <w:bookmarkStart w:id="13" w:name="_Hlk216499604"/>
      <w:r w:rsidRPr="001F607C">
        <w:rPr>
          <w:rFonts w:ascii="Times New Roman" w:hAnsi="Times New Roman" w:cs="Times New Roman"/>
          <w:szCs w:val="22"/>
        </w:rPr>
        <w:t>Supplementary Figure S2B and S2E, and Supplementary Video S3</w:t>
      </w:r>
      <w:bookmarkEnd w:id="13"/>
      <w:r w:rsidRPr="001F607C">
        <w:rPr>
          <w:rFonts w:ascii="Times New Roman" w:hAnsi="Times New Roman" w:cs="Times New Roman"/>
          <w:szCs w:val="22"/>
        </w:rPr>
        <w:t xml:space="preserve">). Based on serial imaging findings and measurement of the access tract length, the nephrostomy tube was withdrawn, with the tip estimated to be positioned within the colonic lumen. </w:t>
      </w:r>
      <w:r w:rsidR="00EF28D6" w:rsidRPr="001F607C">
        <w:rPr>
          <w:rFonts w:ascii="Times New Roman" w:hAnsi="Times New Roman" w:cs="Times New Roman"/>
          <w:szCs w:val="22"/>
        </w:rPr>
        <w:t>Enteral nutrition was introduced in addition to parenteral support. During this period, approximately 10 mL/day of dark green fluid was intermittently drained for two days, after which no further drainage was observed.</w:t>
      </w:r>
    </w:p>
    <w:p w14:paraId="7C2F6692" w14:textId="5DFAEF95" w:rsidR="00EF28D6" w:rsidRPr="001F607C" w:rsidRDefault="00AF2682" w:rsidP="00504EB2">
      <w:pPr>
        <w:spacing w:line="360" w:lineRule="auto"/>
        <w:rPr>
          <w:rFonts w:ascii="Times New Roman" w:hAnsi="Times New Roman" w:cs="Times New Roman"/>
          <w:szCs w:val="22"/>
        </w:rPr>
      </w:pPr>
      <w:r w:rsidRPr="001F607C">
        <w:rPr>
          <w:rFonts w:ascii="Times New Roman" w:hAnsi="Times New Roman" w:cs="Times New Roman"/>
          <w:szCs w:val="22"/>
        </w:rPr>
        <w:t>On postoperative day 15, follow-up non-contrast abdominal CT demonstrated that the nephrostomy tube had completely withdrawn from the colon, with the tube tip located within</w:t>
      </w:r>
      <w:bookmarkStart w:id="14" w:name="_Hlk216506380"/>
      <w:r w:rsidRPr="001F607C">
        <w:rPr>
          <w:rFonts w:ascii="Times New Roman" w:hAnsi="Times New Roman" w:cs="Times New Roman"/>
          <w:szCs w:val="22"/>
        </w:rPr>
        <w:t xml:space="preserve"> the paraspinal muscle layer (</w:t>
      </w:r>
      <w:bookmarkStart w:id="15" w:name="_Hlk216500273"/>
      <w:bookmarkEnd w:id="14"/>
      <w:r w:rsidRPr="001F607C">
        <w:rPr>
          <w:rFonts w:ascii="Times New Roman" w:hAnsi="Times New Roman" w:cs="Times New Roman"/>
          <w:szCs w:val="22"/>
        </w:rPr>
        <w:t>Supplementary Figure S2C</w:t>
      </w:r>
      <w:bookmarkEnd w:id="15"/>
      <w:r w:rsidRPr="001F607C">
        <w:rPr>
          <w:rFonts w:ascii="Times New Roman" w:hAnsi="Times New Roman" w:cs="Times New Roman"/>
          <w:szCs w:val="22"/>
        </w:rPr>
        <w:t xml:space="preserve"> and S2F, and Supplementary Video S4).</w:t>
      </w:r>
      <w:r w:rsidR="00EF28D6" w:rsidRPr="001F607C">
        <w:rPr>
          <w:rFonts w:ascii="Times New Roman" w:hAnsi="Times New Roman" w:cs="Times New Roman"/>
          <w:szCs w:val="22"/>
        </w:rPr>
        <w:t xml:space="preserve"> The patient was transitioned to a semi-liquid diet, which was well tolerated. After 48 hours of observation without recurrence of symptoms, the nephrostomy tube was removed, and the patient was discharged on August 27, 2024.</w:t>
      </w:r>
    </w:p>
    <w:p w14:paraId="49775941" w14:textId="0EF4E5D6" w:rsidR="00010805" w:rsidRPr="001F607C" w:rsidRDefault="00010805" w:rsidP="00504EB2">
      <w:pPr>
        <w:spacing w:line="360" w:lineRule="auto"/>
        <w:rPr>
          <w:rFonts w:ascii="Times New Roman" w:hAnsi="Times New Roman" w:cs="Times New Roman"/>
          <w:szCs w:val="22"/>
        </w:rPr>
      </w:pPr>
      <w:r w:rsidRPr="001F607C">
        <w:rPr>
          <w:rFonts w:ascii="Times New Roman" w:hAnsi="Times New Roman" w:cs="Times New Roman"/>
          <w:noProof/>
          <w:szCs w:val="22"/>
        </w:rPr>
        <w:lastRenderedPageBreak/>
        <w:drawing>
          <wp:inline distT="0" distB="0" distL="0" distR="0" wp14:anchorId="6421F9E3" wp14:editId="437872B2">
            <wp:extent cx="5274310" cy="2787015"/>
            <wp:effectExtent l="0" t="0" r="0" b="0"/>
            <wp:docPr id="123204168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41683" name="图片 12320416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2787015"/>
                    </a:xfrm>
                    <a:prstGeom prst="rect">
                      <a:avLst/>
                    </a:prstGeom>
                  </pic:spPr>
                </pic:pic>
              </a:graphicData>
            </a:graphic>
          </wp:inline>
        </w:drawing>
      </w:r>
    </w:p>
    <w:p w14:paraId="0E9196B4" w14:textId="3350D77A" w:rsidR="008D197E" w:rsidRPr="001F607C" w:rsidRDefault="00010805" w:rsidP="008D197E">
      <w:pPr>
        <w:spacing w:line="360" w:lineRule="auto"/>
        <w:rPr>
          <w:rFonts w:ascii="Times New Roman" w:hAnsi="Times New Roman" w:cs="Times New Roman"/>
          <w:szCs w:val="22"/>
        </w:rPr>
      </w:pPr>
      <w:bookmarkStart w:id="16" w:name="_Hlk216506957"/>
      <w:bookmarkStart w:id="17" w:name="_Hlk216506754"/>
      <w:r w:rsidRPr="001F607C">
        <w:rPr>
          <w:rFonts w:ascii="Times New Roman" w:hAnsi="Times New Roman" w:cs="Times New Roman"/>
          <w:szCs w:val="22"/>
        </w:rPr>
        <w:t>Supplementary</w:t>
      </w:r>
      <w:r w:rsidRPr="001F607C">
        <w:rPr>
          <w:rFonts w:ascii="Times New Roman" w:hAnsi="Times New Roman" w:cs="Times New Roman" w:hint="eastAsia"/>
          <w:szCs w:val="22"/>
        </w:rPr>
        <w:t xml:space="preserve"> </w:t>
      </w:r>
      <w:r w:rsidRPr="001F607C">
        <w:rPr>
          <w:rFonts w:ascii="Times New Roman" w:hAnsi="Times New Roman" w:cs="Times New Roman"/>
          <w:szCs w:val="22"/>
        </w:rPr>
        <w:t>Figure S2:</w:t>
      </w:r>
      <w:bookmarkEnd w:id="16"/>
      <w:r w:rsidRPr="001F607C">
        <w:rPr>
          <w:rFonts w:ascii="Times New Roman" w:hAnsi="Times New Roman" w:cs="Times New Roman"/>
          <w:szCs w:val="22"/>
        </w:rPr>
        <w:t xml:space="preserve"> </w:t>
      </w:r>
      <w:r w:rsidR="008D197E" w:rsidRPr="001F607C">
        <w:rPr>
          <w:rFonts w:ascii="Times New Roman" w:hAnsi="Times New Roman" w:cs="Times New Roman"/>
          <w:szCs w:val="22"/>
        </w:rPr>
        <w:t>Serial postoperative CT findings of colonic injury and interval changes.</w:t>
      </w:r>
      <w:r w:rsidRPr="001F607C">
        <w:rPr>
          <w:rFonts w:ascii="Times New Roman" w:hAnsi="Times New Roman" w:cs="Times New Roman"/>
          <w:szCs w:val="22"/>
        </w:rPr>
        <w:t xml:space="preserve"> </w:t>
      </w:r>
      <w:bookmarkStart w:id="18" w:name="_Hlk216494420"/>
      <w:bookmarkEnd w:id="17"/>
      <w:r w:rsidR="008D197E" w:rsidRPr="001F607C">
        <w:rPr>
          <w:rFonts w:ascii="Times New Roman" w:hAnsi="Times New Roman" w:cs="Times New Roman"/>
          <w:szCs w:val="22"/>
        </w:rPr>
        <w:t>(A) Non</w:t>
      </w:r>
      <w:r w:rsidR="008D197E" w:rsidRPr="001F607C">
        <w:rPr>
          <w:rFonts w:ascii="Times New Roman" w:hAnsi="Times New Roman" w:cs="Times New Roman" w:hint="eastAsia"/>
          <w:szCs w:val="22"/>
        </w:rPr>
        <w:t>-</w:t>
      </w:r>
      <w:r w:rsidR="008D197E" w:rsidRPr="001F607C">
        <w:rPr>
          <w:rFonts w:ascii="Times New Roman" w:hAnsi="Times New Roman" w:cs="Times New Roman"/>
          <w:szCs w:val="22"/>
        </w:rPr>
        <w:t>contrast phase of contrast-enhanced abdominal CT on postoperative day (POD) 0 showing traversal of the nephrostomy tube through the descending colon before entering the renal pelvis via the anterior group of the middle calyx (white arrow).</w:t>
      </w:r>
      <w:r w:rsidR="008D197E" w:rsidRPr="001F607C">
        <w:rPr>
          <w:rFonts w:ascii="Times New Roman" w:hAnsi="Times New Roman" w:cs="Times New Roman" w:hint="eastAsia"/>
          <w:szCs w:val="22"/>
        </w:rPr>
        <w:t xml:space="preserve"> </w:t>
      </w:r>
      <w:r w:rsidR="008D197E" w:rsidRPr="001F607C">
        <w:rPr>
          <w:rFonts w:ascii="Times New Roman" w:hAnsi="Times New Roman" w:cs="Times New Roman"/>
          <w:szCs w:val="22"/>
        </w:rPr>
        <w:t>(B) Follow-up non–contrast-enhanced abdominal CT on POD 6 demonstrating persistent colonic traversal of the nephrostomy tube (white arrow).</w:t>
      </w:r>
      <w:r w:rsidR="008D197E" w:rsidRPr="001F607C">
        <w:rPr>
          <w:rFonts w:ascii="Times New Roman" w:hAnsi="Times New Roman" w:cs="Times New Roman" w:hint="eastAsia"/>
          <w:szCs w:val="22"/>
        </w:rPr>
        <w:t xml:space="preserve"> </w:t>
      </w:r>
      <w:r w:rsidR="008D197E" w:rsidRPr="001F607C">
        <w:rPr>
          <w:rFonts w:ascii="Times New Roman" w:hAnsi="Times New Roman" w:cs="Times New Roman"/>
          <w:szCs w:val="22"/>
        </w:rPr>
        <w:t>(C) Follow-up non–contrast-enhanced abdominal CT on POD 15 showing complete withdrawal of the nephrostomy tube from the colon, with the tube tip located within the paraspinal muscle layer (white arrow).</w:t>
      </w:r>
      <w:r w:rsidR="008D197E" w:rsidRPr="001F607C">
        <w:rPr>
          <w:rFonts w:ascii="Times New Roman" w:hAnsi="Times New Roman" w:cs="Times New Roman" w:hint="eastAsia"/>
          <w:szCs w:val="22"/>
        </w:rPr>
        <w:t xml:space="preserve"> </w:t>
      </w:r>
      <w:r w:rsidR="008D197E" w:rsidRPr="001F607C">
        <w:rPr>
          <w:rFonts w:ascii="Times New Roman" w:hAnsi="Times New Roman" w:cs="Times New Roman"/>
          <w:szCs w:val="22"/>
        </w:rPr>
        <w:t>(D–F) Corresponding images to panels A–C demonstrating progressive improvement and near-complete resolution of perirenal fluid and gas collections over time.</w:t>
      </w:r>
    </w:p>
    <w:p w14:paraId="072A65B0" w14:textId="51A3A8DA" w:rsidR="00244E19" w:rsidRPr="001F607C" w:rsidRDefault="00EF28D6" w:rsidP="008D197E">
      <w:pPr>
        <w:spacing w:line="360" w:lineRule="auto"/>
        <w:rPr>
          <w:rFonts w:ascii="Times New Roman" w:hAnsi="Times New Roman" w:cs="Times New Roman"/>
          <w:szCs w:val="22"/>
        </w:rPr>
      </w:pPr>
      <w:r w:rsidRPr="001F607C">
        <w:rPr>
          <w:rFonts w:ascii="Times New Roman" w:hAnsi="Times New Roman" w:cs="Times New Roman"/>
          <w:szCs w:val="22"/>
        </w:rPr>
        <w:t xml:space="preserve">During hospitalization, bowel function gradually normalized. The patient reported one bowel movement on August 12, none on August 13, and regular formed stools (1–2 per day) from August 14 until discharge, without blood or purulent material. </w:t>
      </w:r>
      <w:bookmarkStart w:id="19" w:name="_Hlk216507031"/>
      <w:r w:rsidR="00244E19" w:rsidRPr="001F607C">
        <w:rPr>
          <w:rFonts w:ascii="Times New Roman" w:hAnsi="Times New Roman" w:cs="Times New Roman"/>
          <w:szCs w:val="22"/>
        </w:rPr>
        <w:t xml:space="preserve">Vital signs remained stable throughout the postoperative course, with stable heart rate and no sustained fever </w:t>
      </w:r>
      <w:bookmarkEnd w:id="19"/>
      <w:r w:rsidR="00244E19" w:rsidRPr="001F607C">
        <w:rPr>
          <w:rFonts w:ascii="Times New Roman" w:hAnsi="Times New Roman" w:cs="Times New Roman"/>
          <w:szCs w:val="22"/>
        </w:rPr>
        <w:t xml:space="preserve">(Supplementary Figure S3). </w:t>
      </w:r>
      <w:bookmarkEnd w:id="18"/>
      <w:r w:rsidR="00244E19" w:rsidRPr="001F607C">
        <w:rPr>
          <w:rFonts w:ascii="Times New Roman" w:hAnsi="Times New Roman" w:cs="Times New Roman"/>
          <w:szCs w:val="22"/>
        </w:rPr>
        <w:t>Serial blood tests on postoperative days 0, 1, and 6 showed leukocytosis with neutrophil predominance, peaking on postoperative day 1 and gradually declining thereafter. Hematological parameters returned to within normal ranges by postoperative day 10.</w:t>
      </w:r>
    </w:p>
    <w:p w14:paraId="7274CFAC" w14:textId="700A28FF" w:rsidR="008D197E" w:rsidRPr="001F607C" w:rsidRDefault="008D197E" w:rsidP="008D197E">
      <w:pPr>
        <w:spacing w:line="360" w:lineRule="auto"/>
        <w:rPr>
          <w:rFonts w:ascii="Times New Roman" w:hAnsi="Times New Roman" w:cs="Times New Roman"/>
          <w:szCs w:val="22"/>
        </w:rPr>
      </w:pPr>
      <w:r w:rsidRPr="001F607C">
        <w:rPr>
          <w:rFonts w:ascii="Times New Roman" w:hAnsi="Times New Roman" w:cs="Times New Roman" w:hint="eastAsia"/>
          <w:noProof/>
          <w:szCs w:val="22"/>
        </w:rPr>
        <w:lastRenderedPageBreak/>
        <w:drawing>
          <wp:inline distT="0" distB="0" distL="0" distR="0" wp14:anchorId="50D3B94A" wp14:editId="379D6F43">
            <wp:extent cx="5274310" cy="5245100"/>
            <wp:effectExtent l="0" t="0" r="0" b="0"/>
            <wp:docPr id="6705943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390" name="图片 67059439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5245100"/>
                    </a:xfrm>
                    <a:prstGeom prst="rect">
                      <a:avLst/>
                    </a:prstGeom>
                  </pic:spPr>
                </pic:pic>
              </a:graphicData>
            </a:graphic>
          </wp:inline>
        </w:drawing>
      </w:r>
    </w:p>
    <w:p w14:paraId="31F879C7" w14:textId="73FB97AD" w:rsidR="008D197E" w:rsidRPr="001F607C" w:rsidRDefault="008D197E" w:rsidP="008D197E">
      <w:pPr>
        <w:spacing w:line="360" w:lineRule="auto"/>
        <w:rPr>
          <w:rFonts w:ascii="Times New Roman" w:hAnsi="Times New Roman" w:cs="Times New Roman"/>
          <w:szCs w:val="22"/>
        </w:rPr>
      </w:pPr>
      <w:bookmarkStart w:id="20" w:name="_Hlk216506975"/>
      <w:r w:rsidRPr="001F607C">
        <w:rPr>
          <w:rFonts w:ascii="Times New Roman" w:hAnsi="Times New Roman" w:cs="Times New Roman"/>
          <w:szCs w:val="22"/>
        </w:rPr>
        <w:t>Supplementary Figure S</w:t>
      </w:r>
      <w:r w:rsidRPr="001F607C">
        <w:rPr>
          <w:rFonts w:ascii="Times New Roman" w:hAnsi="Times New Roman" w:cs="Times New Roman" w:hint="eastAsia"/>
          <w:szCs w:val="22"/>
        </w:rPr>
        <w:t>3</w:t>
      </w:r>
      <w:r w:rsidRPr="001F607C">
        <w:rPr>
          <w:rFonts w:ascii="Times New Roman" w:hAnsi="Times New Roman" w:cs="Times New Roman"/>
          <w:szCs w:val="22"/>
        </w:rPr>
        <w:t>:</w:t>
      </w:r>
      <w:r w:rsidRPr="001F607C">
        <w:rPr>
          <w:rFonts w:ascii="Times New Roman" w:hAnsi="Times New Roman" w:cs="Times New Roman" w:hint="eastAsia"/>
          <w:szCs w:val="22"/>
        </w:rPr>
        <w:t xml:space="preserve"> </w:t>
      </w:r>
      <w:r w:rsidR="00CB03CC" w:rsidRPr="001F607C">
        <w:rPr>
          <w:rFonts w:ascii="Times New Roman" w:hAnsi="Times New Roman" w:cs="Times New Roman"/>
          <w:szCs w:val="22"/>
        </w:rPr>
        <w:t>Postoperative heart rate (red) and body temperature (blue) over time with key clinical events annotated.</w:t>
      </w:r>
      <w:r w:rsidR="00CB03CC" w:rsidRPr="001F607C">
        <w:rPr>
          <w:rFonts w:ascii="Times New Roman" w:hAnsi="Times New Roman" w:cs="Times New Roman" w:hint="eastAsia"/>
          <w:szCs w:val="22"/>
        </w:rPr>
        <w:t xml:space="preserve"> </w:t>
      </w:r>
      <w:r w:rsidR="00CB03CC" w:rsidRPr="001F607C">
        <w:rPr>
          <w:rFonts w:ascii="Times New Roman" w:hAnsi="Times New Roman" w:cs="Times New Roman"/>
          <w:szCs w:val="22"/>
        </w:rPr>
        <w:t>POD, postoperative day; CT, computed tomography; TPN, total parenteral nutrition; PN, parenteral nutrition; EN, enteral nutrition.</w:t>
      </w:r>
    </w:p>
    <w:bookmarkEnd w:id="20"/>
    <w:p w14:paraId="577F7BBD" w14:textId="194F02C8" w:rsidR="00EF28D6" w:rsidRPr="001F607C" w:rsidRDefault="00AA0BD4" w:rsidP="00504EB2">
      <w:pPr>
        <w:spacing w:line="360" w:lineRule="auto"/>
        <w:rPr>
          <w:rFonts w:ascii="Times New Roman" w:hAnsi="Times New Roman" w:cs="Times New Roman"/>
          <w:szCs w:val="22"/>
        </w:rPr>
      </w:pPr>
      <w:r w:rsidRPr="001F607C">
        <w:rPr>
          <w:rFonts w:ascii="Times New Roman" w:hAnsi="Times New Roman" w:cs="Times New Roman"/>
          <w:szCs w:val="22"/>
        </w:rPr>
        <w:t>Two weeks after discharge, the patient returned for outpatient removal of the indwelling ureteral stent, which was performed uneventfully. During subsequent follow-up, the patient was contacted by telephone at 3-month intervals over a period of nearly one year and reported no abdominal symptoms, urinary complaints, or signs of fistula formation, indicating full clinical recovery.</w:t>
      </w:r>
    </w:p>
    <w:sectPr w:rsidR="00EF28D6" w:rsidRPr="001F6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D6"/>
    <w:rsid w:val="00010805"/>
    <w:rsid w:val="000A6E1E"/>
    <w:rsid w:val="001144A8"/>
    <w:rsid w:val="0014006D"/>
    <w:rsid w:val="001E3C5C"/>
    <w:rsid w:val="001F607C"/>
    <w:rsid w:val="00244E19"/>
    <w:rsid w:val="00347714"/>
    <w:rsid w:val="0035272D"/>
    <w:rsid w:val="00364B54"/>
    <w:rsid w:val="003B783C"/>
    <w:rsid w:val="003E2F6F"/>
    <w:rsid w:val="0049140B"/>
    <w:rsid w:val="004966E5"/>
    <w:rsid w:val="00504EB2"/>
    <w:rsid w:val="00570DB2"/>
    <w:rsid w:val="00585916"/>
    <w:rsid w:val="00585E20"/>
    <w:rsid w:val="006F6F7D"/>
    <w:rsid w:val="00790386"/>
    <w:rsid w:val="00800A15"/>
    <w:rsid w:val="00844089"/>
    <w:rsid w:val="008C3C75"/>
    <w:rsid w:val="008D197E"/>
    <w:rsid w:val="00953E54"/>
    <w:rsid w:val="00961542"/>
    <w:rsid w:val="00977CE2"/>
    <w:rsid w:val="009C5022"/>
    <w:rsid w:val="00A343C5"/>
    <w:rsid w:val="00A37837"/>
    <w:rsid w:val="00AA0BD4"/>
    <w:rsid w:val="00AF2682"/>
    <w:rsid w:val="00B962DA"/>
    <w:rsid w:val="00BB4A3B"/>
    <w:rsid w:val="00C3086B"/>
    <w:rsid w:val="00CB03CC"/>
    <w:rsid w:val="00D503E8"/>
    <w:rsid w:val="00D73649"/>
    <w:rsid w:val="00DA16B8"/>
    <w:rsid w:val="00E7358D"/>
    <w:rsid w:val="00EF28D6"/>
    <w:rsid w:val="00FB265B"/>
    <w:rsid w:val="00FB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E17A79"/>
  <w15:chartTrackingRefBased/>
  <w15:docId w15:val="{E1C664A3-0DAE-FA4C-9E21-797E8464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8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F28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F28D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F28D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F28D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F28D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F28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8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8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8D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F28D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F28D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F28D6"/>
    <w:rPr>
      <w:rFonts w:cstheme="majorBidi"/>
      <w:color w:val="0F4761" w:themeColor="accent1" w:themeShade="BF"/>
      <w:sz w:val="28"/>
      <w:szCs w:val="28"/>
    </w:rPr>
  </w:style>
  <w:style w:type="character" w:customStyle="1" w:styleId="50">
    <w:name w:val="标题 5 字符"/>
    <w:basedOn w:val="a0"/>
    <w:link w:val="5"/>
    <w:uiPriority w:val="9"/>
    <w:semiHidden/>
    <w:rsid w:val="00EF28D6"/>
    <w:rPr>
      <w:rFonts w:cstheme="majorBidi"/>
      <w:color w:val="0F4761" w:themeColor="accent1" w:themeShade="BF"/>
      <w:sz w:val="24"/>
    </w:rPr>
  </w:style>
  <w:style w:type="character" w:customStyle="1" w:styleId="60">
    <w:name w:val="标题 6 字符"/>
    <w:basedOn w:val="a0"/>
    <w:link w:val="6"/>
    <w:uiPriority w:val="9"/>
    <w:semiHidden/>
    <w:rsid w:val="00EF28D6"/>
    <w:rPr>
      <w:rFonts w:cstheme="majorBidi"/>
      <w:b/>
      <w:bCs/>
      <w:color w:val="0F4761" w:themeColor="accent1" w:themeShade="BF"/>
    </w:rPr>
  </w:style>
  <w:style w:type="character" w:customStyle="1" w:styleId="70">
    <w:name w:val="标题 7 字符"/>
    <w:basedOn w:val="a0"/>
    <w:link w:val="7"/>
    <w:uiPriority w:val="9"/>
    <w:semiHidden/>
    <w:rsid w:val="00EF28D6"/>
    <w:rPr>
      <w:rFonts w:cstheme="majorBidi"/>
      <w:b/>
      <w:bCs/>
      <w:color w:val="595959" w:themeColor="text1" w:themeTint="A6"/>
    </w:rPr>
  </w:style>
  <w:style w:type="character" w:customStyle="1" w:styleId="80">
    <w:name w:val="标题 8 字符"/>
    <w:basedOn w:val="a0"/>
    <w:link w:val="8"/>
    <w:uiPriority w:val="9"/>
    <w:semiHidden/>
    <w:rsid w:val="00EF28D6"/>
    <w:rPr>
      <w:rFonts w:cstheme="majorBidi"/>
      <w:color w:val="595959" w:themeColor="text1" w:themeTint="A6"/>
    </w:rPr>
  </w:style>
  <w:style w:type="character" w:customStyle="1" w:styleId="90">
    <w:name w:val="标题 9 字符"/>
    <w:basedOn w:val="a0"/>
    <w:link w:val="9"/>
    <w:uiPriority w:val="9"/>
    <w:semiHidden/>
    <w:rsid w:val="00EF28D6"/>
    <w:rPr>
      <w:rFonts w:eastAsiaTheme="majorEastAsia" w:cstheme="majorBidi"/>
      <w:color w:val="595959" w:themeColor="text1" w:themeTint="A6"/>
    </w:rPr>
  </w:style>
  <w:style w:type="paragraph" w:styleId="a3">
    <w:name w:val="Title"/>
    <w:basedOn w:val="a"/>
    <w:next w:val="a"/>
    <w:link w:val="a4"/>
    <w:uiPriority w:val="10"/>
    <w:qFormat/>
    <w:rsid w:val="00EF28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8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8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8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8D6"/>
    <w:pPr>
      <w:spacing w:before="160"/>
      <w:jc w:val="center"/>
    </w:pPr>
    <w:rPr>
      <w:i/>
      <w:iCs/>
      <w:color w:val="404040" w:themeColor="text1" w:themeTint="BF"/>
    </w:rPr>
  </w:style>
  <w:style w:type="character" w:customStyle="1" w:styleId="a8">
    <w:name w:val="引用 字符"/>
    <w:basedOn w:val="a0"/>
    <w:link w:val="a7"/>
    <w:uiPriority w:val="29"/>
    <w:rsid w:val="00EF28D6"/>
    <w:rPr>
      <w:i/>
      <w:iCs/>
      <w:color w:val="404040" w:themeColor="text1" w:themeTint="BF"/>
    </w:rPr>
  </w:style>
  <w:style w:type="paragraph" w:styleId="a9">
    <w:name w:val="List Paragraph"/>
    <w:basedOn w:val="a"/>
    <w:uiPriority w:val="34"/>
    <w:qFormat/>
    <w:rsid w:val="00EF28D6"/>
    <w:pPr>
      <w:ind w:left="720"/>
      <w:contextualSpacing/>
    </w:pPr>
  </w:style>
  <w:style w:type="character" w:styleId="aa">
    <w:name w:val="Intense Emphasis"/>
    <w:basedOn w:val="a0"/>
    <w:uiPriority w:val="21"/>
    <w:qFormat/>
    <w:rsid w:val="00EF28D6"/>
    <w:rPr>
      <w:i/>
      <w:iCs/>
      <w:color w:val="0F4761" w:themeColor="accent1" w:themeShade="BF"/>
    </w:rPr>
  </w:style>
  <w:style w:type="paragraph" w:styleId="ab">
    <w:name w:val="Intense Quote"/>
    <w:basedOn w:val="a"/>
    <w:next w:val="a"/>
    <w:link w:val="ac"/>
    <w:uiPriority w:val="30"/>
    <w:qFormat/>
    <w:rsid w:val="00EF2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F28D6"/>
    <w:rPr>
      <w:i/>
      <w:iCs/>
      <w:color w:val="0F4761" w:themeColor="accent1" w:themeShade="BF"/>
    </w:rPr>
  </w:style>
  <w:style w:type="character" w:styleId="ad">
    <w:name w:val="Intense Reference"/>
    <w:basedOn w:val="a0"/>
    <w:uiPriority w:val="32"/>
    <w:qFormat/>
    <w:rsid w:val="00EF28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Green</dc:creator>
  <cp:keywords/>
  <dc:description/>
  <cp:lastModifiedBy>Hank Green</cp:lastModifiedBy>
  <cp:revision>5</cp:revision>
  <dcterms:created xsi:type="dcterms:W3CDTF">2025-12-12T20:54:00Z</dcterms:created>
  <dcterms:modified xsi:type="dcterms:W3CDTF">2025-12-14T11:40:00Z</dcterms:modified>
</cp:coreProperties>
</file>