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70CF" w14:textId="3EDDB03A" w:rsidR="000F18E8" w:rsidRPr="00A332CF" w:rsidRDefault="000F18E8" w:rsidP="00A332CF">
      <w:pPr>
        <w:pStyle w:val="Beschriftung"/>
        <w:keepNext/>
        <w:spacing w:line="480" w:lineRule="auto"/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</w:pPr>
      <w:r w:rsidRPr="00A332CF"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en-GB"/>
        </w:rPr>
        <w:t>Table S3.</w:t>
      </w:r>
      <w:r w:rsidRPr="00A332CF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 xml:space="preserve"> </w:t>
      </w:r>
      <w:r w:rsidR="00A332CF" w:rsidRPr="00A332CF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>Empirical antibiotic r</w:t>
      </w:r>
      <w:r w:rsidR="00A332CF">
        <w:rPr>
          <w:rFonts w:ascii="Times New Roman" w:hAnsi="Times New Roman" w:cs="Times New Roman"/>
          <w:i w:val="0"/>
          <w:iCs w:val="0"/>
          <w:sz w:val="22"/>
          <w:szCs w:val="22"/>
          <w:lang w:val="en-GB"/>
        </w:rPr>
        <w:t>egimens and treatment duration in intracranial empyema and abscess.</w:t>
      </w:r>
    </w:p>
    <w:tbl>
      <w:tblPr>
        <w:tblW w:w="9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874"/>
        <w:gridCol w:w="1228"/>
        <w:gridCol w:w="1063"/>
        <w:gridCol w:w="856"/>
        <w:gridCol w:w="1228"/>
        <w:gridCol w:w="1063"/>
        <w:gridCol w:w="734"/>
      </w:tblGrid>
      <w:tr w:rsidR="000F18E8" w:rsidRPr="00191308" w14:paraId="4521261C" w14:textId="77777777" w:rsidTr="006615A7">
        <w:trPr>
          <w:trHeight w:val="328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568629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65CAC7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Intracranial empyema/abscess (n=84)</w:t>
            </w:r>
          </w:p>
        </w:tc>
      </w:tr>
      <w:tr w:rsidR="000F18E8" w:rsidRPr="00191308" w14:paraId="2E9A0CBD" w14:textId="77777777" w:rsidTr="006615A7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BFD6B7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9CFC75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HCA (n=47)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8DBD0A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CA (n=37)</w:t>
            </w:r>
          </w:p>
        </w:tc>
      </w:tr>
      <w:tr w:rsidR="000F18E8" w:rsidRPr="00191308" w14:paraId="785FAED5" w14:textId="77777777" w:rsidTr="006615A7">
        <w:trPr>
          <w:trHeight w:val="649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E77BE9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897DE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AFBBBF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C2440A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B8E935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D76B38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Median (IQR)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3942CB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C464E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p-</w:t>
            </w:r>
            <w:proofErr w:type="spellStart"/>
            <w:r w:rsidRPr="0019130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value</w:t>
            </w:r>
            <w:proofErr w:type="spellEnd"/>
            <w:r w:rsidRPr="0019130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 xml:space="preserve"> </w:t>
            </w:r>
          </w:p>
        </w:tc>
      </w:tr>
      <w:tr w:rsidR="000F18E8" w:rsidRPr="00191308" w14:paraId="094BB2E6" w14:textId="77777777" w:rsidTr="006615A7">
        <w:trPr>
          <w:trHeight w:val="587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9C31512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Ceftriaxone + Metronidazole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C1867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0D820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F9A5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92DB8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35 (94.6)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D293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0601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51B79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&lt;0.001</w:t>
            </w:r>
          </w:p>
        </w:tc>
      </w:tr>
      <w:tr w:rsidR="000F18E8" w:rsidRPr="00191308" w14:paraId="0DCFF18A" w14:textId="77777777" w:rsidTr="006615A7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ACF09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Meropenem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6FEC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 (2.1)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A0E7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0949C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20495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 (10.8)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8ECA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099E0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BEC9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0.164</w:t>
            </w:r>
          </w:p>
        </w:tc>
      </w:tr>
      <w:tr w:rsidR="000F18E8" w:rsidRPr="00191308" w14:paraId="3B17FF18" w14:textId="77777777" w:rsidTr="006615A7">
        <w:trPr>
          <w:trHeight w:val="7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F3B3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 xml:space="preserve">Ceftazidime + Vancomycin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F1F8D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37 (78.7)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A3213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FD22E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E8EE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AD179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2CEBA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58CA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&lt;0.001</w:t>
            </w:r>
          </w:p>
        </w:tc>
      </w:tr>
      <w:tr w:rsidR="000F18E8" w:rsidRPr="00191308" w14:paraId="5E0829CB" w14:textId="77777777" w:rsidTr="006615A7">
        <w:trPr>
          <w:trHeight w:val="7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22106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Meropenem + Vancomycin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9ACD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11 (23.4)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8566B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4E6B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528F9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1CAF3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394BB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DBC93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0.080</w:t>
            </w:r>
          </w:p>
        </w:tc>
      </w:tr>
      <w:tr w:rsidR="000F18E8" w:rsidRPr="00191308" w14:paraId="2AB93E3D" w14:textId="77777777" w:rsidTr="006615A7">
        <w:trPr>
          <w:trHeight w:val="5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3B24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Additional Rifampicin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1D195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6 (12.8)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248F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5D37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1C399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3 (8.1)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9C6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1CA6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E80A0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0.725</w:t>
            </w:r>
          </w:p>
        </w:tc>
      </w:tr>
      <w:tr w:rsidR="000F18E8" w:rsidRPr="00191308" w14:paraId="7AC16638" w14:textId="77777777" w:rsidTr="006615A7">
        <w:trPr>
          <w:trHeight w:val="43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561E9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Empirical therapy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9E084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FCA0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6 (4.0-7.0)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64358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6 (±2.7)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249CE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64A13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6 (4.0-7.0)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4A228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6.4 (±3.7)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D97B2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0.964</w:t>
            </w:r>
          </w:p>
        </w:tc>
      </w:tr>
      <w:tr w:rsidR="000F18E8" w:rsidRPr="00191308" w14:paraId="18E1878A" w14:textId="77777777" w:rsidTr="006615A7">
        <w:trPr>
          <w:trHeight w:val="431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687B7B63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Targeted therapy days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396758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3E87C5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42 (42-42)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EEB3A27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42.7 (±13.6)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22BCBD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AF7EF2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42 (42-47)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3A5CD0D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51.3 (±29.3)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4AB83BF8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0.086</w:t>
            </w:r>
          </w:p>
        </w:tc>
      </w:tr>
      <w:tr w:rsidR="000F18E8" w:rsidRPr="00191308" w14:paraId="4DFD3C08" w14:textId="77777777" w:rsidTr="006615A7">
        <w:trPr>
          <w:trHeight w:val="65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1988EF" w14:textId="77777777" w:rsidR="000F18E8" w:rsidRPr="00191308" w:rsidRDefault="000F18E8" w:rsidP="006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  <w:t>Total antibiotic therapy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6FD76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65A07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47 (45-49)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8A74C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48.7 (±13.9)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6BFB1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49BCE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49 (46-52)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A08A4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57.8 (±29.7)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A4BDD" w14:textId="77777777" w:rsidR="000F18E8" w:rsidRPr="00191308" w:rsidRDefault="000F18E8" w:rsidP="006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</w:pPr>
            <w:r w:rsidRPr="001913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de-CH"/>
                <w14:ligatures w14:val="none"/>
              </w:rPr>
              <w:t>0.080</w:t>
            </w:r>
          </w:p>
        </w:tc>
      </w:tr>
      <w:tr w:rsidR="000F18E8" w:rsidRPr="00191308" w14:paraId="7B3CFCC5" w14:textId="77777777" w:rsidTr="006615A7">
        <w:trPr>
          <w:trHeight w:val="171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F4DFDE" w14:textId="77777777" w:rsidR="000F18E8" w:rsidRPr="00191308" w:rsidRDefault="000F18E8" w:rsidP="006615A7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de-CH"/>
                <w14:ligatures w14:val="none"/>
              </w:rPr>
            </w:pPr>
          </w:p>
        </w:tc>
      </w:tr>
    </w:tbl>
    <w:p w14:paraId="0FD43A82" w14:textId="2FE4A071" w:rsidR="006623B5" w:rsidRPr="00A332CF" w:rsidRDefault="00A332CF" w:rsidP="00A332CF">
      <w:pPr>
        <w:spacing w:line="480" w:lineRule="auto"/>
        <w:rPr>
          <w:lang w:val="en-GB"/>
        </w:rPr>
      </w:pPr>
      <w:r w:rsidRPr="00A332CF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Empirical antibiotic regimens and treatment duration in patients with community-acquired (CA) and health care-associated (HCA) intracranial empyema/abscess. Data are presented as number (percentage), mean ± standard deviation (SD), or median with interquartile range (IQR), as appropriate. Group comparisons were performed using Fisher’s exact test for categorical variables and Mann–Whitney U test for continuous variables, according to data distribution.</w:t>
      </w:r>
    </w:p>
    <w:sectPr w:rsidR="006623B5" w:rsidRPr="00A332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E8"/>
    <w:rsid w:val="000F18E8"/>
    <w:rsid w:val="00101768"/>
    <w:rsid w:val="00191308"/>
    <w:rsid w:val="004A78E3"/>
    <w:rsid w:val="006623B5"/>
    <w:rsid w:val="007131DE"/>
    <w:rsid w:val="00740F03"/>
    <w:rsid w:val="007D4F59"/>
    <w:rsid w:val="00A332CF"/>
    <w:rsid w:val="00B5273B"/>
    <w:rsid w:val="00D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9098"/>
  <w15:chartTrackingRefBased/>
  <w15:docId w15:val="{B29E5F09-1C4A-48B9-831D-CAB4232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18E8"/>
  </w:style>
  <w:style w:type="paragraph" w:styleId="berschrift1">
    <w:name w:val="heading 1"/>
    <w:basedOn w:val="Standard"/>
    <w:next w:val="Standard"/>
    <w:link w:val="berschrift1Zchn"/>
    <w:uiPriority w:val="9"/>
    <w:qFormat/>
    <w:rsid w:val="000F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18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18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18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18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18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18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18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18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18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18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18E8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0F18E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Hellwege</dc:creator>
  <cp:keywords/>
  <dc:description/>
  <cp:lastModifiedBy>Stephani Hellwege</cp:lastModifiedBy>
  <cp:revision>4</cp:revision>
  <dcterms:created xsi:type="dcterms:W3CDTF">2025-12-13T18:12:00Z</dcterms:created>
  <dcterms:modified xsi:type="dcterms:W3CDTF">2025-12-14T10:30:00Z</dcterms:modified>
</cp:coreProperties>
</file>