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E5E0" w14:textId="65EE3F38" w:rsidR="002061C8" w:rsidRPr="002061C8" w:rsidRDefault="002061C8" w:rsidP="002061C8">
      <w:pPr>
        <w:pStyle w:val="Beschriftung"/>
        <w:keepNext/>
        <w:spacing w:line="480" w:lineRule="auto"/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</w:pPr>
      <w:r w:rsidRPr="002061C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lang w:val="en-GB"/>
        </w:rPr>
        <w:t>Table</w:t>
      </w:r>
      <w:r w:rsidRPr="00DC6750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lang w:val="en-GB"/>
        </w:rPr>
        <w:t xml:space="preserve"> S5</w:t>
      </w:r>
      <w:r w:rsidRPr="002061C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lang w:val="en-GB"/>
        </w:rPr>
        <w:t>.</w:t>
      </w:r>
      <w:r w:rsidRPr="002061C8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 xml:space="preserve"> Multivariable logistic regression analysis of predictors of in-hospital mortality in patients with intracranial empyema and abscess.</w:t>
      </w:r>
    </w:p>
    <w:tbl>
      <w:tblPr>
        <w:tblStyle w:val="Gitternetztabelle1hell"/>
        <w:tblW w:w="9394" w:type="dxa"/>
        <w:tblLook w:val="04A0" w:firstRow="1" w:lastRow="0" w:firstColumn="1" w:lastColumn="0" w:noHBand="0" w:noVBand="1"/>
      </w:tblPr>
      <w:tblGrid>
        <w:gridCol w:w="2264"/>
        <w:gridCol w:w="1557"/>
        <w:gridCol w:w="1556"/>
        <w:gridCol w:w="990"/>
        <w:gridCol w:w="1132"/>
        <w:gridCol w:w="1895"/>
      </w:tblGrid>
      <w:tr w:rsidR="002061C8" w:rsidRPr="00AD1F06" w14:paraId="541F2ED7" w14:textId="77777777" w:rsidTr="00DC6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07DF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Predictor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3BD6C" w14:textId="77777777" w:rsidR="002061C8" w:rsidRPr="00AD1F06" w:rsidRDefault="002061C8" w:rsidP="006615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B (Estimate)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68FAF" w14:textId="77777777" w:rsidR="002061C8" w:rsidRPr="00AD1F06" w:rsidRDefault="002061C8" w:rsidP="006615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Standard error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2EFF0" w14:textId="77777777" w:rsidR="002061C8" w:rsidRPr="00AD1F06" w:rsidRDefault="002061C8" w:rsidP="006615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B88FB" w14:textId="77777777" w:rsidR="002061C8" w:rsidRPr="00AD1F06" w:rsidRDefault="002061C8" w:rsidP="006615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2C0E7" w14:textId="77777777" w:rsidR="002061C8" w:rsidRPr="00AD1F06" w:rsidRDefault="002061C8" w:rsidP="006615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95% CI (OR)</w:t>
            </w:r>
          </w:p>
        </w:tc>
      </w:tr>
      <w:tr w:rsidR="002061C8" w:rsidRPr="00AD1F06" w14:paraId="716B3C78" w14:textId="77777777" w:rsidTr="00DC6750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4CE8A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Fever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45535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1.476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59A42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BC52B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7F1BE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1C7D0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[0.71 – 26.82]</w:t>
            </w:r>
          </w:p>
        </w:tc>
      </w:tr>
      <w:tr w:rsidR="002061C8" w:rsidRPr="00AD1F06" w14:paraId="79C3E14E" w14:textId="77777777" w:rsidTr="00DC6750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9FBB37E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Headache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821B1D5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FAFEFAE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B8A9BA2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2.23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F81833F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0.406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694E937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[0.34 –14.69]</w:t>
            </w:r>
          </w:p>
        </w:tc>
      </w:tr>
      <w:tr w:rsidR="002061C8" w:rsidRPr="00AD1F06" w14:paraId="5C7BB117" w14:textId="77777777" w:rsidTr="00DC6750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AA776FA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Disturbance of consciousness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358C4896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-1.347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1C96E51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9A12BD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CCD930F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0.344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58F7B58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[0.02 – 4.22]</w:t>
            </w:r>
          </w:p>
        </w:tc>
      </w:tr>
      <w:tr w:rsidR="002061C8" w:rsidRPr="00AD1F06" w14:paraId="794FA44E" w14:textId="77777777" w:rsidTr="00DC6750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0459C32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CNS symptoms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985DFA9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-0.801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FE24AC1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5AD1B0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622B2547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0.389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C41F48E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[0.07 – 2.77]</w:t>
            </w:r>
          </w:p>
        </w:tc>
      </w:tr>
      <w:tr w:rsidR="002061C8" w:rsidRPr="00AD1F06" w14:paraId="42E94623" w14:textId="77777777" w:rsidTr="00DC675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F5F316E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Malaise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1F834C9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0.518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A0DC52F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D525E76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1.68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BFEC32A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0.629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4791E41F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[0.20 – 13.78]</w:t>
            </w:r>
          </w:p>
        </w:tc>
      </w:tr>
      <w:tr w:rsidR="002061C8" w:rsidRPr="00AD1F06" w14:paraId="552128D7" w14:textId="77777777" w:rsidTr="00DC675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A34947E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Seizures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E316F35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983F807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CF1218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50F5C543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0.970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F9D6B0F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[0.14 – 7.45]</w:t>
            </w:r>
          </w:p>
        </w:tc>
      </w:tr>
      <w:tr w:rsidR="002061C8" w:rsidRPr="00AD1F06" w14:paraId="0947868B" w14:textId="77777777" w:rsidTr="00DC6750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428ACD3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Preexisting infectious disease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77B09FF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0.355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63B527B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D8002A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158B300A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0.747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17BEAEE0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[0.17 – 12.32]</w:t>
            </w:r>
          </w:p>
        </w:tc>
      </w:tr>
      <w:tr w:rsidR="002061C8" w:rsidRPr="00AD1F06" w14:paraId="7EB4E3B9" w14:textId="77777777" w:rsidTr="00DC675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8013AB2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Age (per year)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2357AFC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-0.017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8BBD17D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608E3E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6B3DA53B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0.589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6F8B7EE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[0.92 – 1.05]</w:t>
            </w:r>
          </w:p>
        </w:tc>
      </w:tr>
      <w:tr w:rsidR="002061C8" w:rsidRPr="00AD1F06" w14:paraId="4968F583" w14:textId="77777777" w:rsidTr="00DC6750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C912E3C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SAPS II score (per point)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8A7A1B7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0.179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1F3D54E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4AD36D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B9DB806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0.009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CA963DD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[1.05 – 1.37]</w:t>
            </w:r>
          </w:p>
        </w:tc>
      </w:tr>
      <w:tr w:rsidR="002061C8" w:rsidRPr="00AD1F06" w14:paraId="1FD03A94" w14:textId="77777777" w:rsidTr="00DC6750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A9F7D40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SOFA score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3394F836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-0.113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5030209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720BFB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254267A3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0.724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F8EAEAE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[0.48 – 1.67]</w:t>
            </w:r>
          </w:p>
        </w:tc>
      </w:tr>
      <w:tr w:rsidR="002061C8" w:rsidRPr="00AD1F06" w14:paraId="58A2EA7B" w14:textId="77777777" w:rsidTr="00DC6750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26412DD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Sex (Female)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24346C9F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-0.591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A37DC6B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0FA162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1EAEDC09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0.469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53BF7EC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[0.11 – 2.74]</w:t>
            </w:r>
          </w:p>
        </w:tc>
      </w:tr>
      <w:tr w:rsidR="002061C8" w:rsidRPr="00AD1F06" w14:paraId="18AD5424" w14:textId="77777777" w:rsidTr="00DC675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A510A" w14:textId="77777777" w:rsidR="002061C8" w:rsidRPr="00AD1F06" w:rsidRDefault="002061C8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GCS on day of diagnosis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3DD1A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5FAA6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D81BB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6AB17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0.495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E681F" w14:textId="77777777" w:rsidR="002061C8" w:rsidRPr="00AD1F06" w:rsidRDefault="002061C8" w:rsidP="006615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1F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[0.69 – 2.19]</w:t>
            </w:r>
          </w:p>
        </w:tc>
      </w:tr>
    </w:tbl>
    <w:p w14:paraId="368F3755" w14:textId="7589C0B9" w:rsidR="006623B5" w:rsidRPr="002061C8" w:rsidRDefault="002061C8" w:rsidP="002061C8">
      <w:p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061C8">
        <w:rPr>
          <w:rFonts w:ascii="Times New Roman" w:hAnsi="Times New Roman" w:cs="Times New Roman"/>
          <w:sz w:val="20"/>
          <w:szCs w:val="20"/>
          <w:lang w:val="en-GB"/>
        </w:rPr>
        <w:t>Results are presented as regression coefficients (B), odds ratios (OR), and 95% confidence intervals (CI). Variables were entered simultaneously into the multivariable logistic regression model. SAPS II score was the only independent predictor of in-hospital mortality.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061C8">
        <w:rPr>
          <w:rFonts w:ascii="Times New Roman" w:hAnsi="Times New Roman" w:cs="Times New Roman"/>
          <w:sz w:val="20"/>
          <w:szCs w:val="20"/>
          <w:lang w:val="en-GB"/>
        </w:rPr>
        <w:t xml:space="preserve">Abbreviations: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CNS, </w:t>
      </w:r>
      <w:r w:rsidR="007A1700">
        <w:rPr>
          <w:rFonts w:ascii="Times New Roman" w:hAnsi="Times New Roman" w:cs="Times New Roman"/>
          <w:sz w:val="20"/>
          <w:szCs w:val="20"/>
          <w:lang w:val="en-GB"/>
        </w:rPr>
        <w:t xml:space="preserve">central nervous system; </w:t>
      </w:r>
      <w:r w:rsidRPr="002061C8">
        <w:rPr>
          <w:rFonts w:ascii="Times New Roman" w:hAnsi="Times New Roman" w:cs="Times New Roman"/>
          <w:sz w:val="20"/>
          <w:szCs w:val="20"/>
          <w:lang w:val="en-GB"/>
        </w:rPr>
        <w:t xml:space="preserve">SAPS II, Simplified Acute Physiology Score II; </w:t>
      </w:r>
      <w:r w:rsidR="007A1700" w:rsidRPr="007A1700">
        <w:rPr>
          <w:rFonts w:ascii="Times New Roman" w:hAnsi="Times New Roman" w:cs="Times New Roman"/>
          <w:sz w:val="20"/>
          <w:szCs w:val="20"/>
          <w:lang w:val="en-GB"/>
        </w:rPr>
        <w:t xml:space="preserve">SOFA, Sequential Organ Failure Assessment; </w:t>
      </w:r>
      <w:r w:rsidRPr="002061C8">
        <w:rPr>
          <w:rFonts w:ascii="Times New Roman" w:hAnsi="Times New Roman" w:cs="Times New Roman"/>
          <w:sz w:val="20"/>
          <w:szCs w:val="20"/>
          <w:lang w:val="en-GB"/>
        </w:rPr>
        <w:t>GCS, Glasgow Coma Scale.</w:t>
      </w:r>
    </w:p>
    <w:sectPr w:rsidR="006623B5" w:rsidRPr="00206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C8"/>
    <w:rsid w:val="002061C8"/>
    <w:rsid w:val="004A78E3"/>
    <w:rsid w:val="006623B5"/>
    <w:rsid w:val="007131DE"/>
    <w:rsid w:val="00740F03"/>
    <w:rsid w:val="007A1700"/>
    <w:rsid w:val="007D4F59"/>
    <w:rsid w:val="00AD1F06"/>
    <w:rsid w:val="00B5273B"/>
    <w:rsid w:val="00D07B22"/>
    <w:rsid w:val="00D1171E"/>
    <w:rsid w:val="00D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95CC"/>
  <w15:chartTrackingRefBased/>
  <w15:docId w15:val="{5DBC997E-030F-4C99-A042-080210A4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61C8"/>
  </w:style>
  <w:style w:type="paragraph" w:styleId="berschrift1">
    <w:name w:val="heading 1"/>
    <w:basedOn w:val="Standard"/>
    <w:next w:val="Standard"/>
    <w:link w:val="berschrift1Zchn"/>
    <w:uiPriority w:val="9"/>
    <w:qFormat/>
    <w:rsid w:val="00206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6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6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6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6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6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6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6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6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6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61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61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61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61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61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6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6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6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6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6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61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61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61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61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61C8"/>
    <w:rPr>
      <w:b/>
      <w:bCs/>
      <w:smallCaps/>
      <w:color w:val="0F4761" w:themeColor="accent1" w:themeShade="BF"/>
      <w:spacing w:val="5"/>
    </w:rPr>
  </w:style>
  <w:style w:type="table" w:styleId="EinfacheTabelle4">
    <w:name w:val="Plain Table 4"/>
    <w:basedOn w:val="NormaleTabelle"/>
    <w:uiPriority w:val="44"/>
    <w:rsid w:val="002061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2061C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itternetztabelle1hell">
    <w:name w:val="Grid Table 1 Light"/>
    <w:basedOn w:val="NormaleTabelle"/>
    <w:uiPriority w:val="46"/>
    <w:rsid w:val="00DC67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 Hellwege</dc:creator>
  <cp:keywords/>
  <dc:description/>
  <cp:lastModifiedBy>Stephani Hellwege</cp:lastModifiedBy>
  <cp:revision>3</cp:revision>
  <dcterms:created xsi:type="dcterms:W3CDTF">2025-12-13T19:23:00Z</dcterms:created>
  <dcterms:modified xsi:type="dcterms:W3CDTF">2025-12-14T10:33:00Z</dcterms:modified>
</cp:coreProperties>
</file>