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014E523" w14:textId="77777777" w:rsidR="00CF5339" w:rsidRPr="002D3696" w:rsidRDefault="00CF5339" w:rsidP="00CF5339">
      <w:pPr>
        <w:spacing w:line="480" w:lineRule="auto"/>
        <w:jc w:val="both"/>
        <w:rPr>
          <w:rFonts w:ascii="Cambria" w:hAnsi="Cambria"/>
          <w:b/>
          <w:sz w:val="28"/>
          <w:szCs w:val="28"/>
          <w:lang w:val="en-US"/>
        </w:rPr>
      </w:pPr>
      <w:r w:rsidRPr="002D3696">
        <w:rPr>
          <w:rFonts w:ascii="Cambria" w:hAnsi="Cambria"/>
          <w:b/>
          <w:sz w:val="28"/>
          <w:szCs w:val="28"/>
          <w:lang w:val="en-US"/>
        </w:rPr>
        <w:t>SUPPLEMENTARY INFORMATION</w:t>
      </w:r>
    </w:p>
    <w:p w14:paraId="7CA750F8" w14:textId="77777777" w:rsidR="00CF5339" w:rsidRPr="002D3696" w:rsidRDefault="00CF5339" w:rsidP="007665D6">
      <w:pPr>
        <w:spacing w:line="360" w:lineRule="auto"/>
        <w:jc w:val="both"/>
        <w:rPr>
          <w:b/>
          <w:sz w:val="26"/>
          <w:szCs w:val="26"/>
          <w:lang w:val="en-US"/>
        </w:rPr>
      </w:pPr>
      <w:r w:rsidRPr="002D3696">
        <w:rPr>
          <w:b/>
          <w:sz w:val="26"/>
          <w:szCs w:val="26"/>
          <w:lang w:val="en-US"/>
        </w:rPr>
        <w:t>Patients and methods</w:t>
      </w:r>
    </w:p>
    <w:p w14:paraId="2112CD1E" w14:textId="29C5AE93" w:rsidR="004C6431" w:rsidRDefault="00CF5339" w:rsidP="00152059">
      <w:pPr>
        <w:spacing w:line="360" w:lineRule="auto"/>
        <w:jc w:val="both"/>
        <w:rPr>
          <w:lang w:val="en-US"/>
        </w:rPr>
      </w:pPr>
      <w:r w:rsidRPr="002D3696">
        <w:rPr>
          <w:b/>
          <w:i/>
          <w:sz w:val="24"/>
          <w:szCs w:val="24"/>
          <w:lang w:val="en-US"/>
        </w:rPr>
        <w:t>Patients.</w:t>
      </w:r>
      <w:r w:rsidRPr="002D3696">
        <w:rPr>
          <w:b/>
          <w:sz w:val="24"/>
          <w:szCs w:val="24"/>
          <w:lang w:val="en-US"/>
        </w:rPr>
        <w:t xml:space="preserve"> </w:t>
      </w:r>
      <w:r w:rsidR="00D71D9E" w:rsidRPr="002D3696">
        <w:rPr>
          <w:lang w:val="en-US"/>
        </w:rPr>
        <w:t>We included 118</w:t>
      </w:r>
      <w:r w:rsidR="007665D6">
        <w:rPr>
          <w:lang w:val="en-US"/>
        </w:rPr>
        <w:t xml:space="preserve"> idiopathic Parkinson’s disease (</w:t>
      </w:r>
      <w:proofErr w:type="spellStart"/>
      <w:r w:rsidR="007665D6">
        <w:rPr>
          <w:lang w:val="en-US"/>
        </w:rPr>
        <w:t>iPD</w:t>
      </w:r>
      <w:proofErr w:type="spellEnd"/>
      <w:r w:rsidR="007665D6">
        <w:rPr>
          <w:lang w:val="en-US"/>
        </w:rPr>
        <w:t>)</w:t>
      </w:r>
      <w:r w:rsidR="00D71D9E" w:rsidRPr="002D3696">
        <w:rPr>
          <w:lang w:val="en-US"/>
        </w:rPr>
        <w:t xml:space="preserve"> patients</w:t>
      </w:r>
      <w:r w:rsidR="004C6431">
        <w:rPr>
          <w:lang w:val="en-US"/>
        </w:rPr>
        <w:t>,</w:t>
      </w:r>
      <w:r w:rsidR="00D71D9E" w:rsidRPr="002D3696">
        <w:rPr>
          <w:lang w:val="en-US"/>
        </w:rPr>
        <w:t xml:space="preserve"> who fulfilled the </w:t>
      </w:r>
      <w:r w:rsidR="004C6431">
        <w:rPr>
          <w:lang w:val="en-US"/>
        </w:rPr>
        <w:t>diagnosis criteria according to the “G</w:t>
      </w:r>
      <w:r w:rsidR="00D71D9E" w:rsidRPr="002D3696">
        <w:rPr>
          <w:lang w:val="en-US"/>
        </w:rPr>
        <w:t xml:space="preserve">uidelines of the German </w:t>
      </w:r>
      <w:r w:rsidR="004C6431">
        <w:rPr>
          <w:lang w:val="en-US"/>
        </w:rPr>
        <w:t>s</w:t>
      </w:r>
      <w:r w:rsidR="00D71D9E" w:rsidRPr="002D3696">
        <w:rPr>
          <w:lang w:val="en-US"/>
        </w:rPr>
        <w:t xml:space="preserve">ociety of </w:t>
      </w:r>
      <w:r w:rsidR="004C6431">
        <w:rPr>
          <w:lang w:val="en-US"/>
        </w:rPr>
        <w:t>n</w:t>
      </w:r>
      <w:r w:rsidR="00D71D9E" w:rsidRPr="002D3696">
        <w:rPr>
          <w:lang w:val="en-US"/>
        </w:rPr>
        <w:t>eurology</w:t>
      </w:r>
      <w:r w:rsidR="004C6431">
        <w:rPr>
          <w:lang w:val="en-US"/>
        </w:rPr>
        <w:t>”</w:t>
      </w:r>
      <w:r w:rsidR="00D71D9E" w:rsidRPr="002D3696">
        <w:rPr>
          <w:lang w:val="en-US"/>
        </w:rPr>
        <w:t xml:space="preserve"> (</w:t>
      </w:r>
      <w:r w:rsidR="004C6431" w:rsidRPr="00363F19">
        <w:rPr>
          <w:color w:val="3366FF"/>
          <w:lang w:val="en-US"/>
        </w:rPr>
        <w:t>https://www.dgn.org</w:t>
      </w:r>
      <w:r w:rsidR="00D71D9E" w:rsidRPr="002D3696">
        <w:rPr>
          <w:lang w:val="en-US"/>
        </w:rPr>
        <w:t xml:space="preserve">). </w:t>
      </w:r>
    </w:p>
    <w:p w14:paraId="4A161138" w14:textId="22EBF713" w:rsidR="004C6431" w:rsidRDefault="00DB242C" w:rsidP="00152059">
      <w:pPr>
        <w:spacing w:line="360" w:lineRule="auto"/>
        <w:jc w:val="both"/>
        <w:rPr>
          <w:lang w:val="en-US"/>
        </w:rPr>
      </w:pPr>
      <w:r>
        <w:rPr>
          <w:lang w:val="en-US"/>
        </w:rPr>
        <w:t xml:space="preserve">To give written consent, only patients fluent in German were included in the study. Further, these patients had to be able </w:t>
      </w:r>
      <w:r w:rsidR="004C6431">
        <w:rPr>
          <w:lang w:val="en-US"/>
        </w:rPr>
        <w:t xml:space="preserve">to </w:t>
      </w:r>
      <w:r w:rsidR="00D71D9E" w:rsidRPr="002D3696">
        <w:rPr>
          <w:lang w:val="en-US"/>
        </w:rPr>
        <w:t xml:space="preserve">tolerate </w:t>
      </w:r>
      <w:r w:rsidR="004C6431">
        <w:rPr>
          <w:lang w:val="en-US"/>
        </w:rPr>
        <w:t xml:space="preserve">a dopaminergic withdrawal up to </w:t>
      </w:r>
      <w:r w:rsidR="00D71D9E" w:rsidRPr="002D3696">
        <w:rPr>
          <w:lang w:val="en-US"/>
        </w:rPr>
        <w:t xml:space="preserve">72-hours. </w:t>
      </w:r>
    </w:p>
    <w:p w14:paraId="26CA04E6" w14:textId="77777777" w:rsidR="004C6431" w:rsidRDefault="00D71D9E" w:rsidP="00152059">
      <w:pPr>
        <w:spacing w:line="360" w:lineRule="auto"/>
        <w:jc w:val="both"/>
        <w:rPr>
          <w:lang w:val="en-US"/>
        </w:rPr>
      </w:pPr>
      <w:r w:rsidRPr="002D3696">
        <w:rPr>
          <w:lang w:val="en-US"/>
        </w:rPr>
        <w:t>Exclusion criteria were severe psychiatric and internal diseases, severe structural brain changes (such as ischemic or hemorrhagic infarctions, brain tumors, epilepsy, atypical or secondary Parkinson’s syndrome), other basal ganglia diseases (e.g. dystonia, essential tremor) or deep brain stimulation.</w:t>
      </w:r>
      <w:r w:rsidR="007665D6">
        <w:rPr>
          <w:lang w:val="en-US"/>
        </w:rPr>
        <w:t xml:space="preserve"> </w:t>
      </w:r>
    </w:p>
    <w:p w14:paraId="7011680B" w14:textId="17923E70" w:rsidR="004C6431" w:rsidRDefault="004C6431" w:rsidP="00152059">
      <w:pPr>
        <w:spacing w:line="360" w:lineRule="auto"/>
        <w:jc w:val="both"/>
        <w:rPr>
          <w:lang w:val="en-US"/>
        </w:rPr>
      </w:pPr>
      <w:r>
        <w:rPr>
          <w:lang w:val="en-US"/>
        </w:rPr>
        <w:t>Next to the recruitment</w:t>
      </w:r>
      <w:r w:rsidRPr="002D3696">
        <w:rPr>
          <w:lang w:val="en-US"/>
        </w:rPr>
        <w:t xml:space="preserve"> in the outpatient clinic </w:t>
      </w:r>
      <w:r>
        <w:rPr>
          <w:lang w:val="en-US"/>
        </w:rPr>
        <w:t>of the University H</w:t>
      </w:r>
      <w:r w:rsidRPr="002D3696">
        <w:rPr>
          <w:lang w:val="en-US"/>
        </w:rPr>
        <w:t xml:space="preserve">ospital </w:t>
      </w:r>
      <w:r>
        <w:rPr>
          <w:lang w:val="en-US"/>
        </w:rPr>
        <w:t xml:space="preserve">Cologne, </w:t>
      </w:r>
      <w:r w:rsidR="007665D6">
        <w:rPr>
          <w:lang w:val="en-US"/>
        </w:rPr>
        <w:t>p</w:t>
      </w:r>
      <w:r w:rsidR="00D71D9E" w:rsidRPr="002D3696">
        <w:rPr>
          <w:lang w:val="en-US"/>
        </w:rPr>
        <w:t xml:space="preserve">atients were </w:t>
      </w:r>
      <w:r w:rsidR="00A3314C">
        <w:rPr>
          <w:lang w:val="en-US"/>
        </w:rPr>
        <w:t>acquired</w:t>
      </w:r>
      <w:r w:rsidR="00A3314C" w:rsidRPr="002D3696">
        <w:rPr>
          <w:lang w:val="en-US"/>
        </w:rPr>
        <w:t xml:space="preserve"> </w:t>
      </w:r>
      <w:r w:rsidR="00A3314C">
        <w:rPr>
          <w:lang w:val="en-US"/>
        </w:rPr>
        <w:t>from</w:t>
      </w:r>
      <w:r w:rsidR="00A3314C" w:rsidRPr="002D3696">
        <w:rPr>
          <w:lang w:val="en-US"/>
        </w:rPr>
        <w:t xml:space="preserve"> </w:t>
      </w:r>
      <w:r w:rsidR="00D71D9E" w:rsidRPr="002D3696">
        <w:rPr>
          <w:lang w:val="en-US"/>
        </w:rPr>
        <w:t xml:space="preserve">the wards of the </w:t>
      </w:r>
      <w:r>
        <w:rPr>
          <w:lang w:val="en-US"/>
        </w:rPr>
        <w:t xml:space="preserve">neurological department </w:t>
      </w:r>
      <w:r w:rsidR="00D71D9E" w:rsidRPr="002D3696">
        <w:rPr>
          <w:lang w:val="en-US"/>
        </w:rPr>
        <w:t xml:space="preserve">and the Cologne Private Practice Network, a cooperation of the </w:t>
      </w:r>
      <w:r w:rsidR="00A0300B">
        <w:rPr>
          <w:lang w:val="en-US"/>
        </w:rPr>
        <w:t>U</w:t>
      </w:r>
      <w:r w:rsidR="00D71D9E" w:rsidRPr="002D3696">
        <w:rPr>
          <w:lang w:val="en-US"/>
        </w:rPr>
        <w:t xml:space="preserve">niversity </w:t>
      </w:r>
      <w:r w:rsidR="00A0300B">
        <w:rPr>
          <w:lang w:val="en-US"/>
        </w:rPr>
        <w:t>H</w:t>
      </w:r>
      <w:r w:rsidR="00D71D9E" w:rsidRPr="002D3696">
        <w:rPr>
          <w:lang w:val="en-US"/>
        </w:rPr>
        <w:t xml:space="preserve">ospital and ambulant working neurologists. Hereby a representative cohort of German </w:t>
      </w:r>
      <w:proofErr w:type="spellStart"/>
      <w:r w:rsidR="007665D6">
        <w:rPr>
          <w:lang w:val="en-US"/>
        </w:rPr>
        <w:t>i</w:t>
      </w:r>
      <w:r w:rsidR="00D71D9E" w:rsidRPr="002D3696">
        <w:rPr>
          <w:lang w:val="en-US"/>
        </w:rPr>
        <w:t>PD</w:t>
      </w:r>
      <w:proofErr w:type="spellEnd"/>
      <w:r w:rsidR="00D71D9E" w:rsidRPr="002D3696">
        <w:rPr>
          <w:lang w:val="en-US"/>
        </w:rPr>
        <w:t xml:space="preserve"> patients </w:t>
      </w:r>
      <w:r w:rsidR="00975719">
        <w:rPr>
          <w:lang w:val="en-US"/>
        </w:rPr>
        <w:t>had been obtained</w:t>
      </w:r>
      <w:r w:rsidR="00D71D9E" w:rsidRPr="002D3696">
        <w:rPr>
          <w:lang w:val="en-US"/>
        </w:rPr>
        <w:t xml:space="preserve">. </w:t>
      </w:r>
    </w:p>
    <w:p w14:paraId="3EF83796" w14:textId="0523A515" w:rsidR="00D71D9E" w:rsidRPr="00152059" w:rsidRDefault="00345DF6" w:rsidP="00EE6EC0">
      <w:pPr>
        <w:spacing w:line="360" w:lineRule="auto"/>
        <w:jc w:val="both"/>
        <w:rPr>
          <w:rFonts w:ascii="Arial" w:hAnsi="Arial" w:cs="Arial"/>
          <w:lang w:val="en-US"/>
        </w:rPr>
      </w:pPr>
      <w:bookmarkStart w:id="0" w:name="_GoBack"/>
      <w:bookmarkEnd w:id="0"/>
      <w:r>
        <w:rPr>
          <w:lang w:val="en-US"/>
        </w:rPr>
        <w:t>Gender</w:t>
      </w:r>
      <w:r w:rsidR="00D71D9E" w:rsidRPr="002D3696">
        <w:rPr>
          <w:lang w:val="en-US"/>
        </w:rPr>
        <w:t xml:space="preserve">, age at conduction of study, age at disease onset, disease duration, side of symptom onset and </w:t>
      </w:r>
      <w:r w:rsidR="00BA48D6">
        <w:rPr>
          <w:lang w:val="en-US"/>
        </w:rPr>
        <w:t xml:space="preserve">adjusted </w:t>
      </w:r>
      <w:r w:rsidR="00DB03F5">
        <w:rPr>
          <w:lang w:val="en-US"/>
        </w:rPr>
        <w:t>levodopa equivalent dosage (</w:t>
      </w:r>
      <w:r w:rsidR="00BA48D6">
        <w:rPr>
          <w:lang w:val="en-US"/>
        </w:rPr>
        <w:t>a</w:t>
      </w:r>
      <w:r w:rsidR="00D71D9E" w:rsidRPr="002D3696">
        <w:rPr>
          <w:lang w:val="en-US"/>
        </w:rPr>
        <w:t>LED</w:t>
      </w:r>
      <w:r w:rsidR="00DB03F5">
        <w:rPr>
          <w:lang w:val="en-US"/>
        </w:rPr>
        <w:t>)</w:t>
      </w:r>
      <w:r w:rsidR="00D71D9E" w:rsidRPr="002D3696">
        <w:rPr>
          <w:lang w:val="en-US"/>
        </w:rPr>
        <w:t xml:space="preserve"> </w:t>
      </w:r>
      <w:proofErr w:type="gramStart"/>
      <w:r w:rsidR="00D71D9E" w:rsidRPr="002D3696">
        <w:rPr>
          <w:lang w:val="en-US"/>
        </w:rPr>
        <w:t>were</w:t>
      </w:r>
      <w:proofErr w:type="gramEnd"/>
      <w:r w:rsidR="00D71D9E" w:rsidRPr="002D3696">
        <w:rPr>
          <w:lang w:val="en-US"/>
        </w:rPr>
        <w:t xml:space="preserve"> recorded. </w:t>
      </w:r>
      <w:r w:rsidR="00BA48D6">
        <w:rPr>
          <w:lang w:val="en-US"/>
        </w:rPr>
        <w:t>a</w:t>
      </w:r>
      <w:r w:rsidR="00D71D9E" w:rsidRPr="002D3696">
        <w:rPr>
          <w:lang w:val="en-US"/>
        </w:rPr>
        <w:t>LED was calculated following the standard conventions</w:t>
      </w:r>
      <w:r w:rsidR="00646BAE">
        <w:rPr>
          <w:lang w:val="en-US"/>
        </w:rPr>
        <w:fldChar w:fldCharType="begin"/>
      </w:r>
      <w:r w:rsidR="00A20199">
        <w:rPr>
          <w:lang w:val="en-US"/>
        </w:rPr>
        <w:instrText xml:space="preserve"> ADDIN EN.CITE &lt;EndNote&gt;&lt;Cite&gt;&lt;Author&gt;Tomlinson&lt;/Author&gt;&lt;Year&gt;2010&lt;/Year&gt;&lt;RecNum&gt;15&lt;/RecNum&gt;&lt;DisplayText&gt;&lt;style face="superscript"&gt;1&lt;/style&gt;&lt;/DisplayText&gt;&lt;record&gt;&lt;rec-number&gt;15&lt;/rec-number&gt;&lt;foreign-keys&gt;&lt;key app="EN" db-id="9peve9f2n0ea9uetr94xa908dtswtxxzsdwa" timestamp="1573562301"&gt;15&lt;/key&gt;&lt;/foreign-keys&gt;&lt;ref-type name="Journal Article"&gt;17&lt;/ref-type&gt;&lt;contributors&gt;&lt;authors&gt;&lt;author&gt;Tomlinson, Claire L&lt;/author&gt;&lt;author&gt;Stowe, Rebecca&lt;/author&gt;&lt;author&gt;Patel, Smitaa&lt;/author&gt;&lt;author&gt;Rick, Caroline&lt;/author&gt;&lt;author&gt;Gray, Richard&lt;/author&gt;&lt;author&gt;Clarke, Carl E&lt;/author&gt;&lt;/authors&gt;&lt;/contributors&gt;&lt;auth-address&gt;Birmingham Clinical Trials Unit, University of Birmingham, Edgbaston, Birmingham, United Kingdom. c.l.tomlinson@adf.bham.ac.uk&lt;/auth-address&gt;&lt;titles&gt;&lt;title&gt;Systematic review of levodopa dose equivalency reporting in Parkinson&amp;apos;s disease.&lt;/title&gt;&lt;secondary-title&gt;Movement Disorders&lt;/secondary-title&gt;&lt;short-title&gt;Systematic Review of LED Reporting in PD&lt;/short-title&gt;&lt;/titles&gt;&lt;periodical&gt;&lt;full-title&gt;Movement Disorders&lt;/full-title&gt;&lt;/periodical&gt;&lt;pages&gt;2649-2653&lt;/pages&gt;&lt;volume&gt;25&lt;/volume&gt;&lt;number&gt;15&lt;/number&gt;&lt;dates&gt;&lt;year&gt;2010&lt;/year&gt;&lt;pub-dates&gt;&lt;date&gt;Nov 15&lt;/date&gt;&lt;/pub-dates&gt;&lt;/dates&gt;&lt;publisher&gt;Wiley Subscription Services, Inc., A Wiley Company&lt;/publisher&gt;&lt;accession-num&gt;21069833&lt;/accession-num&gt;&lt;label&gt;r00617&lt;/label&gt;&lt;work-type&gt;Review&lt;/work-type&gt;&lt;urls&gt;&lt;related-urls&gt;&lt;url&gt;http://doi.wiley.com/10.1002/mds.23429&lt;/url&gt;&lt;/related-urls&gt;&lt;pdf-urls&gt;&lt;url&gt;file://localhost/Users/epelzer/Documents/Library.papers3/Articles/2010/Tomlinson/Movement%20Disorders%202010%20Tomlinson.pdf&lt;/url&gt;&lt;/pdf-urls&gt;&lt;/urls&gt;&lt;custom3&gt;papers3://publication/uuid/8E9196C8-A9A4-4C58-B207-9B9510BE871A&lt;/custom3&gt;&lt;electronic-resource-num&gt;10.1002/mds.23429&lt;/electronic-resource-num&gt;&lt;language&gt;English&lt;/language&gt;&lt;/record&gt;&lt;/Cite&gt;&lt;/EndNote&gt;</w:instrText>
      </w:r>
      <w:r w:rsidR="00646BAE">
        <w:rPr>
          <w:lang w:val="en-US"/>
        </w:rPr>
        <w:fldChar w:fldCharType="separate"/>
      </w:r>
      <w:r w:rsidR="00646BAE" w:rsidRPr="00646BAE">
        <w:rPr>
          <w:noProof/>
          <w:vertAlign w:val="superscript"/>
          <w:lang w:val="en-US"/>
        </w:rPr>
        <w:t>1</w:t>
      </w:r>
      <w:r w:rsidR="00646BAE">
        <w:rPr>
          <w:lang w:val="en-US"/>
        </w:rPr>
        <w:fldChar w:fldCharType="end"/>
      </w:r>
      <w:r w:rsidR="00D71D9E" w:rsidRPr="002D3696">
        <w:rPr>
          <w:lang w:val="en-US"/>
        </w:rPr>
        <w:t xml:space="preserve">. Disease onset was defined as the date of diagnosis by </w:t>
      </w:r>
      <w:r w:rsidR="00975719">
        <w:rPr>
          <w:lang w:val="en-US"/>
        </w:rPr>
        <w:t xml:space="preserve">a </w:t>
      </w:r>
      <w:r w:rsidR="00D71D9E" w:rsidRPr="002D3696">
        <w:rPr>
          <w:lang w:val="en-US"/>
        </w:rPr>
        <w:t>neurologist</w:t>
      </w:r>
      <w:r w:rsidR="00DB03F5">
        <w:rPr>
          <w:lang w:val="en-US"/>
        </w:rPr>
        <w:t>, as documented in the medical report</w:t>
      </w:r>
      <w:r w:rsidR="00D71D9E" w:rsidRPr="002D3696">
        <w:rPr>
          <w:lang w:val="en-US"/>
        </w:rPr>
        <w:t>.</w:t>
      </w:r>
      <w:r w:rsidR="00014492">
        <w:rPr>
          <w:lang w:val="en-US"/>
        </w:rPr>
        <w:t xml:space="preserve"> </w:t>
      </w:r>
      <w:r w:rsidR="002529B4">
        <w:rPr>
          <w:lang w:val="en-US"/>
        </w:rPr>
        <w:t xml:space="preserve">Considering the complete cohort of 118 patients, 71% were male and 49% had the first Parkinsonian symptoms on the left </w:t>
      </w:r>
      <w:r w:rsidR="00121835">
        <w:rPr>
          <w:lang w:val="en-US"/>
        </w:rPr>
        <w:t xml:space="preserve">body </w:t>
      </w:r>
      <w:r w:rsidR="002529B4">
        <w:rPr>
          <w:lang w:val="en-US"/>
        </w:rPr>
        <w:t xml:space="preserve">side. Their mean age at </w:t>
      </w:r>
      <w:r w:rsidR="00975719">
        <w:rPr>
          <w:lang w:val="en-US"/>
        </w:rPr>
        <w:t xml:space="preserve">the </w:t>
      </w:r>
      <w:r w:rsidR="002529B4">
        <w:rPr>
          <w:lang w:val="en-US"/>
        </w:rPr>
        <w:t xml:space="preserve">time of </w:t>
      </w:r>
      <w:r w:rsidR="00975719">
        <w:rPr>
          <w:lang w:val="en-US"/>
        </w:rPr>
        <w:t xml:space="preserve">the </w:t>
      </w:r>
      <w:r w:rsidR="002529B4">
        <w:rPr>
          <w:lang w:val="en-US"/>
        </w:rPr>
        <w:t xml:space="preserve">study </w:t>
      </w:r>
      <w:r w:rsidR="00121835">
        <w:rPr>
          <w:lang w:val="en-US"/>
        </w:rPr>
        <w:t xml:space="preserve">begin </w:t>
      </w:r>
      <w:r w:rsidR="002529B4">
        <w:rPr>
          <w:lang w:val="en-US"/>
        </w:rPr>
        <w:t>was 64 years with an average age of symptom onset of 58 years (</w:t>
      </w:r>
      <w:r w:rsidR="002529B4" w:rsidRPr="00FE6B88">
        <w:rPr>
          <w:color w:val="3366FF"/>
          <w:lang w:val="en-US"/>
        </w:rPr>
        <w:t>cf. Supplementary Table S1a &amp; S1b</w:t>
      </w:r>
      <w:r w:rsidR="002529B4">
        <w:rPr>
          <w:lang w:val="en-US"/>
        </w:rPr>
        <w:t xml:space="preserve">). </w:t>
      </w:r>
      <w:r w:rsidR="002529B4" w:rsidRPr="00F50D8C">
        <w:rPr>
          <w:lang w:val="en-US"/>
        </w:rPr>
        <w:t>Due to varying disease durations, we decided to exclude patients suffering less than three years to account for fine-tuning of medication doses.</w:t>
      </w:r>
      <w:r w:rsidR="002529B4">
        <w:rPr>
          <w:lang w:val="en-US"/>
        </w:rPr>
        <w:t xml:space="preserve"> </w:t>
      </w:r>
      <w:r w:rsidR="00975719">
        <w:rPr>
          <w:lang w:val="en-US"/>
        </w:rPr>
        <w:t>Consequently</w:t>
      </w:r>
      <w:r w:rsidR="002529B4">
        <w:rPr>
          <w:lang w:val="en-US"/>
        </w:rPr>
        <w:t xml:space="preserve">, study sample size </w:t>
      </w:r>
      <w:r w:rsidR="00975719">
        <w:rPr>
          <w:lang w:val="en-US"/>
        </w:rPr>
        <w:t xml:space="preserve">has been reduced </w:t>
      </w:r>
      <w:r w:rsidR="00121835">
        <w:rPr>
          <w:lang w:val="en-US"/>
        </w:rPr>
        <w:t xml:space="preserve">to 91 patients with </w:t>
      </w:r>
      <w:r w:rsidR="006E4026">
        <w:rPr>
          <w:lang w:val="en-US"/>
        </w:rPr>
        <w:t>mean disease duration of 7.4</w:t>
      </w:r>
      <w:r w:rsidR="002529B4">
        <w:rPr>
          <w:lang w:val="en-US"/>
        </w:rPr>
        <w:t xml:space="preserve"> </w:t>
      </w:r>
      <w:r w:rsidR="006E4026">
        <w:rPr>
          <w:lang w:val="en-US"/>
        </w:rPr>
        <w:t xml:space="preserve">(+/- 4.35) </w:t>
      </w:r>
      <w:r w:rsidR="002529B4">
        <w:rPr>
          <w:lang w:val="en-US"/>
        </w:rPr>
        <w:t xml:space="preserve">years. Further details can be found in </w:t>
      </w:r>
      <w:r w:rsidR="002529B4" w:rsidRPr="00FE6B88">
        <w:rPr>
          <w:color w:val="3366FF"/>
          <w:lang w:val="en-US"/>
        </w:rPr>
        <w:t>Supplementary Table S1a and S1b</w:t>
      </w:r>
      <w:r w:rsidR="002529B4">
        <w:rPr>
          <w:lang w:val="en-US"/>
        </w:rPr>
        <w:t>.</w:t>
      </w:r>
      <w:r w:rsidR="007A034A" w:rsidRPr="007A034A">
        <w:rPr>
          <w:rFonts w:ascii="Arial" w:hAnsi="Arial" w:cs="Arial"/>
          <w:lang w:val="en-US"/>
        </w:rPr>
        <w:t xml:space="preserve"> </w:t>
      </w:r>
    </w:p>
    <w:p w14:paraId="5A500D44" w14:textId="09A3FDDF" w:rsidR="007665D6" w:rsidRDefault="004C7A0B" w:rsidP="004C7A0B">
      <w:pPr>
        <w:spacing w:line="360" w:lineRule="auto"/>
        <w:jc w:val="both"/>
        <w:rPr>
          <w:lang w:val="en-US"/>
        </w:rPr>
      </w:pPr>
      <w:r>
        <w:rPr>
          <w:b/>
          <w:i/>
          <w:sz w:val="24"/>
          <w:szCs w:val="24"/>
          <w:lang w:val="en-US"/>
        </w:rPr>
        <w:t>Clinical Assessment</w:t>
      </w:r>
      <w:r w:rsidRPr="002D3696">
        <w:rPr>
          <w:b/>
          <w:i/>
          <w:sz w:val="24"/>
          <w:szCs w:val="24"/>
          <w:lang w:val="en-US"/>
        </w:rPr>
        <w:t>.</w:t>
      </w:r>
      <w:r w:rsidRPr="002D3696">
        <w:rPr>
          <w:b/>
          <w:sz w:val="24"/>
          <w:szCs w:val="24"/>
          <w:lang w:val="en-US"/>
        </w:rPr>
        <w:t xml:space="preserve"> </w:t>
      </w:r>
      <w:r>
        <w:rPr>
          <w:lang w:val="en-US"/>
        </w:rPr>
        <w:t>The motor part of UPDRS (part III, items 18 – 31) w</w:t>
      </w:r>
      <w:r w:rsidR="001670FF">
        <w:rPr>
          <w:lang w:val="en-US"/>
        </w:rPr>
        <w:t>as</w:t>
      </w:r>
      <w:r>
        <w:rPr>
          <w:lang w:val="en-US"/>
        </w:rPr>
        <w:t xml:space="preserve"> assessed and videotaped in both medication ‘</w:t>
      </w:r>
      <w:r w:rsidR="00014492">
        <w:rPr>
          <w:lang w:val="en-US"/>
        </w:rPr>
        <w:t>OFF’</w:t>
      </w:r>
      <w:r>
        <w:rPr>
          <w:lang w:val="en-US"/>
        </w:rPr>
        <w:t xml:space="preserve"> and ‘</w:t>
      </w:r>
      <w:r w:rsidR="00014492">
        <w:rPr>
          <w:lang w:val="en-US"/>
        </w:rPr>
        <w:t>ON</w:t>
      </w:r>
      <w:r>
        <w:rPr>
          <w:lang w:val="en-US"/>
        </w:rPr>
        <w:t>’ state</w:t>
      </w:r>
      <w:r w:rsidR="00646BAE">
        <w:rPr>
          <w:lang w:val="en-US"/>
        </w:rPr>
        <w:fldChar w:fldCharType="begin"/>
      </w:r>
      <w:r w:rsidR="00646BAE">
        <w:rPr>
          <w:lang w:val="en-US"/>
        </w:rPr>
        <w:instrText xml:space="preserve"> ADDIN EN.CITE &lt;EndNote&gt;&lt;Cite&gt;&lt;Author&gt;Fahn S&lt;/Author&gt;&lt;Year&gt;1987&lt;/Year&gt;&lt;RecNum&gt;1&lt;/RecNum&gt;&lt;DisplayText&gt;&lt;style face="superscript"&gt;2&lt;/style&gt;&lt;/DisplayText&gt;&lt;record&gt;&lt;rec-number&gt;1&lt;/rec-number&gt;&lt;foreign-keys&gt;&lt;key app="EN" db-id="9peve9f2n0ea9uetr94xa908dtswtxxzsdwa" timestamp="1573552822"&gt;1&lt;/key&gt;&lt;/foreign-keys&gt;&lt;ref-type name="Journal Article"&gt;17&lt;/ref-type&gt;&lt;contributors&gt;&lt;authors&gt;&lt;author&gt;Fahn S, Elton RL, UPDRS program members&lt;/author&gt;&lt;/authors&gt;&lt;/contributors&gt;&lt;titles&gt;&lt;title&gt;Unified Parkinsons Disease Rating Scale&lt;/title&gt;&lt;secondary-title&gt;In: Fahn S, Marsden CD, Goldstein M, Calne DB, editors. Recent developments in Parkinsons disease&lt;/secondary-title&gt;&lt;alt-title&gt;Floram Park, NJ: Maximilian Healthcare Information&lt;/alt-title&gt;&lt;/titles&gt;&lt;periodical&gt;&lt;full-title&gt;In: Fahn S, Marsden CD, Goldstein M, Calne DB, editors. Recent developments in Parkinsons disease&lt;/full-title&gt;&lt;abbr-1&gt;Floram Park, NJ: Maximilian Healthcare Information&lt;/abbr-1&gt;&lt;/periodical&gt;&lt;alt-periodical&gt;&lt;full-title&gt;In: Fahn S, Marsden CD, Goldstein M, Calne DB, editors. Recent developments in Parkinsons disease&lt;/full-title&gt;&lt;abbr-1&gt;Floram Park, NJ: Maximilian Healthcare Information&lt;/abbr-1&gt;&lt;/alt-periodical&gt;&lt;pages&gt;p. 153-163&lt;/pages&gt;&lt;volume&gt;2&lt;/volume&gt;&lt;dates&gt;&lt;year&gt;1987&lt;/year&gt;&lt;/dates&gt;&lt;urls&gt;&lt;/urls&gt;&lt;/record&gt;&lt;/Cite&gt;&lt;/EndNote&gt;</w:instrText>
      </w:r>
      <w:r w:rsidR="00646BAE">
        <w:rPr>
          <w:lang w:val="en-US"/>
        </w:rPr>
        <w:fldChar w:fldCharType="separate"/>
      </w:r>
      <w:r w:rsidR="00646BAE" w:rsidRPr="00646BAE">
        <w:rPr>
          <w:noProof/>
          <w:vertAlign w:val="superscript"/>
          <w:lang w:val="en-US"/>
        </w:rPr>
        <w:t>2</w:t>
      </w:r>
      <w:r w:rsidR="00646BAE">
        <w:rPr>
          <w:lang w:val="en-US"/>
        </w:rPr>
        <w:fldChar w:fldCharType="end"/>
      </w:r>
      <w:r>
        <w:rPr>
          <w:lang w:val="en-US"/>
        </w:rPr>
        <w:t xml:space="preserve">. Although exemplary inter-rater reliability was high, we chose to conduct video rating by a single </w:t>
      </w:r>
      <w:r w:rsidRPr="002D3696">
        <w:rPr>
          <w:lang w:val="en-US"/>
        </w:rPr>
        <w:t>neurologist</w:t>
      </w:r>
      <w:r>
        <w:rPr>
          <w:lang w:val="en-US"/>
        </w:rPr>
        <w:t xml:space="preserve"> (S.A.) to standardize UPDRS-ratings. </w:t>
      </w:r>
      <w:r w:rsidR="000132DB">
        <w:rPr>
          <w:lang w:val="en-US"/>
        </w:rPr>
        <w:t>To reduce prolonged medication effects, dopamine agonist medication was paused 72h before the OFF state measurement for a</w:t>
      </w:r>
      <w:r w:rsidR="000571C4">
        <w:rPr>
          <w:lang w:val="en-US"/>
        </w:rPr>
        <w:t>ll</w:t>
      </w:r>
      <w:r w:rsidR="000132DB">
        <w:rPr>
          <w:lang w:val="en-US"/>
        </w:rPr>
        <w:t xml:space="preserve"> patients</w:t>
      </w:r>
      <w:r w:rsidR="00646BAE">
        <w:rPr>
          <w:lang w:val="en-US"/>
        </w:rPr>
        <w:t>; levodopa and all other parkinsonian medication was stopped</w:t>
      </w:r>
      <w:r w:rsidR="00014492">
        <w:rPr>
          <w:lang w:val="en-US"/>
        </w:rPr>
        <w:t xml:space="preserve"> 12 hours before. </w:t>
      </w:r>
      <w:r w:rsidR="00232FE2">
        <w:rPr>
          <w:lang w:val="en-US"/>
        </w:rPr>
        <w:t>T</w:t>
      </w:r>
      <w:r w:rsidR="00014492">
        <w:rPr>
          <w:lang w:val="en-US"/>
        </w:rPr>
        <w:t xml:space="preserve">he ‘ON’ state was defined as the patient’s motor </w:t>
      </w:r>
      <w:r w:rsidR="00014492">
        <w:rPr>
          <w:lang w:val="en-US"/>
        </w:rPr>
        <w:lastRenderedPageBreak/>
        <w:t>condition 60 – 120 minutes after the application of 200/50mg fast acting levodopa/carbidopa (</w:t>
      </w:r>
      <w:proofErr w:type="spellStart"/>
      <w:r w:rsidR="00014492">
        <w:rPr>
          <w:lang w:val="en-US"/>
        </w:rPr>
        <w:t>Madopar</w:t>
      </w:r>
      <w:proofErr w:type="spellEnd"/>
      <w:r w:rsidR="00014492">
        <w:rPr>
          <w:lang w:val="en-US"/>
        </w:rPr>
        <w:t xml:space="preserve"> LT®). </w:t>
      </w:r>
    </w:p>
    <w:p w14:paraId="5350DDAD" w14:textId="734F0769" w:rsidR="00014492" w:rsidRDefault="00232FE2" w:rsidP="008465F4">
      <w:pPr>
        <w:spacing w:line="360" w:lineRule="auto"/>
        <w:ind w:firstLine="708"/>
        <w:jc w:val="both"/>
        <w:rPr>
          <w:lang w:val="en-US"/>
        </w:rPr>
      </w:pPr>
      <w:r>
        <w:rPr>
          <w:lang w:val="en-US"/>
        </w:rPr>
        <w:t>Based on t</w:t>
      </w:r>
      <w:r w:rsidR="00014492">
        <w:rPr>
          <w:lang w:val="en-US"/>
        </w:rPr>
        <w:t>he UPDRS III measurements</w:t>
      </w:r>
      <w:r>
        <w:rPr>
          <w:lang w:val="en-US"/>
        </w:rPr>
        <w:t xml:space="preserve">, additional study parameters expressing disease progression and medication response were derived. </w:t>
      </w:r>
      <w:r w:rsidR="00014492">
        <w:rPr>
          <w:lang w:val="en-US"/>
        </w:rPr>
        <w:t>In order to calculate disease progression, we adjusted the UPDRS III ‘OFF’ score by the patient’s disease duration.</w:t>
      </w:r>
      <w:r w:rsidR="00042A88">
        <w:rPr>
          <w:lang w:val="en-US"/>
        </w:rPr>
        <w:t xml:space="preserve"> This should best reflect the current clinical status of the patient. Medication ‘ON’ states might be influenced by experience with the medication, individual medication resorption, interactions or possible side effects.</w:t>
      </w:r>
      <w:r w:rsidR="00014492">
        <w:rPr>
          <w:lang w:val="en-US"/>
        </w:rPr>
        <w:t xml:space="preserve">  </w:t>
      </w:r>
      <w:r w:rsidR="00A962F7">
        <w:rPr>
          <w:lang w:val="en-US"/>
        </w:rPr>
        <w:t>M</w:t>
      </w:r>
      <w:r w:rsidR="00014492">
        <w:rPr>
          <w:lang w:val="en-US"/>
        </w:rPr>
        <w:t xml:space="preserve">edication response is defined as </w:t>
      </w:r>
      <m:oMath>
        <m:r>
          <w:rPr>
            <w:rFonts w:ascii="Cambria Math" w:hAnsi="Cambria Math"/>
            <w:lang w:val="en-US"/>
          </w:rPr>
          <m:t>1-</m:t>
        </m:r>
        <m:f>
          <m:fPr>
            <m:ctrlPr>
              <w:rPr>
                <w:rFonts w:ascii="Cambria Math" w:hAnsi="Cambria Math"/>
                <w:lang w:val="en-US"/>
              </w:rPr>
            </m:ctrlPr>
          </m:fPr>
          <m:num>
            <m:r>
              <m:rPr>
                <m:nor/>
              </m:rPr>
              <w:rPr>
                <w:rFonts w:ascii="Cambria Math" w:hAnsi="Cambria Math"/>
                <w:lang w:val="en-US"/>
              </w:rPr>
              <m:t>UPDRS III ON</m:t>
            </m:r>
            <m:ctrlPr>
              <w:rPr>
                <w:rFonts w:ascii="Cambria Math" w:hAnsi="Cambria Math"/>
                <w:i/>
                <w:lang w:val="en-US"/>
              </w:rPr>
            </m:ctrlPr>
          </m:num>
          <m:den>
            <m:r>
              <m:rPr>
                <m:nor/>
              </m:rPr>
              <w:rPr>
                <w:rFonts w:ascii="Cambria Math" w:hAnsi="Cambria Math"/>
                <w:lang w:val="en-US"/>
              </w:rPr>
              <m:t>UPDRS III OFF</m:t>
            </m:r>
            <m:ctrlPr>
              <w:rPr>
                <w:rFonts w:ascii="Cambria Math" w:hAnsi="Cambria Math"/>
                <w:i/>
                <w:lang w:val="en-US"/>
              </w:rPr>
            </m:ctrlPr>
          </m:den>
        </m:f>
      </m:oMath>
      <w:r w:rsidR="00014492">
        <w:rPr>
          <w:lang w:val="en-US"/>
        </w:rPr>
        <w:t>. Further details can be found in Supplementary Table S</w:t>
      </w:r>
      <w:r w:rsidR="00042A88">
        <w:rPr>
          <w:lang w:val="en-US"/>
        </w:rPr>
        <w:t>1c</w:t>
      </w:r>
      <w:r w:rsidR="00014492">
        <w:rPr>
          <w:lang w:val="en-US"/>
        </w:rPr>
        <w:t>.</w:t>
      </w:r>
      <w:r w:rsidR="00042A88">
        <w:rPr>
          <w:lang w:val="en-US"/>
        </w:rPr>
        <w:t xml:space="preserve"> All classifications of motor </w:t>
      </w:r>
      <w:proofErr w:type="spellStart"/>
      <w:r w:rsidR="00042A88">
        <w:rPr>
          <w:lang w:val="en-US"/>
        </w:rPr>
        <w:t>subscores</w:t>
      </w:r>
      <w:proofErr w:type="spellEnd"/>
      <w:r w:rsidR="00042A88">
        <w:rPr>
          <w:lang w:val="en-US"/>
        </w:rPr>
        <w:t xml:space="preserve"> and quotient</w:t>
      </w:r>
      <w:r w:rsidR="00C13678">
        <w:rPr>
          <w:lang w:val="en-US"/>
        </w:rPr>
        <w:t>s</w:t>
      </w:r>
      <w:r w:rsidR="00042A88">
        <w:rPr>
          <w:lang w:val="en-US"/>
        </w:rPr>
        <w:t xml:space="preserve"> were carried out according to </w:t>
      </w:r>
      <w:r w:rsidR="00042A88" w:rsidRPr="00966BF1">
        <w:rPr>
          <w:lang w:val="en-US"/>
        </w:rPr>
        <w:t xml:space="preserve">Spiegel et al. </w:t>
      </w:r>
      <w:r w:rsidR="00966BF1" w:rsidRPr="00966BF1">
        <w:rPr>
          <w:lang w:val="en-US"/>
        </w:rPr>
        <w:fldChar w:fldCharType="begin"/>
      </w:r>
      <w:r w:rsidR="00966BF1" w:rsidRPr="00966BF1">
        <w:rPr>
          <w:lang w:val="en-US"/>
        </w:rPr>
        <w:instrText xml:space="preserve"> ADDIN EN.CITE &lt;EndNote&gt;&lt;Cite&gt;&lt;Author&gt;Spiegel&lt;/Author&gt;&lt;Year&gt;2007&lt;/Year&gt;&lt;RecNum&gt;5&lt;/RecNum&gt;&lt;DisplayText&gt;&lt;style face="superscript"&gt;3&lt;/style&gt;&lt;/DisplayText&gt;&lt;record&gt;&lt;rec-number&gt;5&lt;/rec-number&gt;&lt;foreign-keys&gt;&lt;key app="EN" db-id="9peve9f2n0ea9uetr94xa908dtswtxxzsdwa" timestamp="1573554266"&gt;5&lt;/key&gt;&lt;/foreign-keys&gt;&lt;ref-type name="Journal Article"&gt;17&lt;/ref-type&gt;&lt;contributors&gt;&lt;authors&gt;&lt;author&gt;Spiegel, J&lt;/author&gt;&lt;author&gt;Hellwig, D&lt;/author&gt;&lt;author&gt;Samnick, S&lt;/author&gt;&lt;author&gt;Jost, W&lt;/author&gt;&lt;author&gt;Möllers, M-O&lt;/author&gt;&lt;author&gt;Fassbender, K&lt;/author&gt;&lt;author&gt;Kirsch, C-M&lt;/author&gt;&lt;author&gt;Dillmann, U&lt;/author&gt;&lt;/authors&gt;&lt;/contributors&gt;&lt;auth-address&gt;Department of Neurology, Saarland University, Homburg/Saar, Germany.&lt;/auth-address&gt;&lt;titles&gt;&lt;title&gt;Striatal FP-CIT uptake differs in the subtypes of early Parkinson&amp;apos;s disease.&lt;/title&gt;&lt;secondary-title&gt;Journal of Neural Transmission/General Section JNT&lt;/secondary-title&gt;&lt;/titles&gt;&lt;periodical&gt;&lt;full-title&gt;Journal of Neural Transmission/General Section JNT&lt;/full-title&gt;&lt;/periodical&gt;&lt;pages&gt;331-335&lt;/pages&gt;&lt;volume&gt;114&lt;/volume&gt;&lt;number&gt;3&lt;/number&gt;&lt;dates&gt;&lt;year&gt;2007&lt;/year&gt;&lt;pub-dates&gt;&lt;date&gt;Mar&lt;/date&gt;&lt;/pub-dates&gt;&lt;/dates&gt;&lt;accession-num&gt;16715205&lt;/accession-num&gt;&lt;label&gt;r02197&lt;/label&gt;&lt;work-type&gt;Comparative Study&lt;/work-type&gt;&lt;urls&gt;&lt;related-urls&gt;&lt;url&gt;http://eutils.ncbi.nlm.nih.gov/entrez/eutils/elink.fcgi?dbfrom=pubmed&amp;amp;amp;id=16715205&amp;amp;amp;retmode=ref&amp;amp;amp;cmd=prlinks&lt;/url&gt;&lt;/related-urls&gt;&lt;/urls&gt;&lt;custom3&gt;papers3://publication/uuid/1D7AB9D4-DF11-4229-971A-48D409FE9EE1&lt;/custom3&gt;&lt;electronic-resource-num&gt;10.1007/s00702-006-0518-2&lt;/electronic-resource-num&gt;&lt;language&gt;English&lt;/language&gt;&lt;/record&gt;&lt;/Cite&gt;&lt;/EndNote&gt;</w:instrText>
      </w:r>
      <w:r w:rsidR="00966BF1" w:rsidRPr="00966BF1">
        <w:rPr>
          <w:lang w:val="en-US"/>
        </w:rPr>
        <w:fldChar w:fldCharType="separate"/>
      </w:r>
      <w:r w:rsidR="00966BF1" w:rsidRPr="00966BF1">
        <w:rPr>
          <w:noProof/>
          <w:vertAlign w:val="superscript"/>
          <w:lang w:val="en-US"/>
        </w:rPr>
        <w:t>3</w:t>
      </w:r>
      <w:r w:rsidR="00966BF1" w:rsidRPr="00966BF1">
        <w:rPr>
          <w:lang w:val="en-US"/>
        </w:rPr>
        <w:fldChar w:fldCharType="end"/>
      </w:r>
      <w:r w:rsidR="00042A88" w:rsidRPr="00966BF1">
        <w:rPr>
          <w:lang w:val="en-US"/>
        </w:rPr>
        <w:t>.</w:t>
      </w:r>
      <w:r w:rsidR="00042A88">
        <w:rPr>
          <w:lang w:val="en-US"/>
        </w:rPr>
        <w:t xml:space="preserve"> </w:t>
      </w:r>
    </w:p>
    <w:p w14:paraId="785FC407" w14:textId="5DA24945" w:rsidR="00D71D9E" w:rsidRPr="002D3696" w:rsidRDefault="008465F4" w:rsidP="00121835">
      <w:pPr>
        <w:spacing w:line="360" w:lineRule="auto"/>
        <w:jc w:val="both"/>
        <w:rPr>
          <w:lang w:val="en-US"/>
        </w:rPr>
      </w:pPr>
      <w:r>
        <w:rPr>
          <w:b/>
          <w:i/>
          <w:sz w:val="24"/>
          <w:szCs w:val="24"/>
          <w:lang w:val="en-US"/>
        </w:rPr>
        <w:t>Genotype polymorphism analysis</w:t>
      </w:r>
      <w:r w:rsidRPr="002D3696">
        <w:rPr>
          <w:b/>
          <w:i/>
          <w:sz w:val="24"/>
          <w:szCs w:val="24"/>
          <w:lang w:val="en-US"/>
        </w:rPr>
        <w:t>.</w:t>
      </w:r>
      <w:r w:rsidRPr="002D3696">
        <w:rPr>
          <w:b/>
          <w:sz w:val="24"/>
          <w:szCs w:val="24"/>
          <w:lang w:val="en-US"/>
        </w:rPr>
        <w:t xml:space="preserve"> </w:t>
      </w:r>
      <w:r>
        <w:rPr>
          <w:lang w:val="en-US"/>
        </w:rPr>
        <w:t>The</w:t>
      </w:r>
      <w:r w:rsidR="00D71D9E" w:rsidRPr="002D3696">
        <w:rPr>
          <w:lang w:val="en-US"/>
        </w:rPr>
        <w:t xml:space="preserve"> Taq1A polymorphism (rs1800497) is located in the ankyrin repeat and protein kinase domain-containing protein (ANKK)1 gene, downstream from the </w:t>
      </w:r>
      <w:r w:rsidR="00FA2B33">
        <w:rPr>
          <w:rFonts w:ascii="Cambria" w:hAnsi="Cambria" w:cs="Arial"/>
          <w:lang w:val="en-US"/>
        </w:rPr>
        <w:t>dopamine receptor</w:t>
      </w:r>
      <w:r>
        <w:rPr>
          <w:rFonts w:ascii="Cambria" w:hAnsi="Cambria" w:cs="Arial"/>
          <w:lang w:val="en-US"/>
        </w:rPr>
        <w:t xml:space="preserve"> 2 </w:t>
      </w:r>
      <w:r w:rsidR="00FA2B33">
        <w:rPr>
          <w:rFonts w:ascii="Cambria" w:hAnsi="Cambria" w:cs="Arial"/>
          <w:lang w:val="en-US"/>
        </w:rPr>
        <w:t xml:space="preserve">(D2) </w:t>
      </w:r>
      <w:r w:rsidR="00D71D9E" w:rsidRPr="002D3696">
        <w:rPr>
          <w:lang w:val="en-US"/>
        </w:rPr>
        <w:t>gene and therefore commonly used for D2 genotyping</w:t>
      </w:r>
      <w:r w:rsidR="00C87745" w:rsidRPr="005E253B">
        <w:rPr>
          <w:rFonts w:ascii="Times New Roman" w:hAnsi="Times New Roman"/>
          <w:sz w:val="24"/>
          <w:szCs w:val="24"/>
          <w:lang w:val="en-GB"/>
        </w:rPr>
        <w:fldChar w:fldCharType="begin"/>
      </w:r>
      <w:r w:rsidR="00D93E0D">
        <w:rPr>
          <w:rFonts w:ascii="Times New Roman" w:hAnsi="Times New Roman"/>
          <w:sz w:val="24"/>
          <w:szCs w:val="24"/>
          <w:lang w:val="en-GB"/>
        </w:rPr>
        <w:instrText xml:space="preserve"> ADDIN EN.CITE &lt;EndNote&gt;&lt;Cite&gt;&lt;Author&gt;Neville&lt;/Author&gt;&lt;Year&gt;2004&lt;/Year&gt;&lt;RecNum&gt;284&lt;/RecNum&gt;&lt;DisplayText&gt;&lt;style face="superscript"&gt;4&lt;/style&gt;&lt;/DisplayText&gt;&lt;record&gt;&lt;rec-number&gt;284&lt;/rec-number&gt;&lt;foreign-keys&gt;&lt;key app="EN" db-id="svtpt52savzpeoewpszx29s500zdwf9wr5vr" timestamp="1505720517"&gt;284&lt;/key&gt;&lt;/foreign-keys&gt;&lt;ref-type name="Journal Article"&gt;17&lt;/ref-type&gt;&lt;contributors&gt;&lt;authors&gt;&lt;author&gt;Neville, Matt J&lt;/author&gt;&lt;author&gt;Johnstone, Elaine C&lt;/author&gt;&lt;author&gt;Walton, Robert T&lt;/author&gt;&lt;/authors&gt;&lt;/contributors&gt;&lt;auth-address&gt;Cancer Research UK General Practice Research Group, Department of Clinical Pharmacology, University of Oxford, Oxford, UK. mneville@molbiol.ox.ac.uk&lt;/auth-address&gt;&lt;titles&gt;&lt;title&gt;Identification and characterization of ANKK1: a novel kinase gene closely linked to DRD2 on chromosome band 11q23.1.&lt;/title&gt;&lt;secondary-title&gt;Human mutation&lt;/secondary-title&gt;&lt;/titles&gt;&lt;periodical&gt;&lt;full-title&gt;Human mutation&lt;/full-title&gt;&lt;/periodical&gt;&lt;pages&gt;540-545&lt;/pages&gt;&lt;volume&gt;23&lt;/volume&gt;&lt;number&gt;6&lt;/number&gt;&lt;dates&gt;&lt;year&gt;2004&lt;/year&gt;&lt;pub-dates&gt;&lt;date&gt;Jun&lt;/date&gt;&lt;/pub-dates&gt;&lt;/dates&gt;&lt;accession-num&gt;15146457&lt;/accession-num&gt;&lt;label&gt;r01372&lt;/label&gt;&lt;urls&gt;&lt;related-urls&gt;&lt;url&gt;http://eutils.ncbi.nlm.nih.gov/entrez/eutils/elink.fcgi?dbfrom=pubmed&amp;amp;amp;id=15146457&amp;amp;amp;retmode=ref&amp;amp;amp;cmd=prlinks&lt;/url&gt;&lt;url&gt;http://onlinelibrary.wiley.com/store/10.1002/humu.20039/asset/20039_ftp.pdf?v=1&amp;amp;t=j7pv4int&amp;amp;s=bff865112ef5a4c2c9250eaa30912f79df35a61c&lt;/url&gt;&lt;/related-urls&gt;&lt;pdf-urls&gt;&lt;url&gt;file://localhost/Users/epelzer/Documents/Library.papers3/Articles/2004/Neville/Hum.%20Mutat.%202004%20Neville.pdf&lt;/url&gt;&lt;/pdf-urls&gt;&lt;/urls&gt;&lt;custom3&gt;papers3://publication/uuid/D1FB4AC2-E0F7-47B8-B671-B4004237725F&lt;/custom3&gt;&lt;electronic-resource-num&gt;10.1002/humu.20039&lt;/electronic-resource-num&gt;&lt;language&gt;English&lt;/language&gt;&lt;/record&gt;&lt;/Cite&gt;&lt;/EndNote&gt;</w:instrText>
      </w:r>
      <w:r w:rsidR="00C87745" w:rsidRPr="005E253B">
        <w:rPr>
          <w:rFonts w:ascii="Times New Roman" w:hAnsi="Times New Roman"/>
          <w:sz w:val="24"/>
          <w:szCs w:val="24"/>
          <w:lang w:val="en-GB"/>
        </w:rPr>
        <w:fldChar w:fldCharType="separate"/>
      </w:r>
      <w:r w:rsidR="00C87745" w:rsidRPr="00C87745">
        <w:rPr>
          <w:rFonts w:ascii="Times New Roman" w:hAnsi="Times New Roman"/>
          <w:noProof/>
          <w:sz w:val="24"/>
          <w:szCs w:val="24"/>
          <w:vertAlign w:val="superscript"/>
          <w:lang w:val="en-GB"/>
        </w:rPr>
        <w:t>4</w:t>
      </w:r>
      <w:r w:rsidR="00C87745" w:rsidRPr="005E253B">
        <w:rPr>
          <w:rFonts w:ascii="Times New Roman" w:hAnsi="Times New Roman"/>
          <w:sz w:val="24"/>
          <w:szCs w:val="24"/>
          <w:lang w:val="en-GB"/>
        </w:rPr>
        <w:fldChar w:fldCharType="end"/>
      </w:r>
      <w:r w:rsidR="00D71D9E" w:rsidRPr="002D3696">
        <w:rPr>
          <w:lang w:val="en-US"/>
        </w:rPr>
        <w:t>. Genotype</w:t>
      </w:r>
      <w:r>
        <w:rPr>
          <w:lang w:val="en-US"/>
        </w:rPr>
        <w:t>s</w:t>
      </w:r>
      <w:r w:rsidR="00AC4124">
        <w:rPr>
          <w:lang w:val="en-US"/>
        </w:rPr>
        <w:t xml:space="preserve"> A/A and A</w:t>
      </w:r>
      <w:r w:rsidR="00D71D9E" w:rsidRPr="002D3696">
        <w:rPr>
          <w:lang w:val="en-US"/>
        </w:rPr>
        <w:t>/</w:t>
      </w:r>
      <w:r w:rsidR="00AC4124">
        <w:rPr>
          <w:lang w:val="en-US"/>
        </w:rPr>
        <w:t>G</w:t>
      </w:r>
      <w:r w:rsidR="00D71D9E" w:rsidRPr="002D3696">
        <w:rPr>
          <w:lang w:val="en-US"/>
        </w:rPr>
        <w:t xml:space="preserve"> account as minor allele carriers </w:t>
      </w:r>
      <w:r w:rsidR="007F5A26">
        <w:rPr>
          <w:lang w:val="en-US"/>
        </w:rPr>
        <w:t>thereinafter</w:t>
      </w:r>
      <w:r w:rsidR="00D71D9E" w:rsidRPr="002D3696">
        <w:rPr>
          <w:lang w:val="en-US"/>
        </w:rPr>
        <w:t xml:space="preserve"> referred </w:t>
      </w:r>
      <w:r w:rsidR="007F5A26">
        <w:rPr>
          <w:lang w:val="en-US"/>
        </w:rPr>
        <w:t xml:space="preserve">to </w:t>
      </w:r>
      <w:r w:rsidR="00D71D9E" w:rsidRPr="002D3696">
        <w:rPr>
          <w:lang w:val="en-US"/>
        </w:rPr>
        <w:t>as ‘D2 positive’.</w:t>
      </w:r>
      <w:r>
        <w:rPr>
          <w:lang w:val="en-US"/>
        </w:rPr>
        <w:t xml:space="preserve"> </w:t>
      </w:r>
      <w:r w:rsidR="00AC4124">
        <w:rPr>
          <w:lang w:val="en-US"/>
        </w:rPr>
        <w:t>Interestingly, those individuals, who carry the minor alleles compared with those who do not, show diminished striatal D2 density</w:t>
      </w:r>
      <w:r w:rsidR="005372C9" w:rsidRPr="005E253B">
        <w:rPr>
          <w:rFonts w:ascii="Times New Roman" w:hAnsi="Times New Roman"/>
          <w:sz w:val="24"/>
          <w:szCs w:val="24"/>
          <w:lang w:val="en-GB"/>
        </w:rPr>
        <w:fldChar w:fldCharType="begin"/>
      </w:r>
      <w:r w:rsidR="00C87745">
        <w:rPr>
          <w:rFonts w:ascii="Times New Roman" w:hAnsi="Times New Roman"/>
          <w:sz w:val="24"/>
          <w:szCs w:val="24"/>
          <w:lang w:val="en-GB"/>
        </w:rPr>
        <w:instrText xml:space="preserve"> ADDIN EN.CITE &lt;EndNote&gt;&lt;Cite&gt;&lt;Author&gt;Jönsson&lt;/Author&gt;&lt;Year&gt;1999&lt;/Year&gt;&lt;RecNum&gt;43&lt;/RecNum&gt;&lt;DisplayText&gt;&lt;style face="superscript"&gt;5&lt;/style&gt;&lt;/DisplayText&gt;&lt;record&gt;&lt;rec-number&gt;43&lt;/rec-number&gt;&lt;foreign-keys&gt;&lt;key app="EN" db-id="xrpaewzt5dffrjezzz1x0f20522wwzz2z50x" timestamp="1528707682"&gt;43&lt;/key&gt;&lt;/foreign-keys&gt;&lt;ref-type name="Journal Article"&gt;17&lt;/ref-type&gt;&lt;contributors&gt;&lt;authors&gt;&lt;author&gt;Jönsson, E G&lt;/author&gt;&lt;author&gt;Nöthen, M M&lt;/author&gt;&lt;author&gt;Grünhage, F&lt;/author&gt;&lt;author&gt;Farde, L&lt;/author&gt;&lt;author&gt;Nakashima, Y&lt;/author&gt;&lt;author&gt;Propping, P&lt;/author&gt;&lt;author&gt;Sedvall, G C&lt;/author&gt;&lt;/authors&gt;&lt;/contributors&gt;&lt;titles&gt;&lt;title&gt;Polymorphisms in the dopamine D2 receptor gene and their relationships to striatal dopamine receptor density of healthy volunteers&lt;/title&gt;&lt;secondary-title&gt;Molecular psychiatry&lt;/secondary-title&gt;&lt;/titles&gt;&lt;periodical&gt;&lt;full-title&gt;Molecular psychiatry&lt;/full-title&gt;&lt;/periodical&gt;&lt;pages&gt;290-296&lt;/pages&gt;&lt;volume&gt;4&lt;/volume&gt;&lt;number&gt;3&lt;/number&gt;&lt;dates&gt;&lt;year&gt;1999&lt;/year&gt;&lt;/dates&gt;&lt;accession-num&gt;10.1038/sj.mp.4000532&lt;/accession-num&gt;&lt;label&gt;r01752&lt;/label&gt;&lt;urls&gt;&lt;related-urls&gt;&lt;url&gt;http://www.nature.com/articles/4000532&lt;/url&gt;&lt;url&gt;http://www.nature.com/articles/4000532.pdf&lt;/url&gt;&lt;/related-urls&gt;&lt;/urls&gt;&lt;custom3&gt;papers3://publication/uuid/1154C577-B41E-4D15-A54B-50D7736495BA&lt;/custom3&gt;&lt;electronic-resource-num&gt;10.1038/sj.mp.4000532&lt;/electronic-resource-num&gt;&lt;language&gt;English&lt;/language&gt;&lt;/record&gt;&lt;/Cite&gt;&lt;/EndNote&gt;</w:instrText>
      </w:r>
      <w:r w:rsidR="005372C9" w:rsidRPr="005E253B">
        <w:rPr>
          <w:rFonts w:ascii="Times New Roman" w:hAnsi="Times New Roman"/>
          <w:sz w:val="24"/>
          <w:szCs w:val="24"/>
          <w:lang w:val="en-GB"/>
        </w:rPr>
        <w:fldChar w:fldCharType="separate"/>
      </w:r>
      <w:r w:rsidR="00C87745" w:rsidRPr="00C87745">
        <w:rPr>
          <w:rFonts w:ascii="Times New Roman" w:hAnsi="Times New Roman"/>
          <w:noProof/>
          <w:sz w:val="24"/>
          <w:szCs w:val="24"/>
          <w:vertAlign w:val="superscript"/>
          <w:lang w:val="en-GB"/>
        </w:rPr>
        <w:t>5</w:t>
      </w:r>
      <w:r w:rsidR="005372C9" w:rsidRPr="005E253B">
        <w:rPr>
          <w:rFonts w:ascii="Times New Roman" w:hAnsi="Times New Roman"/>
          <w:sz w:val="24"/>
          <w:szCs w:val="24"/>
          <w:lang w:val="en-GB"/>
        </w:rPr>
        <w:fldChar w:fldCharType="end"/>
      </w:r>
      <w:r w:rsidR="005372C9">
        <w:rPr>
          <w:rFonts w:ascii="Times New Roman" w:hAnsi="Times New Roman"/>
          <w:sz w:val="24"/>
          <w:szCs w:val="24"/>
          <w:lang w:val="en-GB"/>
        </w:rPr>
        <w:t>.</w:t>
      </w:r>
      <w:r w:rsidR="00121835">
        <w:rPr>
          <w:rFonts w:ascii="Times New Roman" w:hAnsi="Times New Roman"/>
          <w:sz w:val="24"/>
          <w:szCs w:val="24"/>
          <w:lang w:val="en-GB"/>
        </w:rPr>
        <w:t xml:space="preserve"> </w:t>
      </w:r>
      <w:r w:rsidR="00D71D9E" w:rsidRPr="002D3696">
        <w:rPr>
          <w:lang w:val="en-US"/>
        </w:rPr>
        <w:t xml:space="preserve">For D3 polymorphism, the rs6280(C) minor allele was analyzed, in which the amino acid serine was substituted by glycine. These minor-allele carriers with C/C and C/T genotype </w:t>
      </w:r>
      <w:r w:rsidR="00A962F7">
        <w:rPr>
          <w:lang w:val="en-US"/>
        </w:rPr>
        <w:t>are</w:t>
      </w:r>
      <w:r w:rsidR="00D71D9E" w:rsidRPr="002D3696">
        <w:rPr>
          <w:lang w:val="en-US"/>
        </w:rPr>
        <w:t xml:space="preserve"> referred </w:t>
      </w:r>
      <w:r w:rsidR="007F5A26">
        <w:rPr>
          <w:lang w:val="en-US"/>
        </w:rPr>
        <w:t xml:space="preserve">to </w:t>
      </w:r>
      <w:r w:rsidR="00D71D9E" w:rsidRPr="002D3696">
        <w:rPr>
          <w:lang w:val="en-US"/>
        </w:rPr>
        <w:t>as ‘D3 positive’ in the following.</w:t>
      </w:r>
    </w:p>
    <w:p w14:paraId="0CF03BCE" w14:textId="35E1BD06" w:rsidR="00D71D9E" w:rsidRPr="002D3696" w:rsidRDefault="00D71D9E" w:rsidP="007C73AF">
      <w:pPr>
        <w:spacing w:line="360" w:lineRule="auto"/>
        <w:ind w:firstLine="708"/>
        <w:jc w:val="both"/>
        <w:rPr>
          <w:lang w:val="en-US"/>
        </w:rPr>
      </w:pPr>
      <w:r w:rsidRPr="002D3696">
        <w:rPr>
          <w:lang w:val="en-US"/>
        </w:rPr>
        <w:t>The DNA was isolated from peripheral blood samples usi</w:t>
      </w:r>
      <w:r w:rsidR="006B73D4">
        <w:rPr>
          <w:lang w:val="en-US"/>
        </w:rPr>
        <w:t xml:space="preserve">ng </w:t>
      </w:r>
      <w:proofErr w:type="spellStart"/>
      <w:r w:rsidR="006B73D4">
        <w:rPr>
          <w:lang w:val="en-US"/>
        </w:rPr>
        <w:t>QIAamp</w:t>
      </w:r>
      <w:proofErr w:type="spellEnd"/>
      <w:r w:rsidR="006B73D4">
        <w:rPr>
          <w:lang w:val="en-US"/>
        </w:rPr>
        <w:t xml:space="preserve"> DNA Blood Mini Kit (#</w:t>
      </w:r>
      <w:r w:rsidRPr="002D3696">
        <w:rPr>
          <w:lang w:val="en-US"/>
        </w:rPr>
        <w:t>51106, QIAGEN) according to the manufacturer's instructions. An ND-1000 UV/Vis-Spectrophotometer (</w:t>
      </w:r>
      <w:proofErr w:type="spellStart"/>
      <w:r w:rsidRPr="002D3696">
        <w:rPr>
          <w:lang w:val="en-US"/>
        </w:rPr>
        <w:t>Peqlab</w:t>
      </w:r>
      <w:proofErr w:type="spellEnd"/>
      <w:r w:rsidRPr="002D3696">
        <w:rPr>
          <w:lang w:val="en-US"/>
        </w:rPr>
        <w:t xml:space="preserve">) assessed concentration and quality of the DNA. SNP genotyping for </w:t>
      </w:r>
      <w:r w:rsidR="007C73AF" w:rsidRPr="002D3696">
        <w:rPr>
          <w:lang w:val="en-US"/>
        </w:rPr>
        <w:t xml:space="preserve">rs1800497 (ANKK1) </w:t>
      </w:r>
      <w:r w:rsidR="007C73AF">
        <w:rPr>
          <w:lang w:val="en-US"/>
        </w:rPr>
        <w:t xml:space="preserve">and </w:t>
      </w:r>
      <w:r w:rsidR="00FA2B33">
        <w:rPr>
          <w:lang w:val="en-US"/>
        </w:rPr>
        <w:t>rs6280 (D</w:t>
      </w:r>
      <w:r w:rsidRPr="002D3696">
        <w:rPr>
          <w:lang w:val="en-US"/>
        </w:rPr>
        <w:t>3) was performed with 20ng of DNA in triplicates using allelic discrimination assays (TaqMan SNP Genotyping Assays, Applied Biosystems by Invitrogen). A 7900HT Fast Real-Time PCR System (Applied Biosystems) was used for genotyping PCR</w:t>
      </w:r>
      <w:r w:rsidR="00A962F7">
        <w:rPr>
          <w:lang w:val="en-US"/>
        </w:rPr>
        <w:t>. T</w:t>
      </w:r>
      <w:r w:rsidRPr="002D3696">
        <w:rPr>
          <w:lang w:val="en-US"/>
        </w:rPr>
        <w:t>he obtained fluorescence data were computed with Sequence Detection Software version 2.3 (Applied Biosystems).</w:t>
      </w:r>
    </w:p>
    <w:p w14:paraId="69EB6BAF" w14:textId="77777777" w:rsidR="007B6C8E" w:rsidRDefault="00023519" w:rsidP="007B6C8E">
      <w:pPr>
        <w:spacing w:line="360" w:lineRule="auto"/>
        <w:jc w:val="both"/>
        <w:rPr>
          <w:rFonts w:cs="Times New Roman"/>
          <w:lang w:val="en-US"/>
        </w:rPr>
      </w:pPr>
      <w:r w:rsidRPr="00BA48D6">
        <w:rPr>
          <w:rFonts w:cstheme="minorHAnsi"/>
          <w:b/>
          <w:i/>
          <w:lang w:val="en-US"/>
        </w:rPr>
        <w:t>Clustering method</w:t>
      </w:r>
      <w:r w:rsidRPr="00BA48D6">
        <w:rPr>
          <w:rFonts w:cs="Times New Roman"/>
          <w:b/>
          <w:i/>
          <w:lang w:val="en-US"/>
        </w:rPr>
        <w:t>.</w:t>
      </w:r>
      <w:r w:rsidR="007A034A" w:rsidRPr="00BA48D6">
        <w:rPr>
          <w:rFonts w:cs="Times New Roman"/>
          <w:lang w:val="en-US"/>
        </w:rPr>
        <w:t xml:space="preserve"> </w:t>
      </w:r>
      <w:r w:rsidR="00F51E15" w:rsidRPr="00BA48D6">
        <w:rPr>
          <w:rFonts w:cs="Times New Roman"/>
          <w:lang w:val="en-US"/>
        </w:rPr>
        <w:t xml:space="preserve">To consider core parameters of </w:t>
      </w:r>
      <w:proofErr w:type="spellStart"/>
      <w:r w:rsidR="00F51E15" w:rsidRPr="00BA48D6">
        <w:rPr>
          <w:rFonts w:cs="Times New Roman"/>
          <w:lang w:val="en-US"/>
        </w:rPr>
        <w:t>iPD</w:t>
      </w:r>
      <w:proofErr w:type="spellEnd"/>
      <w:r w:rsidR="00F51E15" w:rsidRPr="00BA48D6">
        <w:rPr>
          <w:rFonts w:cs="Times New Roman"/>
          <w:lang w:val="en-US"/>
        </w:rPr>
        <w:t xml:space="preserve"> motor symptoms and account for the impact of gender as well as dopamine receptor polymorphisms at the same time, we included the following var</w:t>
      </w:r>
      <w:r w:rsidR="00345DF6" w:rsidRPr="00BA48D6">
        <w:rPr>
          <w:rFonts w:cs="Times New Roman"/>
          <w:lang w:val="en-US"/>
        </w:rPr>
        <w:t>iables: gender</w:t>
      </w:r>
      <w:r w:rsidR="00F51E15" w:rsidRPr="00BA48D6">
        <w:rPr>
          <w:rFonts w:cs="Times New Roman"/>
          <w:lang w:val="en-US"/>
        </w:rPr>
        <w:t>, age at onset, symptom onset</w:t>
      </w:r>
      <w:r w:rsidR="00A962F7">
        <w:rPr>
          <w:rFonts w:cs="Times New Roman"/>
          <w:lang w:val="en-US"/>
        </w:rPr>
        <w:t xml:space="preserve"> side</w:t>
      </w:r>
      <w:r w:rsidR="00F51E15" w:rsidRPr="00BA48D6">
        <w:rPr>
          <w:rFonts w:cs="Times New Roman"/>
          <w:lang w:val="en-US"/>
        </w:rPr>
        <w:t xml:space="preserve">, disease progression OFF, </w:t>
      </w:r>
      <w:r w:rsidR="00736E6E" w:rsidRPr="00BA48D6">
        <w:rPr>
          <w:rFonts w:cs="Times New Roman"/>
          <w:lang w:val="en-US"/>
        </w:rPr>
        <w:t xml:space="preserve">standardized </w:t>
      </w:r>
      <w:r w:rsidR="00FA2B33">
        <w:rPr>
          <w:rFonts w:cs="Times New Roman"/>
          <w:lang w:val="en-US"/>
        </w:rPr>
        <w:t>medication response, D2 and D</w:t>
      </w:r>
      <w:r w:rsidR="00F51E15" w:rsidRPr="00BA48D6">
        <w:rPr>
          <w:rFonts w:cs="Times New Roman"/>
          <w:lang w:val="en-US"/>
        </w:rPr>
        <w:t xml:space="preserve">3 genotypes as well as tremor-/akinetic-rigid score. </w:t>
      </w:r>
      <w:r w:rsidR="002C38D4">
        <w:rPr>
          <w:rFonts w:cs="Times New Roman"/>
          <w:lang w:val="en-US"/>
        </w:rPr>
        <w:t xml:space="preserve">To facilitate the usage of </w:t>
      </w:r>
      <w:r w:rsidR="002C38D4" w:rsidRPr="00BA48D6">
        <w:rPr>
          <w:rFonts w:cs="Times New Roman"/>
          <w:lang w:val="en-US"/>
        </w:rPr>
        <w:t>continuous and dichotomous variables in one clustering model</w:t>
      </w:r>
      <w:r w:rsidR="002C38D4">
        <w:rPr>
          <w:rFonts w:cs="Times New Roman"/>
          <w:lang w:val="en-US"/>
        </w:rPr>
        <w:t>, all parameters</w:t>
      </w:r>
      <w:r w:rsidR="00F51E15" w:rsidRPr="00BA48D6">
        <w:rPr>
          <w:rFonts w:cs="Times New Roman"/>
          <w:lang w:val="en-US"/>
        </w:rPr>
        <w:t xml:space="preserve"> </w:t>
      </w:r>
      <w:r w:rsidR="006C2182" w:rsidRPr="00BA48D6">
        <w:rPr>
          <w:rFonts w:cs="Times New Roman"/>
          <w:lang w:val="en-US"/>
        </w:rPr>
        <w:t>were standardized by computing z-scores</w:t>
      </w:r>
      <w:r w:rsidR="006C2182" w:rsidRPr="00BA48D6" w:rsidDel="002C38D4">
        <w:rPr>
          <w:rFonts w:cs="Times New Roman"/>
          <w:lang w:val="en-US"/>
        </w:rPr>
        <w:t xml:space="preserve"> </w:t>
      </w:r>
      <w:r w:rsidR="00121835">
        <w:rPr>
          <w:rFonts w:cs="Times New Roman"/>
          <w:lang w:val="en-US"/>
        </w:rPr>
        <w:t>and</w:t>
      </w:r>
      <w:r w:rsidR="006C2182">
        <w:rPr>
          <w:rFonts w:cs="Times New Roman"/>
          <w:lang w:val="en-US"/>
        </w:rPr>
        <w:t xml:space="preserve"> further</w:t>
      </w:r>
      <w:r w:rsidR="00F51E15" w:rsidRPr="00BA48D6">
        <w:rPr>
          <w:rFonts w:cs="Times New Roman"/>
          <w:lang w:val="en-US"/>
        </w:rPr>
        <w:t xml:space="preserve"> transformed into a common space using constant-shift-embedding</w:t>
      </w:r>
      <w:r w:rsidR="00AF4D91" w:rsidRPr="00BA48D6">
        <w:rPr>
          <w:rFonts w:cs="Times New Roman"/>
          <w:lang w:val="en-US"/>
        </w:rPr>
        <w:fldChar w:fldCharType="begin"/>
      </w:r>
      <w:r w:rsidR="00AF4D91" w:rsidRPr="00BA48D6">
        <w:rPr>
          <w:rFonts w:cs="Times New Roman"/>
          <w:lang w:val="en-US"/>
        </w:rPr>
        <w:instrText xml:space="preserve"> ADDIN EN.CITE &lt;EndNote&gt;&lt;Cite&gt;&lt;Author&gt;Roth&lt;/Author&gt;&lt;Year&gt;2003&lt;/Year&gt;&lt;RecNum&gt;18&lt;/RecNum&gt;&lt;DisplayText&gt;&lt;style face="superscript"&gt;6&lt;/style&gt;&lt;/DisplayText&gt;&lt;record&gt;&lt;rec-number&gt;18&lt;/rec-number&gt;&lt;foreign-keys&gt;&lt;key app="EN" db-id="9peve9f2n0ea9uetr94xa908dtswtxxzsdwa" timestamp="1573563988"&gt;18&lt;/key&gt;&lt;/foreign-keys&gt;&lt;ref-type name="Journal Article"&gt;17&lt;/ref-type&gt;&lt;contributors&gt;&lt;authors&gt;&lt;author&gt;Roth, V&lt;/author&gt;&lt;author&gt;Laub, J&lt;/author&gt;&lt;author&gt;Kawanabe, M&lt;/author&gt;&lt;author&gt;Buhmann, J M&lt;/author&gt;&lt;/authors&gt;&lt;/contributors&gt;&lt;titles&gt;&lt;title&gt;Optimal cluster preserving embedding of nonmetric proximity data&lt;/title&gt;&lt;secondary-title&gt;IEEE Transactions on Pattern Analysis and Machine Intelligence&lt;/secondary-title&gt;&lt;/titles&gt;&lt;periodical&gt;&lt;full-title&gt;IEEE Transactions on Pattern Analysis and Machine Intelligence&lt;/full-title&gt;&lt;/periodical&gt;&lt;pages&gt;1540-1551&lt;/pages&gt;&lt;volume&gt;25&lt;/volume&gt;&lt;number&gt;12&lt;/number&gt;&lt;dates&gt;&lt;year&gt;2003&lt;/year&gt;&lt;pub-dates&gt;&lt;date&gt;Dec&lt;/date&gt;&lt;/pub-dates&gt;&lt;/dates&gt;&lt;label&gt;r02223&lt;/label&gt;&lt;urls&gt;&lt;related-urls&gt;&lt;url&gt;http://ieeexplore.ieee.org/document/1251147/&lt;/url&gt;&lt;/related-urls&gt;&lt;/urls&gt;&lt;custom3&gt;papers3://publication/uuid/4CC63E45-FAED-4F8A-BEDD-F8D22F09F613&lt;/custom3&gt;&lt;electronic-resource-num&gt;10.1109/TPAMI.2003.1251147&lt;/electronic-resource-num&gt;&lt;language&gt;English&lt;/language&gt;&lt;/record&gt;&lt;/Cite&gt;&lt;/EndNote&gt;</w:instrText>
      </w:r>
      <w:r w:rsidR="00AF4D91" w:rsidRPr="00BA48D6">
        <w:rPr>
          <w:rFonts w:cs="Times New Roman"/>
          <w:lang w:val="en-US"/>
        </w:rPr>
        <w:fldChar w:fldCharType="separate"/>
      </w:r>
      <w:r w:rsidR="00AF4D91" w:rsidRPr="00BA48D6">
        <w:rPr>
          <w:rFonts w:cs="Times New Roman"/>
          <w:noProof/>
          <w:vertAlign w:val="superscript"/>
          <w:lang w:val="en-US"/>
        </w:rPr>
        <w:t>6</w:t>
      </w:r>
      <w:r w:rsidR="00AF4D91" w:rsidRPr="00BA48D6">
        <w:rPr>
          <w:rFonts w:cs="Times New Roman"/>
          <w:lang w:val="en-US"/>
        </w:rPr>
        <w:fldChar w:fldCharType="end"/>
      </w:r>
      <w:r w:rsidR="00F51E15" w:rsidRPr="00BA48D6">
        <w:rPr>
          <w:rFonts w:cs="Times New Roman"/>
          <w:lang w:val="en-US"/>
        </w:rPr>
        <w:t xml:space="preserve">. </w:t>
      </w:r>
      <w:r w:rsidR="006C2182">
        <w:rPr>
          <w:rFonts w:cs="Times New Roman"/>
          <w:lang w:val="en-US"/>
        </w:rPr>
        <w:t xml:space="preserve">Based on these transformed parameters </w:t>
      </w:r>
      <w:r w:rsidR="00F51E15" w:rsidRPr="00BA48D6">
        <w:rPr>
          <w:rFonts w:cs="Times New Roman"/>
          <w:lang w:val="en-US"/>
        </w:rPr>
        <w:t>k-means</w:t>
      </w:r>
      <w:r w:rsidR="006C2182">
        <w:rPr>
          <w:rFonts w:cs="Times New Roman"/>
          <w:lang w:val="en-US"/>
        </w:rPr>
        <w:t xml:space="preserve"> clustering</w:t>
      </w:r>
      <w:r w:rsidR="00B91728" w:rsidRPr="00BA48D6">
        <w:rPr>
          <w:rFonts w:cs="Times New Roman"/>
          <w:lang w:val="en-US"/>
        </w:rPr>
        <w:fldChar w:fldCharType="begin"/>
      </w:r>
      <w:r w:rsidR="00AF4D91" w:rsidRPr="00BA48D6">
        <w:rPr>
          <w:rFonts w:cs="Times New Roman"/>
          <w:lang w:val="en-US"/>
        </w:rPr>
        <w:instrText xml:space="preserve"> ADDIN EN.CITE &lt;EndNote&gt;&lt;Cite&gt;&lt;Author&gt;Bishop&lt;/Author&gt;&lt;Year&gt;2016&lt;/Year&gt;&lt;RecNum&gt;16&lt;/RecNum&gt;&lt;DisplayText&gt;&lt;style face="superscript"&gt;7&lt;/style&gt;&lt;/DisplayText&gt;&lt;record&gt;&lt;rec-number&gt;16&lt;/rec-number&gt;&lt;foreign-keys&gt;&lt;key app="EN" db-id="9peve9f2n0ea9uetr94xa908dtswtxxzsdwa" timestamp="1573563189"&gt;16&lt;/key&gt;&lt;/foreign-keys&gt;&lt;ref-type name="Book"&gt;6&lt;/ref-type&gt;&lt;contributors&gt;&lt;authors&gt;&lt;author&gt;Bishop, Christopher M&lt;/author&gt;&lt;/authors&gt;&lt;/contributors&gt;&lt;titles&gt;&lt;title&gt;Pattern Recognition and Machine Learning&lt;/title&gt;&lt;/titles&gt;&lt;pages&gt;738&lt;/pages&gt;&lt;dates&gt;&lt;year&gt;2016&lt;/year&gt;&lt;pub-dates&gt;&lt;date&gt;Aug 23&lt;/date&gt;&lt;/pub-dates&gt;&lt;/dates&gt;&lt;publisher&gt;Springer&lt;/publisher&gt;&lt;isbn&gt;9781493938438&lt;/isbn&gt;&lt;accession-num&gt;kOXDtAEACAAJ&lt;/accession-num&gt;&lt;label&gt;r02210&lt;/label&gt;&lt;urls&gt;&lt;related-urls&gt;&lt;url&gt;http://books.google.de/books?id=kOXDtAEACAAJ&amp;amp;amp;dq=intitle:Pattern+Recognition+and+Machine+Learning+Christopher+Bishop+Springer&amp;amp;amp;hl=&amp;amp;amp;cd=1&amp;amp;amp;source=gbs_api&lt;/url&gt;&lt;/related-urls&gt;&lt;/urls&gt;&lt;custom3&gt;papers3://publication/uuid/9D2F50FE-9425-469F-B230-D726393F435C&lt;/custom3&gt;&lt;language&gt;English&lt;/language&gt;&lt;/record&gt;&lt;/Cite&gt;&lt;/EndNote&gt;</w:instrText>
      </w:r>
      <w:r w:rsidR="00B91728" w:rsidRPr="00BA48D6">
        <w:rPr>
          <w:rFonts w:cs="Times New Roman"/>
          <w:lang w:val="en-US"/>
        </w:rPr>
        <w:fldChar w:fldCharType="separate"/>
      </w:r>
      <w:r w:rsidR="00AF4D91" w:rsidRPr="00BA48D6">
        <w:rPr>
          <w:rFonts w:cs="Times New Roman"/>
          <w:noProof/>
          <w:vertAlign w:val="superscript"/>
          <w:lang w:val="en-US"/>
        </w:rPr>
        <w:t>7</w:t>
      </w:r>
      <w:r w:rsidR="00B91728" w:rsidRPr="00BA48D6">
        <w:rPr>
          <w:rFonts w:cs="Times New Roman"/>
          <w:lang w:val="en-US"/>
        </w:rPr>
        <w:fldChar w:fldCharType="end"/>
      </w:r>
      <w:r w:rsidR="006C2182">
        <w:rPr>
          <w:rFonts w:cs="Times New Roman"/>
          <w:lang w:val="en-US"/>
        </w:rPr>
        <w:t xml:space="preserve"> was utilized to identify subclasses within our patient cohort. The optimal cluster </w:t>
      </w:r>
      <w:r w:rsidR="006C2182">
        <w:rPr>
          <w:rFonts w:cs="Times New Roman"/>
          <w:lang w:val="en-US"/>
        </w:rPr>
        <w:lastRenderedPageBreak/>
        <w:t xml:space="preserve">number was then assessed by validating all </w:t>
      </w:r>
      <w:proofErr w:type="spellStart"/>
      <w:r w:rsidR="004A1C59">
        <w:rPr>
          <w:rFonts w:cs="Times New Roman"/>
          <w:lang w:val="en-US"/>
        </w:rPr>
        <w:t>cluster</w:t>
      </w:r>
      <w:r w:rsidR="00A31107">
        <w:rPr>
          <w:rFonts w:cs="Times New Roman"/>
          <w:lang w:val="en-US"/>
        </w:rPr>
        <w:t>ings</w:t>
      </w:r>
      <w:proofErr w:type="spellEnd"/>
      <w:r w:rsidR="006C2182">
        <w:rPr>
          <w:rFonts w:cs="Times New Roman"/>
          <w:lang w:val="en-US"/>
        </w:rPr>
        <w:t xml:space="preserve"> </w:t>
      </w:r>
      <w:r w:rsidR="00A31107">
        <w:rPr>
          <w:rFonts w:cs="Times New Roman"/>
          <w:lang w:val="en-US"/>
        </w:rPr>
        <w:t>using</w:t>
      </w:r>
      <w:r w:rsidR="00A31107" w:rsidRPr="00BA48D6">
        <w:rPr>
          <w:rFonts w:cs="Times New Roman"/>
          <w:lang w:val="en-US"/>
        </w:rPr>
        <w:t xml:space="preserve"> </w:t>
      </w:r>
      <w:r w:rsidR="00F51E15" w:rsidRPr="00BA48D6">
        <w:rPr>
          <w:rFonts w:cs="Times New Roman"/>
          <w:lang w:val="en-US"/>
        </w:rPr>
        <w:t xml:space="preserve">the </w:t>
      </w:r>
      <w:proofErr w:type="spellStart"/>
      <w:r w:rsidR="00F51E15" w:rsidRPr="00BA48D6">
        <w:rPr>
          <w:rFonts w:cs="Times New Roman"/>
          <w:lang w:val="en-US"/>
        </w:rPr>
        <w:t>Calinski-Harabasz</w:t>
      </w:r>
      <w:proofErr w:type="spellEnd"/>
      <w:r w:rsidR="00F51E15" w:rsidRPr="00BA48D6">
        <w:rPr>
          <w:rFonts w:cs="Times New Roman"/>
          <w:lang w:val="en-US"/>
        </w:rPr>
        <w:t xml:space="preserve"> criterion</w:t>
      </w:r>
      <w:r w:rsidR="005F04E4" w:rsidRPr="00BA48D6">
        <w:rPr>
          <w:rFonts w:cs="Times New Roman"/>
          <w:lang w:val="en-US"/>
        </w:rPr>
        <w:fldChar w:fldCharType="begin"/>
      </w:r>
      <w:r w:rsidR="00AF4D91" w:rsidRPr="00BA48D6">
        <w:rPr>
          <w:rFonts w:cs="Times New Roman"/>
          <w:lang w:val="en-US"/>
        </w:rPr>
        <w:instrText xml:space="preserve"> ADDIN EN.CITE &lt;EndNote&gt;&lt;Cite&gt;&lt;Author&gt;Caliński&lt;/Author&gt;&lt;Year&gt;1974&lt;/Year&gt;&lt;RecNum&gt;17&lt;/RecNum&gt;&lt;DisplayText&gt;&lt;style face="superscript"&gt;8&lt;/style&gt;&lt;/DisplayText&gt;&lt;record&gt;&lt;rec-number&gt;17&lt;/rec-number&gt;&lt;foreign-keys&gt;&lt;key app="EN" db-id="9peve9f2n0ea9uetr94xa908dtswtxxzsdwa" timestamp="1573563608"&gt;17&lt;/key&gt;&lt;/foreign-keys&gt;&lt;ref-type name="Journal Article"&gt;17&lt;/ref-type&gt;&lt;contributors&gt;&lt;authors&gt;&lt;author&gt;Caliński, T&lt;/author&gt;&lt;author&gt;Harabasz, J&lt;/author&gt;&lt;/authors&gt;&lt;/contributors&gt;&lt;titles&gt;&lt;title&gt;A dendrite method for cluster analysis&lt;/title&gt;&lt;secondary-title&gt;Communications in Statistics - Theory and Methods&lt;/secondary-title&gt;&lt;/titles&gt;&lt;periodical&gt;&lt;full-title&gt;Communications in Statistics - Theory and Methods&lt;/full-title&gt;&lt;/periodical&gt;&lt;pages&gt;1-27&lt;/pages&gt;&lt;volume&gt;3&lt;/volume&gt;&lt;number&gt;1&lt;/number&gt;&lt;dates&gt;&lt;year&gt;1974&lt;/year&gt;&lt;/dates&gt;&lt;publisher&gt;Taylor &amp;amp;amp; Francis&lt;/publisher&gt;&lt;label&gt;r02222&lt;/label&gt;&lt;urls&gt;&lt;related-urls&gt;&lt;url&gt;http://www.tandfonline.com/doi/abs/10.1080/03610927408827101&lt;/url&gt;&lt;/related-urls&gt;&lt;/urls&gt;&lt;custom3&gt;papers3://publication/uuid/E51B614B-F6FF-48D5-9DD5-25DB33BE396B&lt;/custom3&gt;&lt;electronic-resource-num&gt;10.1080/03610927408827101&lt;/electronic-resource-num&gt;&lt;language&gt;English&lt;/language&gt;&lt;/record&gt;&lt;/Cite&gt;&lt;/EndNote&gt;</w:instrText>
      </w:r>
      <w:r w:rsidR="005F04E4" w:rsidRPr="00BA48D6">
        <w:rPr>
          <w:rFonts w:cs="Times New Roman"/>
          <w:lang w:val="en-US"/>
        </w:rPr>
        <w:fldChar w:fldCharType="separate"/>
      </w:r>
      <w:r w:rsidR="00AF4D91" w:rsidRPr="00BA48D6">
        <w:rPr>
          <w:rFonts w:cs="Times New Roman"/>
          <w:noProof/>
          <w:vertAlign w:val="superscript"/>
          <w:lang w:val="en-US"/>
        </w:rPr>
        <w:t>8</w:t>
      </w:r>
      <w:r w:rsidR="005F04E4" w:rsidRPr="00BA48D6">
        <w:rPr>
          <w:rFonts w:cs="Times New Roman"/>
          <w:lang w:val="en-US"/>
        </w:rPr>
        <w:fldChar w:fldCharType="end"/>
      </w:r>
      <w:r w:rsidR="00F51E15" w:rsidRPr="00BA48D6">
        <w:rPr>
          <w:rFonts w:cs="Times New Roman"/>
          <w:lang w:val="en-US"/>
        </w:rPr>
        <w:t xml:space="preserve">. </w:t>
      </w:r>
      <w:r w:rsidR="006C2182">
        <w:rPr>
          <w:rFonts w:cs="Times New Roman"/>
          <w:lang w:val="en-US"/>
        </w:rPr>
        <w:t>An</w:t>
      </w:r>
      <w:r w:rsidR="006C2182" w:rsidRPr="00BA48D6">
        <w:rPr>
          <w:rFonts w:cs="Times New Roman"/>
          <w:lang w:val="en-US"/>
        </w:rPr>
        <w:t xml:space="preserve"> </w:t>
      </w:r>
      <w:r w:rsidR="00AB0E91" w:rsidRPr="00BA48D6">
        <w:rPr>
          <w:rFonts w:cs="Times New Roman"/>
          <w:lang w:val="en-US"/>
        </w:rPr>
        <w:t>illustration of our r</w:t>
      </w:r>
      <w:r w:rsidR="003C6001" w:rsidRPr="00BA48D6">
        <w:rPr>
          <w:rFonts w:cs="Times New Roman"/>
          <w:lang w:val="en-US"/>
        </w:rPr>
        <w:t>esults can be found in Figure 1A</w:t>
      </w:r>
      <w:r w:rsidR="00AB0E91" w:rsidRPr="00BA48D6">
        <w:rPr>
          <w:rFonts w:cs="Times New Roman"/>
          <w:lang w:val="en-US"/>
        </w:rPr>
        <w:t xml:space="preserve"> in the main article. </w:t>
      </w:r>
    </w:p>
    <w:p w14:paraId="6682A7FA" w14:textId="078F17CE" w:rsidR="00152059" w:rsidRPr="00BA48D6" w:rsidRDefault="00AB0E91" w:rsidP="007B6C8E">
      <w:pPr>
        <w:spacing w:line="360" w:lineRule="auto"/>
        <w:jc w:val="both"/>
        <w:rPr>
          <w:rFonts w:cs="Times New Roman"/>
          <w:lang w:val="en-US"/>
        </w:rPr>
      </w:pPr>
      <w:r w:rsidRPr="00BA48D6">
        <w:rPr>
          <w:rFonts w:cs="Times New Roman"/>
          <w:lang w:val="en-US"/>
        </w:rPr>
        <w:t xml:space="preserve">After conducting the cluster analysis, we performed </w:t>
      </w:r>
      <w:r w:rsidRPr="00BA48D6">
        <w:rPr>
          <w:rFonts w:cs="Times New Roman"/>
          <w:i/>
          <w:lang w:val="en-US"/>
        </w:rPr>
        <w:t>post-hoc</w:t>
      </w:r>
      <w:r w:rsidRPr="00BA48D6">
        <w:rPr>
          <w:rFonts w:cs="Times New Roman"/>
          <w:lang w:val="en-US"/>
        </w:rPr>
        <w:t xml:space="preserve"> analysis </w:t>
      </w:r>
      <w:r w:rsidR="00E05451">
        <w:rPr>
          <w:rFonts w:cs="Times New Roman"/>
          <w:lang w:val="en-US"/>
        </w:rPr>
        <w:t>for</w:t>
      </w:r>
      <w:r w:rsidRPr="00BA48D6">
        <w:rPr>
          <w:rFonts w:cs="Times New Roman"/>
          <w:lang w:val="en-US"/>
        </w:rPr>
        <w:t xml:space="preserve"> each variable. Depending on the variable characteristic (dichotomous or continuous) as well as their distribution (parametric or non-parametric), we used Chi-squared test, ordinary one-way ANOVA or Kruskal-Wallis tests, respectively. Subsequent </w:t>
      </w:r>
      <w:r w:rsidR="00F5628B" w:rsidRPr="00BA48D6">
        <w:rPr>
          <w:rFonts w:cs="Times New Roman"/>
          <w:lang w:val="en-US"/>
        </w:rPr>
        <w:t>False Discovery Rate (FDR; q=5%) was applied to adjust</w:t>
      </w:r>
      <w:r w:rsidRPr="00BA48D6">
        <w:rPr>
          <w:rFonts w:cs="Times New Roman"/>
          <w:lang w:val="en-US"/>
        </w:rPr>
        <w:t xml:space="preserve"> p-values </w:t>
      </w:r>
      <w:r w:rsidR="00F5628B" w:rsidRPr="00BA48D6">
        <w:rPr>
          <w:rFonts w:cs="Times New Roman"/>
          <w:lang w:val="en-US"/>
        </w:rPr>
        <w:t xml:space="preserve">for multiple comparisons. </w:t>
      </w:r>
      <w:r w:rsidR="001959EA" w:rsidRPr="00BA48D6">
        <w:rPr>
          <w:rFonts w:cs="Times New Roman"/>
          <w:lang w:val="en-US"/>
        </w:rPr>
        <w:t>Generally, we considered p-values below 0.</w:t>
      </w:r>
      <w:r w:rsidR="00E05451">
        <w:rPr>
          <w:rFonts w:cs="Times New Roman"/>
          <w:lang w:val="en-US"/>
        </w:rPr>
        <w:t>0</w:t>
      </w:r>
      <w:r w:rsidR="001959EA" w:rsidRPr="00BA48D6">
        <w:rPr>
          <w:rFonts w:cs="Times New Roman"/>
          <w:lang w:val="en-US"/>
        </w:rPr>
        <w:t xml:space="preserve">5 as significant. </w:t>
      </w:r>
      <w:r w:rsidR="00345DF6" w:rsidRPr="00BA48D6">
        <w:rPr>
          <w:rFonts w:cs="Times New Roman"/>
          <w:lang w:val="en-US"/>
        </w:rPr>
        <w:t>The variables gender</w:t>
      </w:r>
      <w:r w:rsidR="00C60748" w:rsidRPr="00BA48D6">
        <w:rPr>
          <w:rFonts w:cs="Times New Roman"/>
          <w:lang w:val="en-US"/>
        </w:rPr>
        <w:t xml:space="preserve">, </w:t>
      </w:r>
      <w:r w:rsidR="00565265" w:rsidRPr="00BA48D6">
        <w:rPr>
          <w:rFonts w:cs="Times New Roman"/>
          <w:lang w:val="en-US"/>
        </w:rPr>
        <w:t xml:space="preserve">symptom onset, disease progression OFF, standardized </w:t>
      </w:r>
      <w:r w:rsidR="00C60748" w:rsidRPr="00BA48D6">
        <w:rPr>
          <w:rFonts w:cs="Times New Roman"/>
          <w:lang w:val="en-US"/>
        </w:rPr>
        <w:t xml:space="preserve">medication response as well as </w:t>
      </w:r>
      <w:r w:rsidR="00FA2B33">
        <w:rPr>
          <w:rFonts w:cs="Times New Roman"/>
          <w:lang w:val="en-US"/>
        </w:rPr>
        <w:t>D</w:t>
      </w:r>
      <w:r w:rsidR="00565265" w:rsidRPr="00BA48D6">
        <w:rPr>
          <w:rFonts w:cs="Times New Roman"/>
          <w:lang w:val="en-US"/>
        </w:rPr>
        <w:t xml:space="preserve">2 </w:t>
      </w:r>
      <w:r w:rsidR="00C60748" w:rsidRPr="00BA48D6">
        <w:rPr>
          <w:rFonts w:cs="Times New Roman"/>
          <w:lang w:val="en-US"/>
        </w:rPr>
        <w:t>genotype showed significant differences</w:t>
      </w:r>
      <w:r w:rsidR="004F6FBE">
        <w:rPr>
          <w:rFonts w:cs="Times New Roman"/>
          <w:lang w:val="en-US"/>
        </w:rPr>
        <w:t xml:space="preserve"> among the identified subclasses</w:t>
      </w:r>
      <w:r w:rsidR="00C60748" w:rsidRPr="00BA48D6">
        <w:rPr>
          <w:rFonts w:cs="Times New Roman"/>
          <w:lang w:val="en-US"/>
        </w:rPr>
        <w:t xml:space="preserve">. </w:t>
      </w:r>
    </w:p>
    <w:p w14:paraId="5DB5668A" w14:textId="51743595" w:rsidR="00B8152C" w:rsidRPr="00BA48D6" w:rsidRDefault="00023519" w:rsidP="00B8152C">
      <w:pPr>
        <w:spacing w:line="360" w:lineRule="auto"/>
        <w:jc w:val="both"/>
        <w:rPr>
          <w:rFonts w:cs="Arial"/>
          <w:lang w:val="en-US"/>
        </w:rPr>
      </w:pPr>
      <w:r w:rsidRPr="00BA48D6">
        <w:rPr>
          <w:rFonts w:cs="Arial"/>
          <w:b/>
          <w:i/>
          <w:lang w:val="en-US"/>
        </w:rPr>
        <w:t>Regression method.</w:t>
      </w:r>
      <w:r w:rsidR="00C60748" w:rsidRPr="00BA48D6">
        <w:rPr>
          <w:rFonts w:cs="Arial"/>
          <w:b/>
          <w:lang w:val="en-US"/>
        </w:rPr>
        <w:t xml:space="preserve"> </w:t>
      </w:r>
      <w:r w:rsidR="0083044F">
        <w:rPr>
          <w:rFonts w:cs="Arial"/>
          <w:lang w:val="en-US"/>
        </w:rPr>
        <w:t>In a next step</w:t>
      </w:r>
      <w:r w:rsidR="00B8152C">
        <w:rPr>
          <w:rFonts w:cs="Arial"/>
          <w:lang w:val="en-US"/>
        </w:rPr>
        <w:t xml:space="preserve">, multiple linear </w:t>
      </w:r>
      <w:proofErr w:type="gramStart"/>
      <w:r w:rsidR="00121835">
        <w:rPr>
          <w:rFonts w:cs="Arial"/>
          <w:lang w:val="en-US"/>
        </w:rPr>
        <w:t>regression</w:t>
      </w:r>
      <w:proofErr w:type="gramEnd"/>
      <w:r w:rsidR="00B8152C">
        <w:rPr>
          <w:rFonts w:cs="Arial"/>
          <w:lang w:val="en-US"/>
        </w:rPr>
        <w:t xml:space="preserve"> was employed to model the adjusted LED (i.e.</w:t>
      </w:r>
      <w:r w:rsidR="00B8152C" w:rsidRPr="00BA48D6">
        <w:rPr>
          <w:rFonts w:cs="Arial"/>
          <w:lang w:val="en-US"/>
        </w:rPr>
        <w:t xml:space="preserve"> the LED normalized by individual disease duration of each patient</w:t>
      </w:r>
      <w:r w:rsidR="00B8152C">
        <w:rPr>
          <w:rFonts w:cs="Arial"/>
          <w:lang w:val="en-US"/>
        </w:rPr>
        <w:t xml:space="preserve">) and allow </w:t>
      </w:r>
      <w:r w:rsidR="0016621B">
        <w:rPr>
          <w:rFonts w:cs="Arial"/>
          <w:lang w:val="en-US"/>
        </w:rPr>
        <w:t xml:space="preserve">for </w:t>
      </w:r>
      <w:r w:rsidR="00B8152C">
        <w:rPr>
          <w:rFonts w:cs="Arial"/>
          <w:lang w:val="en-US"/>
        </w:rPr>
        <w:t>characterizing the identified clusters</w:t>
      </w:r>
      <w:r w:rsidR="00B8152C" w:rsidRPr="00BA48D6">
        <w:rPr>
          <w:rFonts w:cs="Arial"/>
          <w:lang w:val="en-US"/>
        </w:rPr>
        <w:t xml:space="preserve">. </w:t>
      </w:r>
      <w:r w:rsidR="00B8152C">
        <w:rPr>
          <w:rFonts w:cs="Arial"/>
          <w:lang w:val="en-US"/>
        </w:rPr>
        <w:t xml:space="preserve">Therefore, the most predicting </w:t>
      </w:r>
      <w:r w:rsidR="0016621B">
        <w:rPr>
          <w:rFonts w:cs="Arial"/>
          <w:lang w:val="en-US"/>
        </w:rPr>
        <w:t>regression models</w:t>
      </w:r>
      <w:r w:rsidR="00B8152C">
        <w:rPr>
          <w:rFonts w:cs="Arial"/>
          <w:lang w:val="en-US"/>
        </w:rPr>
        <w:t xml:space="preserve"> were identified </w:t>
      </w:r>
      <w:r w:rsidR="0016621B">
        <w:rPr>
          <w:rFonts w:cs="Arial"/>
          <w:lang w:val="en-US"/>
        </w:rPr>
        <w:t>based on their second-order Akaike information criterion</w:t>
      </w:r>
      <w:r w:rsidR="00A20199">
        <w:rPr>
          <w:rFonts w:cs="Arial"/>
          <w:lang w:val="en-US"/>
        </w:rPr>
        <w:fldChar w:fldCharType="begin"/>
      </w:r>
      <w:r w:rsidR="00A20199">
        <w:rPr>
          <w:rFonts w:cs="Arial"/>
          <w:lang w:val="en-US"/>
        </w:rPr>
        <w:instrText xml:space="preserve"> ADDIN EN.CITE &lt;EndNote&gt;&lt;Cite&gt;&lt;Author&gt;Hurvich&lt;/Author&gt;&lt;Year&gt;1989&lt;/Year&gt;&lt;RecNum&gt;38&lt;/RecNum&gt;&lt;DisplayText&gt;&lt;style face="superscript"&gt;9&lt;/style&gt;&lt;/DisplayText&gt;&lt;record&gt;&lt;rec-number&gt;38&lt;/rec-number&gt;&lt;foreign-keys&gt;&lt;key app="EN" db-id="9peve9f2n0ea9uetr94xa908dtswtxxzsdwa" timestamp="1606125602"&gt;38&lt;/key&gt;&lt;/foreign-keys&gt;&lt;ref-type name="Journal Article"&gt;17&lt;/ref-type&gt;&lt;contributors&gt;&lt;authors&gt;&lt;author&gt;Hurvich, C. M. and Tsai, C.-L.&lt;/author&gt;&lt;/authors&gt;&lt;/contributors&gt;&lt;titles&gt;&lt;title&gt;Regression and time series model selection in small samples.&lt;/title&gt;&lt;secondary-title&gt;Biometrika&lt;/secondary-title&gt;&lt;/titles&gt;&lt;periodical&gt;&lt;full-title&gt;Biometrika&lt;/full-title&gt;&lt;/periodical&gt;&lt;pages&gt;297–307&lt;/pages&gt;&lt;volume&gt;76&lt;/volume&gt;&lt;dates&gt;&lt;year&gt;1989&lt;/year&gt;&lt;/dates&gt;&lt;urls&gt;&lt;/urls&gt;&lt;/record&gt;&lt;/Cite&gt;&lt;/EndNote&gt;</w:instrText>
      </w:r>
      <w:r w:rsidR="00A20199">
        <w:rPr>
          <w:rFonts w:cs="Arial"/>
          <w:lang w:val="en-US"/>
        </w:rPr>
        <w:fldChar w:fldCharType="separate"/>
      </w:r>
      <w:r w:rsidR="00A20199" w:rsidRPr="00A20199">
        <w:rPr>
          <w:rFonts w:cs="Arial"/>
          <w:noProof/>
          <w:vertAlign w:val="superscript"/>
          <w:lang w:val="en-US"/>
        </w:rPr>
        <w:t>9</w:t>
      </w:r>
      <w:r w:rsidR="00A20199">
        <w:rPr>
          <w:rFonts w:cs="Arial"/>
          <w:lang w:val="en-US"/>
        </w:rPr>
        <w:fldChar w:fldCharType="end"/>
      </w:r>
      <w:r w:rsidR="00A20199">
        <w:rPr>
          <w:rFonts w:cs="Arial"/>
          <w:lang w:val="en-US"/>
        </w:rPr>
        <w:t xml:space="preserve"> </w:t>
      </w:r>
      <w:r w:rsidR="00B8152C">
        <w:rPr>
          <w:rFonts w:cs="Arial"/>
          <w:lang w:val="en-US"/>
        </w:rPr>
        <w:t xml:space="preserve">using the R-package </w:t>
      </w:r>
      <w:proofErr w:type="spellStart"/>
      <w:r w:rsidR="00B8152C">
        <w:rPr>
          <w:rFonts w:cs="Arial"/>
          <w:lang w:val="en-US"/>
        </w:rPr>
        <w:t>MuMIn</w:t>
      </w:r>
      <w:proofErr w:type="spellEnd"/>
      <w:r w:rsidR="00B8152C">
        <w:rPr>
          <w:rFonts w:cs="Arial"/>
          <w:lang w:val="en-US"/>
        </w:rPr>
        <w:t xml:space="preserve"> </w:t>
      </w:r>
      <w:r w:rsidR="00B8152C" w:rsidRPr="00BA48D6">
        <w:rPr>
          <w:rFonts w:cs="Arial"/>
          <w:lang w:val="en-US"/>
        </w:rPr>
        <w:t>(</w:t>
      </w:r>
      <w:hyperlink r:id="rId8" w:history="1">
        <w:r w:rsidR="00B8152C" w:rsidRPr="00484980">
          <w:rPr>
            <w:rStyle w:val="Link"/>
            <w:rFonts w:eastAsiaTheme="minorEastAsia" w:cs="Arial"/>
            <w:color w:val="auto"/>
            <w:u w:color="386EFF"/>
            <w:lang w:val="en-US" w:eastAsia="de-DE"/>
          </w:rPr>
          <w:t>https://CRAN.R-project.org/package=MuMIn</w:t>
        </w:r>
      </w:hyperlink>
      <w:r w:rsidR="00A20199">
        <w:rPr>
          <w:rStyle w:val="Link"/>
          <w:rFonts w:eastAsiaTheme="minorEastAsia" w:cs="Arial"/>
          <w:color w:val="auto"/>
          <w:u w:color="386EFF"/>
          <w:lang w:val="en-US" w:eastAsia="de-DE"/>
        </w:rPr>
        <w:fldChar w:fldCharType="begin"/>
      </w:r>
      <w:r w:rsidR="00A20199">
        <w:rPr>
          <w:rStyle w:val="Link"/>
          <w:rFonts w:eastAsiaTheme="minorEastAsia" w:cs="Arial"/>
          <w:color w:val="auto"/>
          <w:u w:color="386EFF"/>
          <w:lang w:val="en-US" w:eastAsia="de-DE"/>
        </w:rPr>
        <w:instrText xml:space="preserve"> ADDIN EN.CITE &lt;EndNote&gt;&lt;Cite&gt;&lt;Author&gt;Burnham&lt;/Author&gt;&lt;Year&gt;2002&lt;/Year&gt;&lt;RecNum&gt;37&lt;/RecNum&gt;&lt;DisplayText&gt;&lt;style face="superscript"&gt;10&lt;/style&gt;&lt;/DisplayText&gt;&lt;record&gt;&lt;rec-number&gt;37&lt;/rec-number&gt;&lt;foreign-keys&gt;&lt;key app="EN" db-id="9peve9f2n0ea9uetr94xa908dtswtxxzsdwa" timestamp="1606125531"&gt;37&lt;/key&gt;&lt;/foreign-keys&gt;&lt;ref-type name="Journal Article"&gt;17&lt;/ref-type&gt;&lt;contributors&gt;&lt;authors&gt;&lt;author&gt;Burnham, K. P. and Anderson, D. R&lt;/author&gt;&lt;/authors&gt;&lt;/contributors&gt;&lt;titles&gt;&lt;title&gt;Model selection and multimodel inference: a practical information-theoretic approach. &lt;/title&gt;&lt;secondary-title&gt;Springer-Verlag&lt;/secondary-title&gt;&lt;/titles&gt;&lt;periodical&gt;&lt;full-title&gt;Springer-Verlag&lt;/full-title&gt;&lt;/periodical&gt;&lt;number&gt;2nd ed. New York&lt;/number&gt;&lt;dates&gt;&lt;year&gt;2002&lt;/year&gt;&lt;/dates&gt;&lt;urls&gt;&lt;/urls&gt;&lt;/record&gt;&lt;/Cite&gt;&lt;/EndNote&gt;</w:instrText>
      </w:r>
      <w:r w:rsidR="00A20199">
        <w:rPr>
          <w:rStyle w:val="Link"/>
          <w:rFonts w:eastAsiaTheme="minorEastAsia" w:cs="Arial"/>
          <w:color w:val="auto"/>
          <w:u w:color="386EFF"/>
          <w:lang w:val="en-US" w:eastAsia="de-DE"/>
        </w:rPr>
        <w:fldChar w:fldCharType="separate"/>
      </w:r>
      <w:r w:rsidR="00A20199" w:rsidRPr="00A20199">
        <w:rPr>
          <w:rStyle w:val="Link"/>
          <w:rFonts w:eastAsiaTheme="minorEastAsia" w:cs="Arial"/>
          <w:noProof/>
          <w:color w:val="auto"/>
          <w:u w:color="386EFF"/>
          <w:vertAlign w:val="superscript"/>
          <w:lang w:val="en-US" w:eastAsia="de-DE"/>
        </w:rPr>
        <w:t>10</w:t>
      </w:r>
      <w:r w:rsidR="00A20199">
        <w:rPr>
          <w:rStyle w:val="Link"/>
          <w:rFonts w:eastAsiaTheme="minorEastAsia" w:cs="Arial"/>
          <w:color w:val="auto"/>
          <w:u w:color="386EFF"/>
          <w:lang w:val="en-US" w:eastAsia="de-DE"/>
        </w:rPr>
        <w:fldChar w:fldCharType="end"/>
      </w:r>
      <w:r w:rsidR="00B8152C" w:rsidRPr="00484980">
        <w:rPr>
          <w:rFonts w:eastAsiaTheme="minorEastAsia" w:cs="Arial"/>
          <w:u w:val="single" w:color="386EFF"/>
          <w:lang w:val="en-US" w:eastAsia="de-DE"/>
        </w:rPr>
        <w:t>)</w:t>
      </w:r>
    </w:p>
    <w:p w14:paraId="1587074F" w14:textId="130FD1B6" w:rsidR="00BA48D6" w:rsidRPr="00BA48D6" w:rsidRDefault="00DA0DD5" w:rsidP="00BA48D6">
      <w:pPr>
        <w:spacing w:line="360" w:lineRule="auto"/>
        <w:jc w:val="both"/>
        <w:rPr>
          <w:rFonts w:cs="Arial"/>
          <w:lang w:val="en-US"/>
        </w:rPr>
      </w:pPr>
      <w:r w:rsidRPr="00BA48D6">
        <w:rPr>
          <w:rFonts w:cs="Arial"/>
          <w:lang w:val="en-US"/>
        </w:rPr>
        <w:t xml:space="preserve">For </w:t>
      </w:r>
      <w:r w:rsidRPr="00BA48D6">
        <w:rPr>
          <w:rFonts w:cs="Arial"/>
          <w:i/>
          <w:lang w:val="en-US"/>
        </w:rPr>
        <w:t>cluster 1</w:t>
      </w:r>
      <w:r w:rsidRPr="00BA48D6">
        <w:rPr>
          <w:rFonts w:cs="Arial"/>
          <w:lang w:val="en-US"/>
        </w:rPr>
        <w:t xml:space="preserve"> we found the best model </w:t>
      </w:r>
      <w:r w:rsidR="00240F37" w:rsidRPr="00BA48D6">
        <w:rPr>
          <w:rFonts w:cs="Arial"/>
          <w:lang w:val="en-US"/>
        </w:rPr>
        <w:t>fit</w:t>
      </w:r>
      <w:r w:rsidR="00240F37">
        <w:rPr>
          <w:rFonts w:cs="Arial"/>
          <w:lang w:val="en-US"/>
        </w:rPr>
        <w:t xml:space="preserve"> </w:t>
      </w:r>
      <w:r w:rsidR="00240F37" w:rsidRPr="00BA48D6">
        <w:rPr>
          <w:rFonts w:cs="Arial"/>
          <w:lang w:val="en-US"/>
        </w:rPr>
        <w:t>for</w:t>
      </w:r>
      <w:r w:rsidRPr="00BA48D6">
        <w:rPr>
          <w:rFonts w:cs="Arial"/>
          <w:lang w:val="en-US"/>
        </w:rPr>
        <w:t xml:space="preserve"> </w:t>
      </w:r>
      <w:r w:rsidR="00F736B7" w:rsidRPr="00BA48D6">
        <w:rPr>
          <w:rFonts w:cs="Times New Roman"/>
          <w:lang w:val="en-US"/>
        </w:rPr>
        <w:t>explain</w:t>
      </w:r>
      <w:r w:rsidR="00F736B7">
        <w:rPr>
          <w:rFonts w:cs="Times New Roman"/>
          <w:lang w:val="en-US"/>
        </w:rPr>
        <w:t>ing the</w:t>
      </w:r>
      <w:r w:rsidR="00F736B7" w:rsidRPr="00BA48D6">
        <w:rPr>
          <w:rFonts w:cs="Times New Roman"/>
          <w:lang w:val="en-US"/>
        </w:rPr>
        <w:t xml:space="preserve"> adjusted levodopa equivalent dosage</w:t>
      </w:r>
      <w:r w:rsidR="00F736B7">
        <w:rPr>
          <w:rFonts w:cs="Times New Roman"/>
          <w:lang w:val="en-US"/>
        </w:rPr>
        <w:t xml:space="preserve"> (</w:t>
      </w:r>
      <w:r w:rsidR="00F736B7" w:rsidRPr="00BA48D6">
        <w:rPr>
          <w:rFonts w:cs="Times New Roman"/>
          <w:lang w:val="en-US"/>
        </w:rPr>
        <w:t>aLED</w:t>
      </w:r>
      <w:r w:rsidR="00F736B7">
        <w:rPr>
          <w:rFonts w:cs="Times New Roman"/>
          <w:lang w:val="en-US"/>
        </w:rPr>
        <w:t xml:space="preserve">) with the </w:t>
      </w:r>
      <w:r w:rsidRPr="00BA48D6">
        <w:rPr>
          <w:rFonts w:cs="Arial"/>
          <w:lang w:val="en-US"/>
        </w:rPr>
        <w:t>following predictors</w:t>
      </w:r>
      <w:r w:rsidR="00BA48D6" w:rsidRPr="00BA48D6">
        <w:rPr>
          <w:rFonts w:cs="Arial"/>
          <w:lang w:val="en-US"/>
        </w:rPr>
        <w:t>:</w:t>
      </w:r>
      <w:r w:rsidR="00505BAD" w:rsidRPr="00BA48D6">
        <w:rPr>
          <w:rFonts w:cs="Arial"/>
          <w:lang w:val="en-US"/>
        </w:rPr>
        <w:t xml:space="preserve"> </w:t>
      </w:r>
      <w:r w:rsidR="00BA48D6" w:rsidRPr="00BA48D6">
        <w:rPr>
          <w:rFonts w:cs="Times New Roman"/>
          <w:lang w:val="en-US"/>
        </w:rPr>
        <w:t>(</w:t>
      </w:r>
      <w:proofErr w:type="spellStart"/>
      <w:r w:rsidR="00BA48D6" w:rsidRPr="00BA48D6">
        <w:rPr>
          <w:rFonts w:cs="Times New Roman"/>
          <w:lang w:val="en-US"/>
        </w:rPr>
        <w:t>i</w:t>
      </w:r>
      <w:proofErr w:type="spellEnd"/>
      <w:r w:rsidR="00BA48D6" w:rsidRPr="00BA48D6">
        <w:rPr>
          <w:rFonts w:cs="Times New Roman"/>
          <w:lang w:val="en-US"/>
        </w:rPr>
        <w:t xml:space="preserve">) </w:t>
      </w:r>
      <w:r w:rsidR="00BA48D6" w:rsidRPr="00BA48D6">
        <w:rPr>
          <w:rFonts w:cs="Arial"/>
          <w:lang w:val="en-US"/>
        </w:rPr>
        <w:t>symptom onset; (ii)</w:t>
      </w:r>
      <w:r w:rsidR="00BA48D6" w:rsidRPr="00BA48D6">
        <w:rPr>
          <w:lang w:val="en-US"/>
        </w:rPr>
        <w:t xml:space="preserve"> tremor-/akinetic-rigidity</w:t>
      </w:r>
      <w:r w:rsidR="00B5652D">
        <w:rPr>
          <w:lang w:val="en-US"/>
        </w:rPr>
        <w:t xml:space="preserve"> score, (iii) D2 receptor polymorphism</w:t>
      </w:r>
      <w:r w:rsidR="00BA48D6" w:rsidRPr="00BA48D6">
        <w:rPr>
          <w:lang w:val="en-US"/>
        </w:rPr>
        <w:t xml:space="preserve">,  (iv) standardized medication response (v) interaction of </w:t>
      </w:r>
      <w:r w:rsidR="00B5652D">
        <w:rPr>
          <w:lang w:val="en-US"/>
        </w:rPr>
        <w:t>D2 receptor polymorphism</w:t>
      </w:r>
      <w:r w:rsidR="00BA48D6" w:rsidRPr="00BA48D6">
        <w:rPr>
          <w:lang w:val="en-US"/>
        </w:rPr>
        <w:t xml:space="preserve"> and standardized medication</w:t>
      </w:r>
      <w:r w:rsidR="00F736B7">
        <w:rPr>
          <w:lang w:val="en-US"/>
        </w:rPr>
        <w:t>. The identified regression model</w:t>
      </w:r>
      <w:r w:rsidR="00BA48D6" w:rsidRPr="00BA48D6">
        <w:rPr>
          <w:rFonts w:cs="Times New Roman"/>
          <w:lang w:val="en-US"/>
        </w:rPr>
        <w:t xml:space="preserve"> </w:t>
      </w:r>
      <w:r w:rsidR="00F736B7">
        <w:rPr>
          <w:rFonts w:cs="Times New Roman"/>
          <w:lang w:val="en-US"/>
        </w:rPr>
        <w:t xml:space="preserve">was highly significant with </w:t>
      </w:r>
      <w:r w:rsidR="00BA48D6" w:rsidRPr="00BA48D6">
        <w:rPr>
          <w:rFonts w:cs="Times New Roman"/>
          <w:lang w:val="en-US"/>
        </w:rPr>
        <w:t>(F (5,20) = 11.843, p &lt; 0.0001) and an adjusted R</w:t>
      </w:r>
      <w:r w:rsidR="00BA48D6" w:rsidRPr="00BA48D6">
        <w:rPr>
          <w:rFonts w:cs="Times New Roman"/>
          <w:vertAlign w:val="superscript"/>
          <w:lang w:val="en-US"/>
        </w:rPr>
        <w:t>2</w:t>
      </w:r>
      <w:r w:rsidR="00BA48D6" w:rsidRPr="00BA48D6">
        <w:rPr>
          <w:rFonts w:cs="Times New Roman"/>
          <w:lang w:val="en-US"/>
        </w:rPr>
        <w:t xml:space="preserve">=68%. For </w:t>
      </w:r>
      <w:r w:rsidR="00BA48D6" w:rsidRPr="00BA48D6">
        <w:rPr>
          <w:rFonts w:cs="Times New Roman"/>
          <w:u w:val="single"/>
          <w:lang w:val="en-US"/>
        </w:rPr>
        <w:t>cluster 2</w:t>
      </w:r>
      <w:r w:rsidR="00BA48D6" w:rsidRPr="00BA48D6">
        <w:rPr>
          <w:rFonts w:cs="Times New Roman"/>
          <w:lang w:val="en-US"/>
        </w:rPr>
        <w:t xml:space="preserve"> we </w:t>
      </w:r>
      <w:r w:rsidR="0083044F">
        <w:rPr>
          <w:rFonts w:cs="Times New Roman"/>
          <w:lang w:val="en-US"/>
        </w:rPr>
        <w:t>identified the most predicting</w:t>
      </w:r>
      <w:r w:rsidR="00BA48D6" w:rsidRPr="00BA48D6">
        <w:rPr>
          <w:rFonts w:cs="Times New Roman"/>
          <w:lang w:val="en-US"/>
        </w:rPr>
        <w:t xml:space="preserve"> model </w:t>
      </w:r>
      <w:r w:rsidR="00BA48D6" w:rsidRPr="00BA48D6">
        <w:rPr>
          <w:rFonts w:ascii="Cambria" w:hAnsi="Cambria" w:cs="Times New Roman"/>
          <w:lang w:val="en-US"/>
        </w:rPr>
        <w:t>including (</w:t>
      </w:r>
      <w:proofErr w:type="spellStart"/>
      <w:r w:rsidR="00BA48D6" w:rsidRPr="00BA48D6">
        <w:rPr>
          <w:rFonts w:ascii="Cambria" w:hAnsi="Cambria" w:cs="Times New Roman"/>
          <w:lang w:val="en-US"/>
        </w:rPr>
        <w:t>i</w:t>
      </w:r>
      <w:proofErr w:type="spellEnd"/>
      <w:r w:rsidR="00BA48D6" w:rsidRPr="00BA48D6">
        <w:rPr>
          <w:rFonts w:cs="Arial"/>
          <w:lang w:val="en-US"/>
        </w:rPr>
        <w:t xml:space="preserve">) </w:t>
      </w:r>
      <w:r w:rsidR="00BA48D6" w:rsidRPr="00BA48D6">
        <w:rPr>
          <w:lang w:val="en-US"/>
        </w:rPr>
        <w:t>disease progression OFF, (ii) standardized medication response, (iii) the interaction between disease progression OFF and standardized medication response</w:t>
      </w:r>
      <w:r w:rsidR="00BA48D6" w:rsidRPr="00BA48D6">
        <w:rPr>
          <w:rFonts w:cs="Times New Roman"/>
          <w:lang w:val="en-US"/>
        </w:rPr>
        <w:t xml:space="preserve"> (F (3,30) = 3.854, p = 0.019) yielding an adjusted R</w:t>
      </w:r>
      <w:r w:rsidR="00BA48D6" w:rsidRPr="00BA48D6">
        <w:rPr>
          <w:rFonts w:cs="Times New Roman"/>
          <w:vertAlign w:val="superscript"/>
          <w:lang w:val="en-US"/>
        </w:rPr>
        <w:t>2</w:t>
      </w:r>
      <w:r w:rsidR="00BA48D6" w:rsidRPr="00BA48D6">
        <w:rPr>
          <w:rFonts w:cs="Times New Roman"/>
          <w:lang w:val="en-US"/>
        </w:rPr>
        <w:t xml:space="preserve"> of 21%. For </w:t>
      </w:r>
      <w:r w:rsidR="00BA48D6" w:rsidRPr="00BA48D6">
        <w:rPr>
          <w:rFonts w:cs="Times New Roman"/>
          <w:u w:val="single"/>
          <w:lang w:val="en-US"/>
        </w:rPr>
        <w:t>cluster 3</w:t>
      </w:r>
      <w:r w:rsidR="00BA48D6" w:rsidRPr="00BA48D6">
        <w:rPr>
          <w:rFonts w:cs="Times New Roman"/>
          <w:lang w:val="en-US"/>
        </w:rPr>
        <w:t xml:space="preserve"> </w:t>
      </w:r>
      <w:r w:rsidR="00D935CA">
        <w:rPr>
          <w:rFonts w:cs="Times New Roman"/>
          <w:lang w:val="en-US"/>
        </w:rPr>
        <w:t>the most predicting</w:t>
      </w:r>
      <w:r w:rsidR="00F736B7">
        <w:rPr>
          <w:rFonts w:cs="Times New Roman"/>
          <w:lang w:val="en-US"/>
        </w:rPr>
        <w:t xml:space="preserve">, although non significant, </w:t>
      </w:r>
      <w:r w:rsidR="00D935CA">
        <w:rPr>
          <w:rFonts w:cs="Times New Roman"/>
          <w:lang w:val="en-US"/>
        </w:rPr>
        <w:t>model</w:t>
      </w:r>
      <w:r w:rsidR="00F736B7">
        <w:rPr>
          <w:rFonts w:cs="Times New Roman"/>
          <w:lang w:val="en-US"/>
        </w:rPr>
        <w:t xml:space="preserve"> is</w:t>
      </w:r>
      <w:r w:rsidR="00D935CA">
        <w:rPr>
          <w:rFonts w:cs="Times New Roman"/>
          <w:lang w:val="en-US"/>
        </w:rPr>
        <w:t xml:space="preserve"> </w:t>
      </w:r>
      <w:r w:rsidR="00BA48D6" w:rsidRPr="00BA48D6">
        <w:rPr>
          <w:rFonts w:cs="Times New Roman"/>
          <w:lang w:val="en-US"/>
        </w:rPr>
        <w:t xml:space="preserve">based on </w:t>
      </w:r>
      <w:r w:rsidR="00BA48D6" w:rsidRPr="00BA48D6">
        <w:rPr>
          <w:lang w:val="en-US"/>
        </w:rPr>
        <w:t>(</w:t>
      </w:r>
      <w:proofErr w:type="spellStart"/>
      <w:r w:rsidR="00BA48D6" w:rsidRPr="00BA48D6">
        <w:rPr>
          <w:lang w:val="en-US"/>
        </w:rPr>
        <w:t>i</w:t>
      </w:r>
      <w:proofErr w:type="spellEnd"/>
      <w:r w:rsidR="00BA48D6" w:rsidRPr="00BA48D6">
        <w:rPr>
          <w:lang w:val="en-US"/>
        </w:rPr>
        <w:t>) standardized medication response</w:t>
      </w:r>
      <w:r w:rsidR="00D935CA">
        <w:rPr>
          <w:rFonts w:ascii="Cambria" w:hAnsi="Cambria"/>
          <w:lang w:val="en-US"/>
        </w:rPr>
        <w:t xml:space="preserve"> only </w:t>
      </w:r>
      <w:r w:rsidR="00BA48D6" w:rsidRPr="00BA48D6">
        <w:rPr>
          <w:rFonts w:cs="Times New Roman"/>
          <w:lang w:val="en-US"/>
        </w:rPr>
        <w:t>(adjusted R</w:t>
      </w:r>
      <w:r w:rsidR="00BA48D6" w:rsidRPr="00BA48D6">
        <w:rPr>
          <w:rFonts w:cs="Times New Roman"/>
          <w:vertAlign w:val="superscript"/>
          <w:lang w:val="en-US"/>
        </w:rPr>
        <w:t>2</w:t>
      </w:r>
      <w:r w:rsidR="00BA48D6" w:rsidRPr="00BA48D6">
        <w:rPr>
          <w:rFonts w:cs="Times New Roman"/>
          <w:lang w:val="en-US"/>
        </w:rPr>
        <w:t xml:space="preserve"> of 8,4% </w:t>
      </w:r>
      <w:r w:rsidR="00BA48D6" w:rsidRPr="00121835">
        <w:rPr>
          <w:rFonts w:cs="Helvetica"/>
          <w:lang w:val="en-US"/>
        </w:rPr>
        <w:t>F (1,29) = 3.763, p=0.062)</w:t>
      </w:r>
      <w:r w:rsidR="00BA48D6" w:rsidRPr="00BA48D6">
        <w:rPr>
          <w:rFonts w:cs="Times New Roman"/>
          <w:lang w:val="en-US"/>
        </w:rPr>
        <w:t>.</w:t>
      </w:r>
    </w:p>
    <w:p w14:paraId="7ED9A298" w14:textId="648676C3" w:rsidR="00505BAD" w:rsidRDefault="00505BAD" w:rsidP="00BA48D6">
      <w:pPr>
        <w:spacing w:line="360" w:lineRule="auto"/>
        <w:jc w:val="both"/>
        <w:rPr>
          <w:lang w:val="en-US"/>
        </w:rPr>
      </w:pPr>
    </w:p>
    <w:p w14:paraId="794AE07A" w14:textId="77777777" w:rsidR="00E07A8D" w:rsidRDefault="00E07A8D" w:rsidP="00E07A8D">
      <w:pPr>
        <w:rPr>
          <w:b/>
          <w:sz w:val="24"/>
          <w:szCs w:val="24"/>
          <w:lang w:val="en-US"/>
        </w:rPr>
      </w:pPr>
    </w:p>
    <w:p w14:paraId="48929989" w14:textId="77777777" w:rsidR="00E07A8D" w:rsidRDefault="00E07A8D" w:rsidP="00E07A8D">
      <w:pPr>
        <w:rPr>
          <w:b/>
          <w:sz w:val="24"/>
          <w:szCs w:val="24"/>
          <w:lang w:val="en-US"/>
        </w:rPr>
      </w:pPr>
    </w:p>
    <w:p w14:paraId="3B19084B" w14:textId="77777777" w:rsidR="00E07A8D" w:rsidRDefault="00E07A8D" w:rsidP="00E07A8D">
      <w:pPr>
        <w:rPr>
          <w:b/>
          <w:sz w:val="24"/>
          <w:szCs w:val="24"/>
          <w:lang w:val="en-US"/>
        </w:rPr>
      </w:pPr>
    </w:p>
    <w:p w14:paraId="4A5FF1D3" w14:textId="77777777" w:rsidR="00E07A8D" w:rsidRDefault="00E07A8D" w:rsidP="00E07A8D">
      <w:pPr>
        <w:rPr>
          <w:b/>
          <w:sz w:val="24"/>
          <w:szCs w:val="24"/>
          <w:lang w:val="en-US"/>
        </w:rPr>
      </w:pPr>
    </w:p>
    <w:p w14:paraId="5DCCF78E" w14:textId="77777777" w:rsidR="00E07A8D" w:rsidRDefault="00E07A8D" w:rsidP="00E07A8D">
      <w:pPr>
        <w:rPr>
          <w:b/>
          <w:sz w:val="24"/>
          <w:szCs w:val="24"/>
          <w:lang w:val="en-US"/>
        </w:rPr>
      </w:pPr>
    </w:p>
    <w:p w14:paraId="40F7FBC4" w14:textId="77777777" w:rsidR="00E07A8D" w:rsidRDefault="00E07A8D" w:rsidP="00E07A8D">
      <w:pPr>
        <w:rPr>
          <w:b/>
          <w:sz w:val="24"/>
          <w:szCs w:val="24"/>
          <w:lang w:val="en-US"/>
        </w:rPr>
      </w:pPr>
      <w:r w:rsidRPr="002D3696">
        <w:rPr>
          <w:b/>
          <w:sz w:val="24"/>
          <w:szCs w:val="24"/>
          <w:lang w:val="en-US"/>
        </w:rPr>
        <w:t>Supplementary Tables</w:t>
      </w:r>
    </w:p>
    <w:p w14:paraId="0482687F" w14:textId="77777777" w:rsidR="00E07A8D" w:rsidRPr="002D3696" w:rsidRDefault="00E07A8D" w:rsidP="00E07A8D">
      <w:pPr>
        <w:rPr>
          <w:b/>
          <w:sz w:val="24"/>
          <w:szCs w:val="24"/>
          <w:lang w:val="en-US"/>
        </w:rPr>
      </w:pPr>
    </w:p>
    <w:p w14:paraId="19EF7EE5" w14:textId="77777777" w:rsidR="00E07A8D" w:rsidRPr="00823BE7" w:rsidRDefault="00E07A8D" w:rsidP="00E07A8D">
      <w:pPr>
        <w:rPr>
          <w:b/>
          <w:sz w:val="24"/>
          <w:szCs w:val="24"/>
          <w:lang w:val="en-US"/>
        </w:rPr>
      </w:pPr>
      <w:r w:rsidRPr="002D3696">
        <w:rPr>
          <w:b/>
          <w:lang w:val="en-US"/>
        </w:rPr>
        <w:t>Table S1</w:t>
      </w:r>
      <w:r w:rsidRPr="002D3696">
        <w:rPr>
          <w:b/>
          <w:lang w:val="en-US"/>
        </w:rPr>
        <w:tab/>
        <w:t>Patient demographics.</w:t>
      </w:r>
    </w:p>
    <w:tbl>
      <w:tblPr>
        <w:tblStyle w:val="Tabellenraster"/>
        <w:tblW w:w="3923" w:type="pct"/>
        <w:jc w:val="center"/>
        <w:tblLook w:val="04A0" w:firstRow="1" w:lastRow="0" w:firstColumn="1" w:lastColumn="0" w:noHBand="0" w:noVBand="1"/>
      </w:tblPr>
      <w:tblGrid>
        <w:gridCol w:w="3787"/>
        <w:gridCol w:w="1757"/>
        <w:gridCol w:w="1739"/>
      </w:tblGrid>
      <w:tr w:rsidR="00E07A8D" w:rsidRPr="002D3696" w14:paraId="035DECA2" w14:textId="77777777" w:rsidTr="00E07A8D">
        <w:trPr>
          <w:jc w:val="center"/>
        </w:trPr>
        <w:tc>
          <w:tcPr>
            <w:tcW w:w="2600" w:type="pct"/>
            <w:tcBorders>
              <w:top w:val="nil"/>
              <w:left w:val="nil"/>
            </w:tcBorders>
          </w:tcPr>
          <w:p w14:paraId="13E3D7DC" w14:textId="77777777" w:rsidR="00E07A8D" w:rsidRPr="002D3696" w:rsidRDefault="00E07A8D" w:rsidP="00E07A8D">
            <w:pPr>
              <w:spacing w:after="0" w:line="360" w:lineRule="auto"/>
              <w:rPr>
                <w:lang w:val="en-US"/>
              </w:rPr>
            </w:pPr>
          </w:p>
        </w:tc>
        <w:tc>
          <w:tcPr>
            <w:tcW w:w="1206" w:type="pct"/>
          </w:tcPr>
          <w:p w14:paraId="26DCBD09" w14:textId="77777777" w:rsidR="00E07A8D" w:rsidRPr="002D3696" w:rsidRDefault="00E07A8D" w:rsidP="00E07A8D">
            <w:pPr>
              <w:spacing w:after="0" w:line="360" w:lineRule="auto"/>
              <w:jc w:val="center"/>
              <w:rPr>
                <w:lang w:val="en-US"/>
              </w:rPr>
            </w:pPr>
            <w:r w:rsidRPr="002D3696">
              <w:rPr>
                <w:lang w:val="en-US"/>
              </w:rPr>
              <w:t>full cohort</w:t>
            </w:r>
          </w:p>
        </w:tc>
        <w:tc>
          <w:tcPr>
            <w:tcW w:w="1194" w:type="pct"/>
          </w:tcPr>
          <w:p w14:paraId="7D4CB8E4" w14:textId="77777777" w:rsidR="00E07A8D" w:rsidRPr="002D3696" w:rsidRDefault="00E07A8D" w:rsidP="00E07A8D">
            <w:pPr>
              <w:spacing w:after="0" w:line="360" w:lineRule="auto"/>
              <w:jc w:val="center"/>
              <w:rPr>
                <w:lang w:val="en-US"/>
              </w:rPr>
            </w:pPr>
            <w:r w:rsidRPr="002D3696">
              <w:rPr>
                <w:lang w:val="en-US"/>
              </w:rPr>
              <w:t>study cohort</w:t>
            </w:r>
          </w:p>
        </w:tc>
      </w:tr>
      <w:tr w:rsidR="00E07A8D" w:rsidRPr="002D3696" w14:paraId="1A7174E7" w14:textId="77777777" w:rsidTr="00E07A8D">
        <w:trPr>
          <w:jc w:val="center"/>
        </w:trPr>
        <w:tc>
          <w:tcPr>
            <w:tcW w:w="2600" w:type="pct"/>
            <w:vAlign w:val="bottom"/>
          </w:tcPr>
          <w:p w14:paraId="454BA23F" w14:textId="440B23C9" w:rsidR="00E07A8D" w:rsidRPr="002D3696" w:rsidRDefault="00DB6A0F" w:rsidP="00E07A8D">
            <w:pPr>
              <w:spacing w:after="0" w:line="360" w:lineRule="auto"/>
              <w:rPr>
                <w:lang w:val="en-US"/>
              </w:rPr>
            </w:pPr>
            <w:r>
              <w:rPr>
                <w:lang w:val="en-US"/>
              </w:rPr>
              <w:t>N</w:t>
            </w:r>
            <w:r w:rsidR="00E07A8D" w:rsidRPr="002D3696">
              <w:rPr>
                <w:lang w:val="en-US"/>
              </w:rPr>
              <w:t>umber of patients</w:t>
            </w:r>
            <w:r w:rsidR="00E07A8D">
              <w:rPr>
                <w:lang w:val="en-US"/>
              </w:rPr>
              <w:t xml:space="preserve"> </w:t>
            </w:r>
          </w:p>
        </w:tc>
        <w:tc>
          <w:tcPr>
            <w:tcW w:w="1206" w:type="pct"/>
            <w:vAlign w:val="bottom"/>
          </w:tcPr>
          <w:p w14:paraId="019C28DA" w14:textId="77777777" w:rsidR="00E07A8D" w:rsidRPr="00F50D8C" w:rsidRDefault="00E07A8D" w:rsidP="00E07A8D">
            <w:pPr>
              <w:spacing w:after="0" w:line="360" w:lineRule="auto"/>
              <w:jc w:val="center"/>
              <w:rPr>
                <w:lang w:val="en-US"/>
              </w:rPr>
            </w:pPr>
            <w:r w:rsidRPr="00F50D8C">
              <w:rPr>
                <w:lang w:val="en-US"/>
              </w:rPr>
              <w:t>118</w:t>
            </w:r>
          </w:p>
        </w:tc>
        <w:tc>
          <w:tcPr>
            <w:tcW w:w="1194" w:type="pct"/>
            <w:vAlign w:val="bottom"/>
          </w:tcPr>
          <w:p w14:paraId="5ED7DE21" w14:textId="77777777" w:rsidR="00E07A8D" w:rsidRPr="00F50D8C" w:rsidRDefault="00E07A8D" w:rsidP="00E07A8D">
            <w:pPr>
              <w:spacing w:after="0" w:line="360" w:lineRule="auto"/>
              <w:jc w:val="center"/>
              <w:rPr>
                <w:lang w:val="en-US"/>
              </w:rPr>
            </w:pPr>
            <w:r w:rsidRPr="00F50D8C">
              <w:rPr>
                <w:lang w:val="en-US"/>
              </w:rPr>
              <w:t>91</w:t>
            </w:r>
          </w:p>
        </w:tc>
      </w:tr>
      <w:tr w:rsidR="00E07A8D" w:rsidRPr="002D3696" w14:paraId="689CF5ED" w14:textId="77777777" w:rsidTr="00E07A8D">
        <w:trPr>
          <w:jc w:val="center"/>
        </w:trPr>
        <w:tc>
          <w:tcPr>
            <w:tcW w:w="2600" w:type="pct"/>
            <w:vAlign w:val="bottom"/>
          </w:tcPr>
          <w:p w14:paraId="0D9E89DA" w14:textId="5E408AEC" w:rsidR="00E07A8D" w:rsidRPr="002D3696" w:rsidRDefault="00DB6A0F" w:rsidP="00E07A8D">
            <w:pPr>
              <w:spacing w:after="0" w:line="360" w:lineRule="auto"/>
              <w:rPr>
                <w:lang w:val="en-US"/>
              </w:rPr>
            </w:pPr>
            <w:r>
              <w:rPr>
                <w:lang w:val="en-US"/>
              </w:rPr>
              <w:t>N</w:t>
            </w:r>
            <w:r w:rsidR="00E07A8D">
              <w:rPr>
                <w:lang w:val="en-US"/>
              </w:rPr>
              <w:t xml:space="preserve">umber of men </w:t>
            </w:r>
          </w:p>
        </w:tc>
        <w:tc>
          <w:tcPr>
            <w:tcW w:w="1206" w:type="pct"/>
            <w:vAlign w:val="bottom"/>
          </w:tcPr>
          <w:p w14:paraId="161B320F" w14:textId="77777777" w:rsidR="00E07A8D" w:rsidRPr="00F50D8C" w:rsidRDefault="00E07A8D" w:rsidP="00E07A8D">
            <w:pPr>
              <w:spacing w:after="0" w:line="360" w:lineRule="auto"/>
              <w:jc w:val="center"/>
              <w:rPr>
                <w:lang w:val="en-US"/>
              </w:rPr>
            </w:pPr>
            <w:r w:rsidRPr="00F50D8C">
              <w:rPr>
                <w:lang w:val="en-US"/>
              </w:rPr>
              <w:t>84 (71%)</w:t>
            </w:r>
          </w:p>
        </w:tc>
        <w:tc>
          <w:tcPr>
            <w:tcW w:w="1194" w:type="pct"/>
            <w:vAlign w:val="bottom"/>
          </w:tcPr>
          <w:p w14:paraId="2C5C3654" w14:textId="77777777" w:rsidR="00E07A8D" w:rsidRPr="00F50D8C" w:rsidRDefault="00E07A8D" w:rsidP="00E07A8D">
            <w:pPr>
              <w:spacing w:after="0" w:line="360" w:lineRule="auto"/>
              <w:jc w:val="center"/>
              <w:rPr>
                <w:lang w:val="en-US"/>
              </w:rPr>
            </w:pPr>
            <w:r w:rsidRPr="00F50D8C">
              <w:rPr>
                <w:lang w:val="en-US"/>
              </w:rPr>
              <w:t>62 (68%)</w:t>
            </w:r>
          </w:p>
        </w:tc>
      </w:tr>
      <w:tr w:rsidR="00E07A8D" w:rsidRPr="002D3696" w14:paraId="496161D9" w14:textId="77777777" w:rsidTr="00E07A8D">
        <w:trPr>
          <w:jc w:val="center"/>
        </w:trPr>
        <w:tc>
          <w:tcPr>
            <w:tcW w:w="2600" w:type="pct"/>
            <w:vAlign w:val="bottom"/>
          </w:tcPr>
          <w:p w14:paraId="689374E3" w14:textId="15E67C4A" w:rsidR="00E07A8D" w:rsidRPr="002D3696" w:rsidRDefault="00DB6A0F" w:rsidP="00E07A8D">
            <w:pPr>
              <w:spacing w:after="0" w:line="360" w:lineRule="auto"/>
              <w:rPr>
                <w:lang w:val="en-US"/>
              </w:rPr>
            </w:pPr>
            <w:r>
              <w:rPr>
                <w:lang w:val="en-US"/>
              </w:rPr>
              <w:t>A</w:t>
            </w:r>
            <w:r w:rsidR="00E07A8D">
              <w:rPr>
                <w:lang w:val="en-US"/>
              </w:rPr>
              <w:t xml:space="preserve">ge at onset </w:t>
            </w:r>
          </w:p>
        </w:tc>
        <w:tc>
          <w:tcPr>
            <w:tcW w:w="1206" w:type="pct"/>
            <w:vAlign w:val="bottom"/>
          </w:tcPr>
          <w:p w14:paraId="7BF828F7" w14:textId="77777777" w:rsidR="00E07A8D" w:rsidRPr="00F50D8C" w:rsidRDefault="00E07A8D" w:rsidP="00E07A8D">
            <w:pPr>
              <w:spacing w:after="0" w:line="360" w:lineRule="auto"/>
              <w:jc w:val="center"/>
              <w:rPr>
                <w:lang w:val="en-US"/>
              </w:rPr>
            </w:pPr>
            <w:r w:rsidRPr="00F50D8C">
              <w:rPr>
                <w:lang w:val="en-US"/>
              </w:rPr>
              <w:t>58 (</w:t>
            </w:r>
            <w:r w:rsidRPr="00F50D8C">
              <w:rPr>
                <w:rFonts w:ascii="Cambria" w:hAnsi="Cambria"/>
                <w:lang w:val="en-US"/>
              </w:rPr>
              <w:t>±10)</w:t>
            </w:r>
          </w:p>
        </w:tc>
        <w:tc>
          <w:tcPr>
            <w:tcW w:w="1194" w:type="pct"/>
            <w:vAlign w:val="bottom"/>
          </w:tcPr>
          <w:p w14:paraId="7A487946" w14:textId="77777777" w:rsidR="00E07A8D" w:rsidRPr="00F50D8C" w:rsidRDefault="00E07A8D" w:rsidP="00E07A8D">
            <w:pPr>
              <w:spacing w:after="0" w:line="360" w:lineRule="auto"/>
              <w:jc w:val="center"/>
              <w:rPr>
                <w:lang w:val="en-US"/>
              </w:rPr>
            </w:pPr>
            <w:r w:rsidRPr="00F50D8C">
              <w:rPr>
                <w:lang w:val="en-US"/>
              </w:rPr>
              <w:t>58 (</w:t>
            </w:r>
            <w:r w:rsidRPr="00F50D8C">
              <w:rPr>
                <w:rFonts w:ascii="Cambria" w:hAnsi="Cambria"/>
                <w:lang w:val="en-US"/>
              </w:rPr>
              <w:t>±10)</w:t>
            </w:r>
          </w:p>
        </w:tc>
      </w:tr>
      <w:tr w:rsidR="00E07A8D" w:rsidRPr="002D3696" w14:paraId="49D1F081" w14:textId="77777777" w:rsidTr="00E07A8D">
        <w:trPr>
          <w:jc w:val="center"/>
        </w:trPr>
        <w:tc>
          <w:tcPr>
            <w:tcW w:w="2600" w:type="pct"/>
            <w:vAlign w:val="bottom"/>
          </w:tcPr>
          <w:p w14:paraId="37F39F91" w14:textId="77777777" w:rsidR="00E07A8D" w:rsidRPr="002D3696" w:rsidRDefault="00E07A8D" w:rsidP="00E07A8D">
            <w:pPr>
              <w:spacing w:after="0" w:line="360" w:lineRule="auto"/>
              <w:rPr>
                <w:lang w:val="en-US"/>
              </w:rPr>
            </w:pPr>
            <w:r w:rsidRPr="002D3696">
              <w:rPr>
                <w:lang w:val="en-US"/>
              </w:rPr>
              <w:t xml:space="preserve">Symptom onset side left </w:t>
            </w:r>
          </w:p>
        </w:tc>
        <w:tc>
          <w:tcPr>
            <w:tcW w:w="1206" w:type="pct"/>
            <w:vAlign w:val="bottom"/>
          </w:tcPr>
          <w:p w14:paraId="183D606F" w14:textId="77777777" w:rsidR="00E07A8D" w:rsidRPr="00F50D8C" w:rsidRDefault="00E07A8D" w:rsidP="00E07A8D">
            <w:pPr>
              <w:spacing w:after="0" w:line="360" w:lineRule="auto"/>
              <w:jc w:val="center"/>
              <w:rPr>
                <w:lang w:val="en-US"/>
              </w:rPr>
            </w:pPr>
            <w:r w:rsidRPr="00F50D8C">
              <w:rPr>
                <w:lang w:val="en-US"/>
              </w:rPr>
              <w:t>58 (49%)</w:t>
            </w:r>
          </w:p>
        </w:tc>
        <w:tc>
          <w:tcPr>
            <w:tcW w:w="1194" w:type="pct"/>
            <w:vAlign w:val="bottom"/>
          </w:tcPr>
          <w:p w14:paraId="05A9453D" w14:textId="77777777" w:rsidR="00E07A8D" w:rsidRPr="00F50D8C" w:rsidRDefault="00E07A8D" w:rsidP="00E07A8D">
            <w:pPr>
              <w:spacing w:after="0" w:line="360" w:lineRule="auto"/>
              <w:jc w:val="center"/>
              <w:rPr>
                <w:lang w:val="en-US"/>
              </w:rPr>
            </w:pPr>
            <w:r w:rsidRPr="00F50D8C">
              <w:rPr>
                <w:lang w:val="en-US"/>
              </w:rPr>
              <w:t>44 (48%)</w:t>
            </w:r>
          </w:p>
        </w:tc>
      </w:tr>
      <w:tr w:rsidR="00E07A8D" w:rsidRPr="002D3696" w14:paraId="3F252684" w14:textId="77777777" w:rsidTr="00E07A8D">
        <w:trPr>
          <w:jc w:val="center"/>
        </w:trPr>
        <w:tc>
          <w:tcPr>
            <w:tcW w:w="2600" w:type="pct"/>
            <w:vAlign w:val="bottom"/>
          </w:tcPr>
          <w:p w14:paraId="1604594F" w14:textId="07F3E11B" w:rsidR="00E07A8D" w:rsidRPr="002D3696" w:rsidRDefault="00DB6A0F" w:rsidP="00E07A8D">
            <w:pPr>
              <w:spacing w:after="0" w:line="360" w:lineRule="auto"/>
              <w:rPr>
                <w:lang w:val="en-US"/>
              </w:rPr>
            </w:pPr>
            <w:r>
              <w:rPr>
                <w:lang w:val="en-US"/>
              </w:rPr>
              <w:t>D</w:t>
            </w:r>
            <w:r w:rsidR="00E07A8D">
              <w:rPr>
                <w:lang w:val="en-US"/>
              </w:rPr>
              <w:t>isease progression</w:t>
            </w:r>
            <w:r w:rsidR="00E07A8D" w:rsidRPr="002D3696">
              <w:rPr>
                <w:lang w:val="en-US"/>
              </w:rPr>
              <w:t xml:space="preserve"> OFF</w:t>
            </w:r>
            <w:r w:rsidR="00E07A8D">
              <w:rPr>
                <w:lang w:val="en-US"/>
              </w:rPr>
              <w:t xml:space="preserve"> </w:t>
            </w:r>
          </w:p>
        </w:tc>
        <w:tc>
          <w:tcPr>
            <w:tcW w:w="1206" w:type="pct"/>
            <w:vAlign w:val="bottom"/>
          </w:tcPr>
          <w:p w14:paraId="3FE2FA60" w14:textId="77777777" w:rsidR="00E07A8D" w:rsidRPr="00F50D8C" w:rsidRDefault="00E07A8D" w:rsidP="00E07A8D">
            <w:pPr>
              <w:spacing w:after="0" w:line="360" w:lineRule="auto"/>
              <w:jc w:val="center"/>
              <w:rPr>
                <w:lang w:val="en-US"/>
              </w:rPr>
            </w:pPr>
            <w:r w:rsidRPr="00F50D8C">
              <w:rPr>
                <w:lang w:val="en-US"/>
              </w:rPr>
              <w:t>7 (</w:t>
            </w:r>
            <w:r w:rsidRPr="00F50D8C">
              <w:rPr>
                <w:rFonts w:ascii="Cambria" w:hAnsi="Cambria"/>
                <w:lang w:val="en-US"/>
              </w:rPr>
              <w:t>±</w:t>
            </w:r>
            <w:r w:rsidRPr="00F50D8C">
              <w:rPr>
                <w:lang w:val="en-US"/>
              </w:rPr>
              <w:t>5)</w:t>
            </w:r>
          </w:p>
        </w:tc>
        <w:tc>
          <w:tcPr>
            <w:tcW w:w="1194" w:type="pct"/>
            <w:vAlign w:val="bottom"/>
          </w:tcPr>
          <w:p w14:paraId="01AC0414" w14:textId="77777777" w:rsidR="00E07A8D" w:rsidRPr="00F50D8C" w:rsidRDefault="00E07A8D" w:rsidP="00E07A8D">
            <w:pPr>
              <w:spacing w:after="0" w:line="360" w:lineRule="auto"/>
              <w:jc w:val="center"/>
              <w:rPr>
                <w:lang w:val="en-US"/>
              </w:rPr>
            </w:pPr>
            <w:r w:rsidRPr="00F50D8C">
              <w:rPr>
                <w:lang w:val="en-US"/>
              </w:rPr>
              <w:t>5 (</w:t>
            </w:r>
            <w:r w:rsidRPr="00F50D8C">
              <w:rPr>
                <w:rFonts w:ascii="Cambria" w:hAnsi="Cambria"/>
                <w:lang w:val="en-US"/>
              </w:rPr>
              <w:t>±</w:t>
            </w:r>
            <w:r w:rsidRPr="00F50D8C">
              <w:rPr>
                <w:lang w:val="en-US"/>
              </w:rPr>
              <w:t>2)</w:t>
            </w:r>
          </w:p>
        </w:tc>
      </w:tr>
      <w:tr w:rsidR="00E07A8D" w:rsidRPr="002D3696" w14:paraId="518DD824" w14:textId="77777777" w:rsidTr="00E07A8D">
        <w:trPr>
          <w:jc w:val="center"/>
        </w:trPr>
        <w:tc>
          <w:tcPr>
            <w:tcW w:w="2600" w:type="pct"/>
            <w:vAlign w:val="bottom"/>
          </w:tcPr>
          <w:p w14:paraId="0F437917" w14:textId="7511C1B9" w:rsidR="00E07A8D" w:rsidRPr="002D3696" w:rsidRDefault="00DB6A0F" w:rsidP="00E07A8D">
            <w:pPr>
              <w:spacing w:after="0" w:line="360" w:lineRule="auto"/>
              <w:rPr>
                <w:lang w:val="en-US"/>
              </w:rPr>
            </w:pPr>
            <w:r>
              <w:rPr>
                <w:lang w:val="en-US"/>
              </w:rPr>
              <w:t>M</w:t>
            </w:r>
            <w:r w:rsidR="00E07A8D" w:rsidRPr="00E92A87">
              <w:rPr>
                <w:lang w:val="en-US"/>
              </w:rPr>
              <w:t xml:space="preserve">edication response </w:t>
            </w:r>
          </w:p>
        </w:tc>
        <w:tc>
          <w:tcPr>
            <w:tcW w:w="1206" w:type="pct"/>
            <w:vAlign w:val="bottom"/>
          </w:tcPr>
          <w:p w14:paraId="2A891763" w14:textId="77777777" w:rsidR="00E07A8D" w:rsidRPr="00F50D8C" w:rsidRDefault="00E07A8D" w:rsidP="00E07A8D">
            <w:pPr>
              <w:spacing w:after="0" w:line="360" w:lineRule="auto"/>
              <w:jc w:val="center"/>
              <w:rPr>
                <w:lang w:val="en-US"/>
              </w:rPr>
            </w:pPr>
            <w:r w:rsidRPr="00F50D8C">
              <w:rPr>
                <w:lang w:val="en-US"/>
              </w:rPr>
              <w:t>0.42 (</w:t>
            </w:r>
            <w:r w:rsidRPr="00F50D8C">
              <w:rPr>
                <w:rFonts w:ascii="Cambria" w:hAnsi="Cambria"/>
                <w:lang w:val="en-US"/>
              </w:rPr>
              <w:t>±0.20)</w:t>
            </w:r>
          </w:p>
        </w:tc>
        <w:tc>
          <w:tcPr>
            <w:tcW w:w="1194" w:type="pct"/>
            <w:vAlign w:val="bottom"/>
          </w:tcPr>
          <w:p w14:paraId="6852F4FF" w14:textId="77777777" w:rsidR="00E07A8D" w:rsidRPr="00F50D8C" w:rsidRDefault="00E07A8D" w:rsidP="00E07A8D">
            <w:pPr>
              <w:spacing w:after="0" w:line="360" w:lineRule="auto"/>
              <w:jc w:val="center"/>
              <w:rPr>
                <w:lang w:val="en-US"/>
              </w:rPr>
            </w:pPr>
            <w:r w:rsidRPr="00F50D8C">
              <w:rPr>
                <w:lang w:val="en-US"/>
              </w:rPr>
              <w:t>0.41 (</w:t>
            </w:r>
            <w:r w:rsidRPr="00F50D8C">
              <w:rPr>
                <w:rFonts w:ascii="Cambria" w:hAnsi="Cambria"/>
                <w:lang w:val="en-US"/>
              </w:rPr>
              <w:t>± 0.20)</w:t>
            </w:r>
          </w:p>
        </w:tc>
      </w:tr>
      <w:tr w:rsidR="00DB6A0F" w:rsidRPr="002D3696" w14:paraId="47A66AA2" w14:textId="77777777" w:rsidTr="00E07A8D">
        <w:trPr>
          <w:jc w:val="center"/>
        </w:trPr>
        <w:tc>
          <w:tcPr>
            <w:tcW w:w="2600" w:type="pct"/>
            <w:vAlign w:val="bottom"/>
          </w:tcPr>
          <w:p w14:paraId="0B8D1F80" w14:textId="294AF9E2" w:rsidR="00DB6A0F" w:rsidRPr="00E92A87" w:rsidRDefault="00DB6A0F" w:rsidP="00E07A8D">
            <w:pPr>
              <w:spacing w:after="0" w:line="360" w:lineRule="auto"/>
              <w:rPr>
                <w:lang w:val="en-US"/>
              </w:rPr>
            </w:pPr>
            <w:r w:rsidRPr="00305D13">
              <w:rPr>
                <w:lang w:val="en-US"/>
              </w:rPr>
              <w:t>Standardized medication response</w:t>
            </w:r>
          </w:p>
        </w:tc>
        <w:tc>
          <w:tcPr>
            <w:tcW w:w="1206" w:type="pct"/>
            <w:vAlign w:val="bottom"/>
          </w:tcPr>
          <w:p w14:paraId="3FFE2AD2" w14:textId="0107E2C1" w:rsidR="00DB6A0F" w:rsidRPr="00F50D8C" w:rsidRDefault="006B3522" w:rsidP="00E07A8D">
            <w:pPr>
              <w:spacing w:after="0" w:line="360" w:lineRule="auto"/>
              <w:jc w:val="center"/>
              <w:rPr>
                <w:lang w:val="en-US"/>
              </w:rPr>
            </w:pPr>
            <w:r>
              <w:rPr>
                <w:lang w:val="en-US"/>
              </w:rPr>
              <w:t>0.12 (</w:t>
            </w:r>
            <w:r w:rsidRPr="00F50D8C">
              <w:rPr>
                <w:rFonts w:ascii="Cambria" w:hAnsi="Cambria"/>
                <w:lang w:val="en-US"/>
              </w:rPr>
              <w:t>±</w:t>
            </w:r>
            <w:r>
              <w:rPr>
                <w:rFonts w:ascii="Cambria" w:hAnsi="Cambria"/>
                <w:lang w:val="en-US"/>
              </w:rPr>
              <w:t>0.14)</w:t>
            </w:r>
          </w:p>
        </w:tc>
        <w:tc>
          <w:tcPr>
            <w:tcW w:w="1194" w:type="pct"/>
            <w:vAlign w:val="bottom"/>
          </w:tcPr>
          <w:p w14:paraId="14BD9268" w14:textId="3BBAF301" w:rsidR="00DB6A0F" w:rsidRPr="00F50D8C" w:rsidRDefault="006B3522" w:rsidP="00E07A8D">
            <w:pPr>
              <w:spacing w:after="0" w:line="360" w:lineRule="auto"/>
              <w:jc w:val="center"/>
              <w:rPr>
                <w:lang w:val="en-US"/>
              </w:rPr>
            </w:pPr>
            <w:r>
              <w:rPr>
                <w:lang w:val="en-US"/>
              </w:rPr>
              <w:t>0.07 (</w:t>
            </w:r>
            <w:r w:rsidRPr="00F50D8C">
              <w:rPr>
                <w:rFonts w:ascii="Cambria" w:hAnsi="Cambria"/>
                <w:lang w:val="en-US"/>
              </w:rPr>
              <w:t>±</w:t>
            </w:r>
            <w:r>
              <w:rPr>
                <w:rFonts w:ascii="Cambria" w:hAnsi="Cambria"/>
                <w:lang w:val="en-US"/>
              </w:rPr>
              <w:t>0.05)</w:t>
            </w:r>
          </w:p>
        </w:tc>
      </w:tr>
      <w:tr w:rsidR="00E07A8D" w:rsidRPr="002D3696" w14:paraId="47F22FF1" w14:textId="77777777" w:rsidTr="00E07A8D">
        <w:trPr>
          <w:jc w:val="center"/>
        </w:trPr>
        <w:tc>
          <w:tcPr>
            <w:tcW w:w="2600" w:type="pct"/>
            <w:vAlign w:val="bottom"/>
          </w:tcPr>
          <w:p w14:paraId="49A9C06F" w14:textId="26EE8454" w:rsidR="00E07A8D" w:rsidRPr="002D3696" w:rsidRDefault="00FA2B33" w:rsidP="00E07A8D">
            <w:pPr>
              <w:spacing w:after="0" w:line="360" w:lineRule="auto"/>
              <w:rPr>
                <w:lang w:val="en-US"/>
              </w:rPr>
            </w:pPr>
            <w:r>
              <w:rPr>
                <w:lang w:val="en-US"/>
              </w:rPr>
              <w:t>D</w:t>
            </w:r>
            <w:r w:rsidR="00E07A8D">
              <w:rPr>
                <w:lang w:val="en-US"/>
              </w:rPr>
              <w:t>2 positive (A/A or A/G)</w:t>
            </w:r>
          </w:p>
        </w:tc>
        <w:tc>
          <w:tcPr>
            <w:tcW w:w="1206" w:type="pct"/>
            <w:vAlign w:val="bottom"/>
          </w:tcPr>
          <w:p w14:paraId="1048369F" w14:textId="77777777" w:rsidR="00E07A8D" w:rsidRPr="00F50D8C" w:rsidRDefault="00E07A8D" w:rsidP="00E07A8D">
            <w:pPr>
              <w:spacing w:after="0" w:line="360" w:lineRule="auto"/>
              <w:jc w:val="center"/>
              <w:rPr>
                <w:lang w:val="en-US"/>
              </w:rPr>
            </w:pPr>
            <w:r w:rsidRPr="00F50D8C">
              <w:rPr>
                <w:lang w:val="en-US"/>
              </w:rPr>
              <w:t>40 (34%)</w:t>
            </w:r>
          </w:p>
        </w:tc>
        <w:tc>
          <w:tcPr>
            <w:tcW w:w="1194" w:type="pct"/>
            <w:vAlign w:val="bottom"/>
          </w:tcPr>
          <w:p w14:paraId="3D643280" w14:textId="77777777" w:rsidR="00E07A8D" w:rsidRPr="00F50D8C" w:rsidRDefault="00E07A8D" w:rsidP="00E07A8D">
            <w:pPr>
              <w:spacing w:after="0" w:line="360" w:lineRule="auto"/>
              <w:jc w:val="center"/>
              <w:rPr>
                <w:lang w:val="en-US"/>
              </w:rPr>
            </w:pPr>
            <w:r w:rsidRPr="00F50D8C">
              <w:rPr>
                <w:lang w:val="en-US"/>
              </w:rPr>
              <w:t>27 (30 %)</w:t>
            </w:r>
          </w:p>
        </w:tc>
      </w:tr>
      <w:tr w:rsidR="00E07A8D" w:rsidRPr="002D3696" w14:paraId="19957CEC" w14:textId="77777777" w:rsidTr="00E07A8D">
        <w:trPr>
          <w:jc w:val="center"/>
        </w:trPr>
        <w:tc>
          <w:tcPr>
            <w:tcW w:w="2600" w:type="pct"/>
            <w:vAlign w:val="bottom"/>
          </w:tcPr>
          <w:p w14:paraId="3126096B" w14:textId="5D6D02D8" w:rsidR="00E07A8D" w:rsidRPr="002D3696" w:rsidRDefault="00FA2B33" w:rsidP="00E07A8D">
            <w:pPr>
              <w:spacing w:after="0" w:line="360" w:lineRule="auto"/>
              <w:rPr>
                <w:lang w:val="en-US"/>
              </w:rPr>
            </w:pPr>
            <w:r>
              <w:rPr>
                <w:lang w:val="en-US"/>
              </w:rPr>
              <w:t>D</w:t>
            </w:r>
            <w:r w:rsidR="00E07A8D">
              <w:rPr>
                <w:lang w:val="en-US"/>
              </w:rPr>
              <w:t>3 positive</w:t>
            </w:r>
            <w:r w:rsidR="00E07A8D" w:rsidRPr="002D3696">
              <w:rPr>
                <w:lang w:val="en-US"/>
              </w:rPr>
              <w:t xml:space="preserve"> (</w:t>
            </w:r>
            <w:r w:rsidR="00E07A8D">
              <w:rPr>
                <w:lang w:val="en-US"/>
              </w:rPr>
              <w:t>C/C or C/T)</w:t>
            </w:r>
          </w:p>
        </w:tc>
        <w:tc>
          <w:tcPr>
            <w:tcW w:w="1206" w:type="pct"/>
            <w:vAlign w:val="bottom"/>
          </w:tcPr>
          <w:p w14:paraId="1B4411AF" w14:textId="77777777" w:rsidR="00E07A8D" w:rsidRPr="00F50D8C" w:rsidRDefault="00E07A8D" w:rsidP="00E07A8D">
            <w:pPr>
              <w:spacing w:after="0" w:line="360" w:lineRule="auto"/>
              <w:jc w:val="center"/>
              <w:rPr>
                <w:lang w:val="en-US"/>
              </w:rPr>
            </w:pPr>
            <w:r w:rsidRPr="00F50D8C">
              <w:rPr>
                <w:lang w:val="en-US"/>
              </w:rPr>
              <w:t>48 (41%)</w:t>
            </w:r>
          </w:p>
        </w:tc>
        <w:tc>
          <w:tcPr>
            <w:tcW w:w="1194" w:type="pct"/>
            <w:vAlign w:val="bottom"/>
          </w:tcPr>
          <w:p w14:paraId="1D6728D0" w14:textId="77777777" w:rsidR="00E07A8D" w:rsidRPr="00F50D8C" w:rsidRDefault="00E07A8D" w:rsidP="00E07A8D">
            <w:pPr>
              <w:spacing w:after="0" w:line="360" w:lineRule="auto"/>
              <w:jc w:val="center"/>
              <w:rPr>
                <w:lang w:val="en-US"/>
              </w:rPr>
            </w:pPr>
            <w:r w:rsidRPr="00F50D8C">
              <w:rPr>
                <w:lang w:val="en-US"/>
              </w:rPr>
              <w:t>36 (40%)</w:t>
            </w:r>
          </w:p>
        </w:tc>
      </w:tr>
      <w:tr w:rsidR="00E07A8D" w:rsidRPr="002D3696" w14:paraId="05781B9D" w14:textId="77777777" w:rsidTr="00E07A8D">
        <w:trPr>
          <w:jc w:val="center"/>
        </w:trPr>
        <w:tc>
          <w:tcPr>
            <w:tcW w:w="2600" w:type="pct"/>
            <w:vAlign w:val="bottom"/>
          </w:tcPr>
          <w:p w14:paraId="16E6168B" w14:textId="1C6625A6" w:rsidR="00E07A8D" w:rsidRPr="002D3696" w:rsidRDefault="00DB6A0F" w:rsidP="00E07A8D">
            <w:pPr>
              <w:spacing w:after="0" w:line="360" w:lineRule="auto"/>
              <w:rPr>
                <w:lang w:val="en-US"/>
              </w:rPr>
            </w:pPr>
            <w:r>
              <w:rPr>
                <w:lang w:val="en-US"/>
              </w:rPr>
              <w:t>T</w:t>
            </w:r>
            <w:r w:rsidR="00E07A8D">
              <w:rPr>
                <w:lang w:val="en-US"/>
              </w:rPr>
              <w:t xml:space="preserve">remor-/akinetic-rigid score </w:t>
            </w:r>
          </w:p>
        </w:tc>
        <w:tc>
          <w:tcPr>
            <w:tcW w:w="1206" w:type="pct"/>
            <w:vAlign w:val="bottom"/>
          </w:tcPr>
          <w:p w14:paraId="13FB9DCD" w14:textId="77777777" w:rsidR="00E07A8D" w:rsidRPr="00F50D8C" w:rsidRDefault="00E07A8D" w:rsidP="00E07A8D">
            <w:pPr>
              <w:spacing w:after="0" w:line="360" w:lineRule="auto"/>
              <w:jc w:val="center"/>
              <w:rPr>
                <w:lang w:val="en-US"/>
              </w:rPr>
            </w:pPr>
            <w:r w:rsidRPr="00F50D8C">
              <w:rPr>
                <w:lang w:val="en-US"/>
              </w:rPr>
              <w:t>0.3 (</w:t>
            </w:r>
            <w:r w:rsidRPr="00F50D8C">
              <w:rPr>
                <w:rFonts w:ascii="Cambria" w:hAnsi="Cambria"/>
                <w:lang w:val="en-US"/>
              </w:rPr>
              <w:t>± 0.6)</w:t>
            </w:r>
          </w:p>
        </w:tc>
        <w:tc>
          <w:tcPr>
            <w:tcW w:w="1194" w:type="pct"/>
            <w:vAlign w:val="bottom"/>
          </w:tcPr>
          <w:p w14:paraId="36E18A01" w14:textId="77777777" w:rsidR="00E07A8D" w:rsidRPr="00F50D8C" w:rsidRDefault="00E07A8D" w:rsidP="00E07A8D">
            <w:pPr>
              <w:spacing w:after="0" w:line="360" w:lineRule="auto"/>
              <w:jc w:val="center"/>
              <w:rPr>
                <w:lang w:val="en-US"/>
              </w:rPr>
            </w:pPr>
            <w:r w:rsidRPr="00F50D8C">
              <w:rPr>
                <w:lang w:val="en-US"/>
              </w:rPr>
              <w:t>0.3 (</w:t>
            </w:r>
            <w:r w:rsidRPr="00F50D8C">
              <w:rPr>
                <w:rFonts w:ascii="Cambria" w:hAnsi="Cambria"/>
                <w:lang w:val="en-US"/>
              </w:rPr>
              <w:t>± 0.5)</w:t>
            </w:r>
          </w:p>
        </w:tc>
      </w:tr>
    </w:tbl>
    <w:p w14:paraId="6BC801F1" w14:textId="77777777" w:rsidR="00E07A8D" w:rsidRDefault="00E07A8D" w:rsidP="00E07A8D">
      <w:pPr>
        <w:widowControl w:val="0"/>
        <w:tabs>
          <w:tab w:val="left" w:pos="0"/>
        </w:tabs>
        <w:autoSpaceDE w:val="0"/>
        <w:autoSpaceDN w:val="0"/>
        <w:adjustRightInd w:val="0"/>
        <w:spacing w:after="240" w:line="240" w:lineRule="auto"/>
        <w:jc w:val="both"/>
        <w:rPr>
          <w:lang w:val="en-US"/>
        </w:rPr>
      </w:pPr>
    </w:p>
    <w:p w14:paraId="72FF6552" w14:textId="77777777" w:rsidR="00E07A8D" w:rsidRDefault="00E07A8D" w:rsidP="00E07A8D">
      <w:pPr>
        <w:widowControl w:val="0"/>
        <w:tabs>
          <w:tab w:val="left" w:pos="0"/>
        </w:tabs>
        <w:autoSpaceDE w:val="0"/>
        <w:autoSpaceDN w:val="0"/>
        <w:adjustRightInd w:val="0"/>
        <w:spacing w:after="240" w:line="480" w:lineRule="auto"/>
        <w:jc w:val="both"/>
        <w:rPr>
          <w:rFonts w:ascii="Cambria" w:hAnsi="Cambria"/>
          <w:lang w:val="en-US"/>
        </w:rPr>
      </w:pPr>
      <w:r>
        <w:rPr>
          <w:lang w:val="en-US"/>
        </w:rPr>
        <w:t>Table S1a:</w:t>
      </w:r>
      <w:r>
        <w:rPr>
          <w:lang w:val="en-US"/>
        </w:rPr>
        <w:tab/>
        <w:t xml:space="preserve">These variables were included in the clustering approach. Age at onset is given in years and </w:t>
      </w:r>
      <w:r w:rsidRPr="00254BF9">
        <w:rPr>
          <w:lang w:val="en-US"/>
        </w:rPr>
        <w:t>disease progression is the UPDRS III OFF score adjusted by the patient’s disease duration.</w:t>
      </w:r>
      <w:r>
        <w:rPr>
          <w:lang w:val="en-US"/>
        </w:rPr>
        <w:t xml:space="preserve"> Medication response is given in percent. Continuous variables are displayed as mean (</w:t>
      </w:r>
      <w:r w:rsidRPr="002D3696">
        <w:rPr>
          <w:rFonts w:ascii="Cambria" w:hAnsi="Cambria"/>
          <w:lang w:val="en-US"/>
        </w:rPr>
        <w:t>±</w:t>
      </w:r>
      <w:r>
        <w:rPr>
          <w:rFonts w:ascii="Cambria" w:hAnsi="Cambria"/>
          <w:lang w:val="en-US"/>
        </w:rPr>
        <w:t xml:space="preserve"> standard deviation) and dichotomous variables are given as absolute numbers (and its percentage). </w:t>
      </w:r>
    </w:p>
    <w:tbl>
      <w:tblPr>
        <w:tblStyle w:val="Tabellenraster"/>
        <w:tblW w:w="3923" w:type="pct"/>
        <w:jc w:val="center"/>
        <w:tblLook w:val="04A0" w:firstRow="1" w:lastRow="0" w:firstColumn="1" w:lastColumn="0" w:noHBand="0" w:noVBand="1"/>
      </w:tblPr>
      <w:tblGrid>
        <w:gridCol w:w="3929"/>
        <w:gridCol w:w="1615"/>
        <w:gridCol w:w="1739"/>
      </w:tblGrid>
      <w:tr w:rsidR="00E07A8D" w:rsidRPr="002D3696" w14:paraId="27CD4BD4" w14:textId="77777777" w:rsidTr="00E07A8D">
        <w:trPr>
          <w:jc w:val="center"/>
        </w:trPr>
        <w:tc>
          <w:tcPr>
            <w:tcW w:w="2697" w:type="pct"/>
            <w:tcBorders>
              <w:top w:val="nil"/>
              <w:left w:val="nil"/>
            </w:tcBorders>
          </w:tcPr>
          <w:p w14:paraId="4ADEF4D9" w14:textId="77777777" w:rsidR="00E07A8D" w:rsidRPr="002D3696" w:rsidRDefault="00E07A8D" w:rsidP="00E07A8D">
            <w:pPr>
              <w:spacing w:after="0" w:line="360" w:lineRule="auto"/>
              <w:rPr>
                <w:lang w:val="en-US"/>
              </w:rPr>
            </w:pPr>
          </w:p>
        </w:tc>
        <w:tc>
          <w:tcPr>
            <w:tcW w:w="1109" w:type="pct"/>
          </w:tcPr>
          <w:p w14:paraId="6663FE9F" w14:textId="77777777" w:rsidR="00E07A8D" w:rsidRPr="002D3696" w:rsidRDefault="00E07A8D" w:rsidP="00E07A8D">
            <w:pPr>
              <w:spacing w:after="0" w:line="360" w:lineRule="auto"/>
              <w:jc w:val="center"/>
              <w:rPr>
                <w:lang w:val="en-US"/>
              </w:rPr>
            </w:pPr>
            <w:r w:rsidRPr="002D3696">
              <w:rPr>
                <w:lang w:val="en-US"/>
              </w:rPr>
              <w:t>full cohort</w:t>
            </w:r>
          </w:p>
        </w:tc>
        <w:tc>
          <w:tcPr>
            <w:tcW w:w="1194" w:type="pct"/>
          </w:tcPr>
          <w:p w14:paraId="252C1924" w14:textId="77777777" w:rsidR="00E07A8D" w:rsidRPr="002D3696" w:rsidRDefault="00E07A8D" w:rsidP="00E07A8D">
            <w:pPr>
              <w:spacing w:after="0" w:line="360" w:lineRule="auto"/>
              <w:jc w:val="center"/>
              <w:rPr>
                <w:lang w:val="en-US"/>
              </w:rPr>
            </w:pPr>
            <w:r w:rsidRPr="002D3696">
              <w:rPr>
                <w:lang w:val="en-US"/>
              </w:rPr>
              <w:t>study cohort</w:t>
            </w:r>
          </w:p>
        </w:tc>
      </w:tr>
      <w:tr w:rsidR="00E07A8D" w:rsidRPr="002D3696" w14:paraId="6ABE82B3" w14:textId="77777777" w:rsidTr="00E07A8D">
        <w:trPr>
          <w:jc w:val="center"/>
        </w:trPr>
        <w:tc>
          <w:tcPr>
            <w:tcW w:w="2697" w:type="pct"/>
            <w:vAlign w:val="bottom"/>
          </w:tcPr>
          <w:p w14:paraId="09E2BE04" w14:textId="77777777" w:rsidR="00E07A8D" w:rsidRPr="002D3696" w:rsidRDefault="00E07A8D" w:rsidP="00E07A8D">
            <w:pPr>
              <w:spacing w:after="0" w:line="360" w:lineRule="auto"/>
              <w:rPr>
                <w:lang w:val="en-US"/>
              </w:rPr>
            </w:pPr>
            <w:r>
              <w:rPr>
                <w:lang w:val="en-US"/>
              </w:rPr>
              <w:t>age</w:t>
            </w:r>
          </w:p>
        </w:tc>
        <w:tc>
          <w:tcPr>
            <w:tcW w:w="1109" w:type="pct"/>
            <w:vAlign w:val="bottom"/>
          </w:tcPr>
          <w:p w14:paraId="5AA04331" w14:textId="77777777" w:rsidR="00E07A8D" w:rsidRPr="00F50D8C" w:rsidRDefault="00E07A8D" w:rsidP="00E07A8D">
            <w:pPr>
              <w:spacing w:after="0" w:line="360" w:lineRule="auto"/>
              <w:jc w:val="center"/>
              <w:rPr>
                <w:lang w:val="en-US"/>
              </w:rPr>
            </w:pPr>
            <w:r w:rsidRPr="00F50D8C">
              <w:rPr>
                <w:lang w:val="en-US"/>
              </w:rPr>
              <w:t>64 (</w:t>
            </w:r>
            <w:r w:rsidRPr="00F50D8C">
              <w:rPr>
                <w:rFonts w:ascii="Cambria" w:hAnsi="Cambria"/>
                <w:lang w:val="en-US"/>
              </w:rPr>
              <w:t>± 9)</w:t>
            </w:r>
          </w:p>
        </w:tc>
        <w:tc>
          <w:tcPr>
            <w:tcW w:w="1194" w:type="pct"/>
            <w:vAlign w:val="bottom"/>
          </w:tcPr>
          <w:p w14:paraId="513EA14A" w14:textId="77777777" w:rsidR="00E07A8D" w:rsidRPr="00F50D8C" w:rsidRDefault="00E07A8D" w:rsidP="00E07A8D">
            <w:pPr>
              <w:spacing w:after="0" w:line="360" w:lineRule="auto"/>
              <w:jc w:val="center"/>
              <w:rPr>
                <w:lang w:val="en-US"/>
              </w:rPr>
            </w:pPr>
            <w:r w:rsidRPr="00F50D8C">
              <w:rPr>
                <w:lang w:val="en-US"/>
              </w:rPr>
              <w:t>65 (</w:t>
            </w:r>
            <w:r w:rsidRPr="00F50D8C">
              <w:rPr>
                <w:rFonts w:ascii="Cambria" w:hAnsi="Cambria"/>
                <w:lang w:val="en-US"/>
              </w:rPr>
              <w:t>± 9)</w:t>
            </w:r>
          </w:p>
        </w:tc>
      </w:tr>
      <w:tr w:rsidR="00E07A8D" w:rsidRPr="002D3696" w14:paraId="0F7CE10E" w14:textId="77777777" w:rsidTr="00E07A8D">
        <w:trPr>
          <w:jc w:val="center"/>
        </w:trPr>
        <w:tc>
          <w:tcPr>
            <w:tcW w:w="2697" w:type="pct"/>
            <w:vAlign w:val="bottom"/>
          </w:tcPr>
          <w:p w14:paraId="29A8FFAB" w14:textId="77777777" w:rsidR="00E07A8D" w:rsidRPr="002D3696" w:rsidRDefault="00E07A8D" w:rsidP="00E07A8D">
            <w:pPr>
              <w:spacing w:after="0" w:line="360" w:lineRule="auto"/>
              <w:rPr>
                <w:lang w:val="en-US"/>
              </w:rPr>
            </w:pPr>
            <w:r w:rsidRPr="002D3696">
              <w:rPr>
                <w:lang w:val="en-US"/>
              </w:rPr>
              <w:t>disease duration (in years)</w:t>
            </w:r>
          </w:p>
        </w:tc>
        <w:tc>
          <w:tcPr>
            <w:tcW w:w="1109" w:type="pct"/>
            <w:vAlign w:val="bottom"/>
          </w:tcPr>
          <w:p w14:paraId="53651983" w14:textId="77777777" w:rsidR="00E07A8D" w:rsidRPr="00F50D8C" w:rsidRDefault="00E07A8D" w:rsidP="00E07A8D">
            <w:pPr>
              <w:spacing w:after="0" w:line="360" w:lineRule="auto"/>
              <w:jc w:val="center"/>
              <w:rPr>
                <w:lang w:val="en-US"/>
              </w:rPr>
            </w:pPr>
            <w:r w:rsidRPr="00F50D8C">
              <w:rPr>
                <w:lang w:val="en-US"/>
              </w:rPr>
              <w:t>6 (</w:t>
            </w:r>
            <w:r w:rsidRPr="00F50D8C">
              <w:rPr>
                <w:rFonts w:ascii="Cambria" w:hAnsi="Cambria"/>
                <w:lang w:val="en-US"/>
              </w:rPr>
              <w:t>± 5)</w:t>
            </w:r>
          </w:p>
        </w:tc>
        <w:tc>
          <w:tcPr>
            <w:tcW w:w="1194" w:type="pct"/>
            <w:vAlign w:val="bottom"/>
          </w:tcPr>
          <w:p w14:paraId="6890A0FC" w14:textId="77777777" w:rsidR="00E07A8D" w:rsidRPr="00F50D8C" w:rsidRDefault="00E07A8D" w:rsidP="00E07A8D">
            <w:pPr>
              <w:spacing w:after="0" w:line="360" w:lineRule="auto"/>
              <w:jc w:val="center"/>
              <w:rPr>
                <w:lang w:val="en-US"/>
              </w:rPr>
            </w:pPr>
            <w:r w:rsidRPr="00F50D8C">
              <w:rPr>
                <w:lang w:val="en-US"/>
              </w:rPr>
              <w:t>7 (</w:t>
            </w:r>
            <w:r w:rsidRPr="00F50D8C">
              <w:rPr>
                <w:rFonts w:ascii="Cambria" w:hAnsi="Cambria"/>
                <w:lang w:val="en-US"/>
              </w:rPr>
              <w:t>± 4)</w:t>
            </w:r>
          </w:p>
        </w:tc>
      </w:tr>
      <w:tr w:rsidR="00E07A8D" w:rsidRPr="002D3696" w14:paraId="6E4E3529" w14:textId="77777777" w:rsidTr="00E07A8D">
        <w:trPr>
          <w:jc w:val="center"/>
        </w:trPr>
        <w:tc>
          <w:tcPr>
            <w:tcW w:w="2697" w:type="pct"/>
            <w:vAlign w:val="bottom"/>
          </w:tcPr>
          <w:p w14:paraId="44D29314" w14:textId="66B42D55" w:rsidR="00E07A8D" w:rsidRPr="002D3696" w:rsidRDefault="00E07A8D" w:rsidP="00E07A8D">
            <w:pPr>
              <w:spacing w:after="0" w:line="360" w:lineRule="auto"/>
              <w:rPr>
                <w:lang w:val="en-US"/>
              </w:rPr>
            </w:pPr>
            <w:r w:rsidRPr="002D3696">
              <w:rPr>
                <w:lang w:val="en-US"/>
              </w:rPr>
              <w:t>Lev</w:t>
            </w:r>
            <w:r w:rsidR="00A31107">
              <w:rPr>
                <w:lang w:val="en-US"/>
              </w:rPr>
              <w:t>o</w:t>
            </w:r>
            <w:r w:rsidRPr="002D3696">
              <w:rPr>
                <w:lang w:val="en-US"/>
              </w:rPr>
              <w:t>dopa equivalent daily dose (in mg)</w:t>
            </w:r>
          </w:p>
        </w:tc>
        <w:tc>
          <w:tcPr>
            <w:tcW w:w="1109" w:type="pct"/>
            <w:vAlign w:val="bottom"/>
          </w:tcPr>
          <w:p w14:paraId="5D613A8F" w14:textId="77777777" w:rsidR="00E07A8D" w:rsidRPr="00F50D8C" w:rsidRDefault="00E07A8D" w:rsidP="00E07A8D">
            <w:pPr>
              <w:spacing w:after="0" w:line="360" w:lineRule="auto"/>
              <w:jc w:val="center"/>
              <w:rPr>
                <w:lang w:val="en-US"/>
              </w:rPr>
            </w:pPr>
            <w:r w:rsidRPr="00F50D8C">
              <w:rPr>
                <w:lang w:val="en-US"/>
              </w:rPr>
              <w:t>577 (</w:t>
            </w:r>
            <w:r w:rsidRPr="00F50D8C">
              <w:rPr>
                <w:rFonts w:ascii="Cambria" w:hAnsi="Cambria"/>
                <w:lang w:val="en-US"/>
              </w:rPr>
              <w:t>± 383)</w:t>
            </w:r>
          </w:p>
        </w:tc>
        <w:tc>
          <w:tcPr>
            <w:tcW w:w="1194" w:type="pct"/>
            <w:vAlign w:val="bottom"/>
          </w:tcPr>
          <w:p w14:paraId="7610670C" w14:textId="77777777" w:rsidR="00E07A8D" w:rsidRPr="00F50D8C" w:rsidRDefault="00E07A8D" w:rsidP="00E07A8D">
            <w:pPr>
              <w:spacing w:after="0" w:line="360" w:lineRule="auto"/>
              <w:jc w:val="center"/>
              <w:rPr>
                <w:lang w:val="en-US"/>
              </w:rPr>
            </w:pPr>
            <w:r w:rsidRPr="00F50D8C">
              <w:rPr>
                <w:lang w:val="en-US"/>
              </w:rPr>
              <w:t>668 (</w:t>
            </w:r>
            <w:r w:rsidRPr="00F50D8C">
              <w:rPr>
                <w:rFonts w:ascii="Cambria" w:hAnsi="Cambria"/>
                <w:lang w:val="en-US"/>
              </w:rPr>
              <w:t>± 383)</w:t>
            </w:r>
          </w:p>
        </w:tc>
      </w:tr>
      <w:tr w:rsidR="00E07A8D" w:rsidRPr="002D3696" w14:paraId="7E02698B" w14:textId="77777777" w:rsidTr="00E07A8D">
        <w:trPr>
          <w:jc w:val="center"/>
        </w:trPr>
        <w:tc>
          <w:tcPr>
            <w:tcW w:w="2697" w:type="pct"/>
            <w:vAlign w:val="bottom"/>
          </w:tcPr>
          <w:p w14:paraId="495A6533" w14:textId="77777777" w:rsidR="00E07A8D" w:rsidRPr="002D3696" w:rsidRDefault="00E07A8D" w:rsidP="00E07A8D">
            <w:pPr>
              <w:spacing w:after="0" w:line="360" w:lineRule="auto"/>
              <w:rPr>
                <w:lang w:val="en-US"/>
              </w:rPr>
            </w:pPr>
            <w:r w:rsidRPr="002D3696">
              <w:rPr>
                <w:lang w:val="en-US"/>
              </w:rPr>
              <w:t>UPDRS III OFF medication</w:t>
            </w:r>
          </w:p>
        </w:tc>
        <w:tc>
          <w:tcPr>
            <w:tcW w:w="1109" w:type="pct"/>
            <w:vAlign w:val="bottom"/>
          </w:tcPr>
          <w:p w14:paraId="2BE92062" w14:textId="77777777" w:rsidR="00E07A8D" w:rsidRPr="00F50D8C" w:rsidRDefault="00E07A8D" w:rsidP="00E07A8D">
            <w:pPr>
              <w:spacing w:after="0" w:line="360" w:lineRule="auto"/>
              <w:jc w:val="center"/>
              <w:rPr>
                <w:lang w:val="en-US"/>
              </w:rPr>
            </w:pPr>
            <w:r w:rsidRPr="00F50D8C">
              <w:rPr>
                <w:lang w:val="en-US"/>
              </w:rPr>
              <w:t>29 (</w:t>
            </w:r>
            <w:r w:rsidRPr="00F50D8C">
              <w:rPr>
                <w:rFonts w:ascii="Cambria" w:hAnsi="Cambria"/>
                <w:lang w:val="en-US"/>
              </w:rPr>
              <w:t>± 12)</w:t>
            </w:r>
          </w:p>
        </w:tc>
        <w:tc>
          <w:tcPr>
            <w:tcW w:w="1194" w:type="pct"/>
            <w:vAlign w:val="bottom"/>
          </w:tcPr>
          <w:p w14:paraId="298C14B0" w14:textId="77777777" w:rsidR="00E07A8D" w:rsidRPr="00F50D8C" w:rsidRDefault="00E07A8D" w:rsidP="00E07A8D">
            <w:pPr>
              <w:spacing w:after="0" w:line="360" w:lineRule="auto"/>
              <w:jc w:val="center"/>
              <w:rPr>
                <w:lang w:val="en-US"/>
              </w:rPr>
            </w:pPr>
            <w:r w:rsidRPr="00F50D8C">
              <w:rPr>
                <w:lang w:val="en-US"/>
              </w:rPr>
              <w:t>31 (</w:t>
            </w:r>
            <w:r w:rsidRPr="00F50D8C">
              <w:rPr>
                <w:rFonts w:ascii="Cambria" w:hAnsi="Cambria"/>
                <w:lang w:val="en-US"/>
              </w:rPr>
              <w:t>± 11)</w:t>
            </w:r>
          </w:p>
        </w:tc>
      </w:tr>
      <w:tr w:rsidR="00E07A8D" w:rsidRPr="002D3696" w14:paraId="47B4E989" w14:textId="77777777" w:rsidTr="00E07A8D">
        <w:trPr>
          <w:jc w:val="center"/>
        </w:trPr>
        <w:tc>
          <w:tcPr>
            <w:tcW w:w="2697" w:type="pct"/>
            <w:vAlign w:val="bottom"/>
          </w:tcPr>
          <w:p w14:paraId="3D97EFE2" w14:textId="77777777" w:rsidR="00E07A8D" w:rsidRPr="002D3696" w:rsidRDefault="00E07A8D" w:rsidP="00E07A8D">
            <w:pPr>
              <w:spacing w:after="0" w:line="360" w:lineRule="auto"/>
              <w:rPr>
                <w:lang w:val="en-US"/>
              </w:rPr>
            </w:pPr>
            <w:r w:rsidRPr="002D3696">
              <w:rPr>
                <w:lang w:val="en-US"/>
              </w:rPr>
              <w:t>UPDRS III ON   medication</w:t>
            </w:r>
          </w:p>
        </w:tc>
        <w:tc>
          <w:tcPr>
            <w:tcW w:w="1109" w:type="pct"/>
            <w:vAlign w:val="bottom"/>
          </w:tcPr>
          <w:p w14:paraId="08DA8AA5" w14:textId="77777777" w:rsidR="00E07A8D" w:rsidRPr="00F50D8C" w:rsidRDefault="00E07A8D" w:rsidP="00E07A8D">
            <w:pPr>
              <w:spacing w:after="0" w:line="360" w:lineRule="auto"/>
              <w:jc w:val="center"/>
              <w:rPr>
                <w:lang w:val="en-US"/>
              </w:rPr>
            </w:pPr>
            <w:r w:rsidRPr="00F50D8C">
              <w:rPr>
                <w:lang w:val="en-US"/>
              </w:rPr>
              <w:t>17 (</w:t>
            </w:r>
            <w:r w:rsidRPr="00F50D8C">
              <w:rPr>
                <w:rFonts w:ascii="Cambria" w:hAnsi="Cambria"/>
                <w:lang w:val="en-US"/>
              </w:rPr>
              <w:t>± 9)</w:t>
            </w:r>
          </w:p>
        </w:tc>
        <w:tc>
          <w:tcPr>
            <w:tcW w:w="1194" w:type="pct"/>
            <w:vAlign w:val="bottom"/>
          </w:tcPr>
          <w:p w14:paraId="430591BD" w14:textId="77777777" w:rsidR="00E07A8D" w:rsidRPr="00F50D8C" w:rsidRDefault="00E07A8D" w:rsidP="00E07A8D">
            <w:pPr>
              <w:spacing w:after="0" w:line="360" w:lineRule="auto"/>
              <w:jc w:val="center"/>
              <w:rPr>
                <w:lang w:val="en-US"/>
              </w:rPr>
            </w:pPr>
            <w:r w:rsidRPr="00F50D8C">
              <w:rPr>
                <w:lang w:val="en-US"/>
              </w:rPr>
              <w:t>19 (</w:t>
            </w:r>
            <w:r w:rsidRPr="00F50D8C">
              <w:rPr>
                <w:rFonts w:ascii="Cambria" w:hAnsi="Cambria"/>
                <w:lang w:val="en-US"/>
              </w:rPr>
              <w:t>± 9)</w:t>
            </w:r>
          </w:p>
        </w:tc>
      </w:tr>
    </w:tbl>
    <w:p w14:paraId="026FF980" w14:textId="77777777" w:rsidR="00E07A8D" w:rsidRDefault="00E07A8D" w:rsidP="00E07A8D">
      <w:pPr>
        <w:widowControl w:val="0"/>
        <w:tabs>
          <w:tab w:val="left" w:pos="0"/>
        </w:tabs>
        <w:autoSpaceDE w:val="0"/>
        <w:autoSpaceDN w:val="0"/>
        <w:adjustRightInd w:val="0"/>
        <w:spacing w:after="240" w:line="240" w:lineRule="auto"/>
        <w:jc w:val="both"/>
        <w:rPr>
          <w:lang w:val="en-US"/>
        </w:rPr>
      </w:pPr>
    </w:p>
    <w:p w14:paraId="1CC356FA" w14:textId="264DBDB7" w:rsidR="00E07A8D" w:rsidRDefault="00E07A8D" w:rsidP="00E07A8D">
      <w:pPr>
        <w:widowControl w:val="0"/>
        <w:tabs>
          <w:tab w:val="left" w:pos="0"/>
        </w:tabs>
        <w:autoSpaceDE w:val="0"/>
        <w:autoSpaceDN w:val="0"/>
        <w:adjustRightInd w:val="0"/>
        <w:spacing w:after="240" w:line="480" w:lineRule="auto"/>
        <w:jc w:val="both"/>
        <w:rPr>
          <w:rFonts w:ascii="Cambria" w:hAnsi="Cambria"/>
          <w:lang w:val="en-US"/>
        </w:rPr>
      </w:pPr>
      <w:r>
        <w:rPr>
          <w:lang w:val="en-US"/>
        </w:rPr>
        <w:t>Table S1b:</w:t>
      </w:r>
      <w:r>
        <w:rPr>
          <w:lang w:val="en-US"/>
        </w:rPr>
        <w:tab/>
        <w:t>These variables were not included in the clustering approach. Age and disease duration are</w:t>
      </w:r>
      <w:r w:rsidR="0010557E">
        <w:rPr>
          <w:lang w:val="en-US"/>
        </w:rPr>
        <w:t xml:space="preserve"> given in years. The amount of levo</w:t>
      </w:r>
      <w:r>
        <w:rPr>
          <w:lang w:val="en-US"/>
        </w:rPr>
        <w:t>dopa equivalent daily dose is indicated in milligram. Continuous variables are displayed as mean (</w:t>
      </w:r>
      <w:r w:rsidRPr="002D3696">
        <w:rPr>
          <w:rFonts w:ascii="Cambria" w:hAnsi="Cambria"/>
          <w:lang w:val="en-US"/>
        </w:rPr>
        <w:t>±</w:t>
      </w:r>
      <w:r>
        <w:rPr>
          <w:rFonts w:ascii="Cambria" w:hAnsi="Cambria"/>
          <w:lang w:val="en-US"/>
        </w:rPr>
        <w:t xml:space="preserve"> standard deviation). </w:t>
      </w:r>
    </w:p>
    <w:p w14:paraId="0CEC867F" w14:textId="77777777" w:rsidR="00E07A8D" w:rsidRDefault="00E07A8D" w:rsidP="00E07A8D">
      <w:pPr>
        <w:widowControl w:val="0"/>
        <w:tabs>
          <w:tab w:val="left" w:pos="0"/>
        </w:tabs>
        <w:autoSpaceDE w:val="0"/>
        <w:autoSpaceDN w:val="0"/>
        <w:adjustRightInd w:val="0"/>
        <w:spacing w:after="240" w:line="480" w:lineRule="auto"/>
        <w:jc w:val="both"/>
        <w:rPr>
          <w:rFonts w:ascii="Cambria" w:hAnsi="Cambria"/>
          <w:lang w:val="en-US"/>
        </w:rPr>
      </w:pPr>
    </w:p>
    <w:p w14:paraId="68F0802A" w14:textId="77777777" w:rsidR="00E07A8D" w:rsidRPr="002D3696" w:rsidRDefault="00E07A8D" w:rsidP="00E07A8D">
      <w:pPr>
        <w:widowControl w:val="0"/>
        <w:tabs>
          <w:tab w:val="left" w:pos="0"/>
        </w:tabs>
        <w:autoSpaceDE w:val="0"/>
        <w:autoSpaceDN w:val="0"/>
        <w:adjustRightInd w:val="0"/>
        <w:spacing w:after="240" w:line="480" w:lineRule="auto"/>
        <w:jc w:val="both"/>
        <w:rPr>
          <w:lang w:val="en-US"/>
        </w:rPr>
      </w:pPr>
    </w:p>
    <w:tbl>
      <w:tblPr>
        <w:tblStyle w:val="Tabellenraster"/>
        <w:tblW w:w="4038" w:type="pct"/>
        <w:jc w:val="center"/>
        <w:tblLook w:val="04A0" w:firstRow="1" w:lastRow="0" w:firstColumn="1" w:lastColumn="0" w:noHBand="0" w:noVBand="1"/>
      </w:tblPr>
      <w:tblGrid>
        <w:gridCol w:w="2901"/>
        <w:gridCol w:w="4595"/>
      </w:tblGrid>
      <w:tr w:rsidR="00E07A8D" w:rsidRPr="002D3696" w14:paraId="7E8340D8" w14:textId="77777777" w:rsidTr="00E07A8D">
        <w:trPr>
          <w:jc w:val="center"/>
        </w:trPr>
        <w:tc>
          <w:tcPr>
            <w:tcW w:w="1935" w:type="pct"/>
            <w:tcBorders>
              <w:top w:val="nil"/>
              <w:left w:val="nil"/>
            </w:tcBorders>
          </w:tcPr>
          <w:p w14:paraId="6D71B6C7" w14:textId="77777777" w:rsidR="00E07A8D" w:rsidRPr="002D3696" w:rsidRDefault="00E07A8D" w:rsidP="00E07A8D">
            <w:pPr>
              <w:spacing w:after="0" w:line="360" w:lineRule="auto"/>
              <w:rPr>
                <w:lang w:val="en-US"/>
              </w:rPr>
            </w:pPr>
          </w:p>
        </w:tc>
        <w:tc>
          <w:tcPr>
            <w:tcW w:w="3065" w:type="pct"/>
          </w:tcPr>
          <w:p w14:paraId="3E7DE33C" w14:textId="77777777" w:rsidR="00E07A8D" w:rsidRPr="002D3696" w:rsidRDefault="00E07A8D" w:rsidP="00E07A8D">
            <w:pPr>
              <w:spacing w:after="0" w:line="360" w:lineRule="auto"/>
              <w:jc w:val="center"/>
              <w:rPr>
                <w:lang w:val="en-US"/>
              </w:rPr>
            </w:pPr>
            <w:r>
              <w:rPr>
                <w:lang w:val="en-US"/>
              </w:rPr>
              <w:t>Formula</w:t>
            </w:r>
          </w:p>
        </w:tc>
      </w:tr>
      <w:tr w:rsidR="00E07A8D" w:rsidRPr="002D3696" w14:paraId="44FD1EA8" w14:textId="77777777" w:rsidTr="00E07A8D">
        <w:trPr>
          <w:jc w:val="center"/>
        </w:trPr>
        <w:tc>
          <w:tcPr>
            <w:tcW w:w="1935" w:type="pct"/>
            <w:vAlign w:val="bottom"/>
          </w:tcPr>
          <w:p w14:paraId="0C5BACB0" w14:textId="77777777" w:rsidR="00E07A8D" w:rsidRDefault="00E07A8D" w:rsidP="00E07A8D">
            <w:pPr>
              <w:spacing w:after="0" w:line="360" w:lineRule="auto"/>
              <w:rPr>
                <w:lang w:val="en-US"/>
              </w:rPr>
            </w:pPr>
            <w:r w:rsidRPr="002D3696">
              <w:rPr>
                <w:lang w:val="en-US"/>
              </w:rPr>
              <w:t>UPDRS III OFF medication</w:t>
            </w:r>
          </w:p>
          <w:p w14:paraId="33FC8620" w14:textId="77777777" w:rsidR="00E07A8D" w:rsidRPr="002D3696" w:rsidRDefault="00E07A8D" w:rsidP="00E07A8D">
            <w:pPr>
              <w:spacing w:after="0" w:line="360" w:lineRule="auto"/>
              <w:rPr>
                <w:lang w:val="en-US"/>
              </w:rPr>
            </w:pPr>
          </w:p>
        </w:tc>
        <w:tc>
          <w:tcPr>
            <w:tcW w:w="3065" w:type="pct"/>
            <w:vAlign w:val="bottom"/>
          </w:tcPr>
          <w:p w14:paraId="79B23736" w14:textId="77777777" w:rsidR="00E07A8D" w:rsidRPr="002D3696" w:rsidRDefault="00911E4F" w:rsidP="00E07A8D">
            <w:pPr>
              <w:spacing w:after="0" w:line="360" w:lineRule="auto"/>
              <w:jc w:val="center"/>
              <w:rPr>
                <w:lang w:val="en-US"/>
              </w:rPr>
            </w:pPr>
            <m:oMathPara>
              <m:oMath>
                <m:nary>
                  <m:naryPr>
                    <m:chr m:val="∑"/>
                    <m:limLoc m:val="undOvr"/>
                    <m:subHide m:val="1"/>
                    <m:supHide m:val="1"/>
                    <m:ctrlPr>
                      <w:rPr>
                        <w:rFonts w:ascii="Cambria Math" w:hAnsi="Cambria Math"/>
                        <w:i/>
                        <w:lang w:val="en-US"/>
                      </w:rPr>
                    </m:ctrlPr>
                  </m:naryPr>
                  <m:sub/>
                  <m:sup/>
                  <m:e>
                    <m:r>
                      <m:rPr>
                        <m:sty m:val="p"/>
                      </m:rPr>
                      <w:rPr>
                        <w:rFonts w:ascii="Cambria Math" w:hAnsi="Cambria Math"/>
                        <w:lang w:val="en-US"/>
                      </w:rPr>
                      <m:t>UPDRS III items 18 – 31 after 12h/72h medication pause</m:t>
                    </m:r>
                  </m:e>
                </m:nary>
              </m:oMath>
            </m:oMathPara>
          </w:p>
        </w:tc>
      </w:tr>
      <w:tr w:rsidR="00E07A8D" w:rsidRPr="001670FF" w14:paraId="535466A5" w14:textId="77777777" w:rsidTr="00E07A8D">
        <w:trPr>
          <w:jc w:val="center"/>
        </w:trPr>
        <w:tc>
          <w:tcPr>
            <w:tcW w:w="1935" w:type="pct"/>
            <w:vAlign w:val="bottom"/>
          </w:tcPr>
          <w:p w14:paraId="3D8DFF9A" w14:textId="77777777" w:rsidR="00E07A8D" w:rsidRDefault="00E07A8D" w:rsidP="00E07A8D">
            <w:pPr>
              <w:spacing w:after="0" w:line="360" w:lineRule="auto"/>
              <w:rPr>
                <w:lang w:val="en-US"/>
              </w:rPr>
            </w:pPr>
            <w:r w:rsidRPr="002D3696">
              <w:rPr>
                <w:lang w:val="en-US"/>
              </w:rPr>
              <w:t>UPDRS III ON   medication</w:t>
            </w:r>
          </w:p>
          <w:p w14:paraId="0B93985B" w14:textId="77777777" w:rsidR="00E07A8D" w:rsidRPr="002D3696" w:rsidRDefault="00E07A8D" w:rsidP="00E07A8D">
            <w:pPr>
              <w:spacing w:after="0" w:line="360" w:lineRule="auto"/>
              <w:rPr>
                <w:lang w:val="en-US"/>
              </w:rPr>
            </w:pPr>
          </w:p>
        </w:tc>
        <w:tc>
          <w:tcPr>
            <w:tcW w:w="3065" w:type="pct"/>
            <w:vAlign w:val="bottom"/>
          </w:tcPr>
          <w:p w14:paraId="384893A1" w14:textId="77777777" w:rsidR="00E07A8D" w:rsidRPr="002D3696" w:rsidRDefault="00911E4F" w:rsidP="00E07A8D">
            <w:pPr>
              <w:spacing w:after="0" w:line="360" w:lineRule="auto"/>
              <w:jc w:val="center"/>
              <w:rPr>
                <w:lang w:val="en-US"/>
              </w:rPr>
            </w:pPr>
            <m:oMath>
              <m:nary>
                <m:naryPr>
                  <m:chr m:val="∑"/>
                  <m:limLoc m:val="undOvr"/>
                  <m:subHide m:val="1"/>
                  <m:supHide m:val="1"/>
                  <m:ctrlPr>
                    <w:rPr>
                      <w:rFonts w:ascii="Cambria Math" w:hAnsi="Cambria Math"/>
                      <w:i/>
                      <w:lang w:val="en-US"/>
                    </w:rPr>
                  </m:ctrlPr>
                </m:naryPr>
                <m:sub/>
                <m:sup/>
                <m:e>
                  <m:r>
                    <m:rPr>
                      <m:sty m:val="p"/>
                    </m:rPr>
                    <w:rPr>
                      <w:rFonts w:ascii="Cambria Math" w:hAnsi="Cambria Math"/>
                      <w:lang w:val="en-US"/>
                    </w:rPr>
                    <m:t>UPDRS III items 18 – 31 after 200/50mg levodopa/carbidopa</m:t>
                  </m:r>
                </m:e>
              </m:nary>
            </m:oMath>
            <w:r w:rsidR="00E07A8D">
              <w:rPr>
                <w:lang w:val="en-US"/>
              </w:rPr>
              <w:t xml:space="preserve"> </w:t>
            </w:r>
          </w:p>
        </w:tc>
      </w:tr>
      <w:tr w:rsidR="00E07A8D" w:rsidRPr="002D3696" w14:paraId="754300A2" w14:textId="77777777" w:rsidTr="00E07A8D">
        <w:trPr>
          <w:jc w:val="center"/>
        </w:trPr>
        <w:tc>
          <w:tcPr>
            <w:tcW w:w="1935" w:type="pct"/>
            <w:vAlign w:val="bottom"/>
          </w:tcPr>
          <w:p w14:paraId="67F2BC01" w14:textId="77777777" w:rsidR="00E07A8D" w:rsidRPr="002D3696" w:rsidRDefault="00E07A8D" w:rsidP="00E07A8D">
            <w:pPr>
              <w:spacing w:after="0" w:line="360" w:lineRule="auto"/>
              <w:rPr>
                <w:lang w:val="en-US"/>
              </w:rPr>
            </w:pPr>
            <w:r>
              <w:rPr>
                <w:lang w:val="en-US"/>
              </w:rPr>
              <w:t>disease progression OFF</w:t>
            </w:r>
          </w:p>
        </w:tc>
        <w:tc>
          <w:tcPr>
            <w:tcW w:w="3065" w:type="pct"/>
            <w:vAlign w:val="bottom"/>
          </w:tcPr>
          <w:p w14:paraId="66235A10" w14:textId="77777777" w:rsidR="00E07A8D" w:rsidRPr="002D3696" w:rsidRDefault="00911E4F" w:rsidP="00E07A8D">
            <w:pPr>
              <w:spacing w:after="0" w:line="360" w:lineRule="auto"/>
              <w:jc w:val="center"/>
              <w:rPr>
                <w:lang w:val="en-US"/>
              </w:rPr>
            </w:pPr>
            <m:oMathPara>
              <m:oMath>
                <m:f>
                  <m:fPr>
                    <m:ctrlPr>
                      <w:rPr>
                        <w:rFonts w:ascii="Cambria Math" w:hAnsi="Cambria Math"/>
                        <w:i/>
                        <w:lang w:val="en-US"/>
                      </w:rPr>
                    </m:ctrlPr>
                  </m:fPr>
                  <m:num>
                    <m:r>
                      <m:rPr>
                        <m:sty m:val="p"/>
                      </m:rPr>
                      <w:rPr>
                        <w:rFonts w:ascii="Cambria Math" w:hAnsi="Cambria Math"/>
                        <w:lang w:val="en-US"/>
                      </w:rPr>
                      <m:t>UPDRS III OFF</m:t>
                    </m:r>
                  </m:num>
                  <m:den>
                    <m:r>
                      <m:rPr>
                        <m:sty m:val="p"/>
                      </m:rPr>
                      <w:rPr>
                        <w:rFonts w:ascii="Cambria Math" w:hAnsi="Cambria Math"/>
                        <w:lang w:val="en-US"/>
                      </w:rPr>
                      <m:t>disease duration</m:t>
                    </m:r>
                  </m:den>
                </m:f>
              </m:oMath>
            </m:oMathPara>
          </w:p>
        </w:tc>
      </w:tr>
      <w:tr w:rsidR="00E07A8D" w:rsidRPr="002D3696" w14:paraId="018FD429" w14:textId="77777777" w:rsidTr="00E07A8D">
        <w:trPr>
          <w:jc w:val="center"/>
        </w:trPr>
        <w:tc>
          <w:tcPr>
            <w:tcW w:w="1935" w:type="pct"/>
            <w:vAlign w:val="bottom"/>
          </w:tcPr>
          <w:p w14:paraId="267C4B7A" w14:textId="77777777" w:rsidR="00E07A8D" w:rsidRPr="002D3696" w:rsidRDefault="00E07A8D" w:rsidP="00E07A8D">
            <w:pPr>
              <w:spacing w:after="0" w:line="360" w:lineRule="auto"/>
              <w:rPr>
                <w:lang w:val="en-US"/>
              </w:rPr>
            </w:pPr>
            <w:r w:rsidRPr="002D3696">
              <w:rPr>
                <w:lang w:val="en-US"/>
              </w:rPr>
              <w:t>medication</w:t>
            </w:r>
            <w:r>
              <w:rPr>
                <w:lang w:val="en-US"/>
              </w:rPr>
              <w:t xml:space="preserve"> response</w:t>
            </w:r>
          </w:p>
        </w:tc>
        <w:tc>
          <w:tcPr>
            <w:tcW w:w="3065" w:type="pct"/>
            <w:vAlign w:val="bottom"/>
          </w:tcPr>
          <w:p w14:paraId="09684E48" w14:textId="77777777" w:rsidR="00E07A8D" w:rsidRPr="002D3696" w:rsidRDefault="00911E4F" w:rsidP="00E07A8D">
            <w:pPr>
              <w:spacing w:after="0" w:line="360" w:lineRule="auto"/>
              <w:jc w:val="center"/>
              <w:rPr>
                <w:lang w:val="en-US"/>
              </w:rPr>
            </w:pPr>
            <m:oMathPara>
              <m:oMath>
                <m:d>
                  <m:dPr>
                    <m:ctrlPr>
                      <w:rPr>
                        <w:rFonts w:ascii="Cambria Math" w:hAnsi="Cambria Math"/>
                        <w:i/>
                        <w:lang w:val="en-US"/>
                      </w:rPr>
                    </m:ctrlPr>
                  </m:dPr>
                  <m:e>
                    <m:r>
                      <m:rPr>
                        <m:sty m:val="p"/>
                      </m:rPr>
                      <w:rPr>
                        <w:rFonts w:ascii="Cambria Math" w:hAnsi="Cambria Math"/>
                        <w:lang w:val="en-US"/>
                      </w:rPr>
                      <m:t>1-</m:t>
                    </m:r>
                    <m:f>
                      <m:fPr>
                        <m:ctrlPr>
                          <w:rPr>
                            <w:rFonts w:ascii="Cambria Math" w:hAnsi="Cambria Math"/>
                            <w:i/>
                            <w:lang w:val="en-US"/>
                          </w:rPr>
                        </m:ctrlPr>
                      </m:fPr>
                      <m:num>
                        <m:r>
                          <m:rPr>
                            <m:sty m:val="p"/>
                          </m:rPr>
                          <w:rPr>
                            <w:rFonts w:ascii="Cambria Math" w:hAnsi="Cambria Math"/>
                            <w:lang w:val="en-US"/>
                          </w:rPr>
                          <m:t>UPDRS III ON</m:t>
                        </m:r>
                      </m:num>
                      <m:den>
                        <m:r>
                          <m:rPr>
                            <m:sty m:val="p"/>
                          </m:rPr>
                          <w:rPr>
                            <w:rFonts w:ascii="Cambria Math" w:hAnsi="Cambria Math"/>
                            <w:lang w:val="en-US"/>
                          </w:rPr>
                          <m:t>UPDRS III OFF</m:t>
                        </m:r>
                      </m:den>
                    </m:f>
                  </m:e>
                </m:d>
              </m:oMath>
            </m:oMathPara>
          </w:p>
        </w:tc>
      </w:tr>
      <w:tr w:rsidR="00E07A8D" w:rsidRPr="002D3696" w14:paraId="58EF2AAE" w14:textId="77777777" w:rsidTr="00E07A8D">
        <w:trPr>
          <w:jc w:val="center"/>
        </w:trPr>
        <w:tc>
          <w:tcPr>
            <w:tcW w:w="1935" w:type="pct"/>
            <w:vAlign w:val="bottom"/>
          </w:tcPr>
          <w:p w14:paraId="05CADE9F" w14:textId="77777777" w:rsidR="00E07A8D" w:rsidRPr="002D3696" w:rsidRDefault="00E07A8D" w:rsidP="00E07A8D">
            <w:pPr>
              <w:spacing w:after="0" w:line="360" w:lineRule="auto"/>
              <w:rPr>
                <w:lang w:val="en-US"/>
              </w:rPr>
            </w:pPr>
            <w:r>
              <w:rPr>
                <w:lang w:val="en-US"/>
              </w:rPr>
              <w:t>Standardized medication response</w:t>
            </w:r>
          </w:p>
        </w:tc>
        <w:tc>
          <w:tcPr>
            <w:tcW w:w="3065" w:type="pct"/>
            <w:vAlign w:val="bottom"/>
          </w:tcPr>
          <w:p w14:paraId="52CB364E" w14:textId="77777777" w:rsidR="00E07A8D" w:rsidRPr="00D3753A" w:rsidRDefault="00911E4F" w:rsidP="00E07A8D">
            <w:pPr>
              <w:spacing w:after="0" w:line="360" w:lineRule="auto"/>
              <w:jc w:val="center"/>
              <w:rPr>
                <w:rFonts w:eastAsiaTheme="minorEastAsia"/>
                <w:lang w:val="en-US"/>
              </w:rPr>
            </w:pPr>
            <m:oMathPara>
              <m:oMath>
                <m:f>
                  <m:fPr>
                    <m:ctrlPr>
                      <w:rPr>
                        <w:rFonts w:ascii="Cambria Math" w:hAnsi="Cambria Math"/>
                        <w:lang w:val="en-US"/>
                      </w:rPr>
                    </m:ctrlPr>
                  </m:fPr>
                  <m:num>
                    <m:r>
                      <m:rPr>
                        <m:sty m:val="p"/>
                      </m:rPr>
                      <w:rPr>
                        <w:rFonts w:ascii="Cambria Math" w:hAnsi="Cambria Math"/>
                        <w:lang w:val="en-US"/>
                      </w:rPr>
                      <m:t>medication response</m:t>
                    </m:r>
                  </m:num>
                  <m:den>
                    <m:r>
                      <m:rPr>
                        <m:sty m:val="p"/>
                      </m:rPr>
                      <w:rPr>
                        <w:rFonts w:ascii="Cambria Math" w:hAnsi="Cambria Math"/>
                        <w:lang w:val="en-US"/>
                      </w:rPr>
                      <m:t>disease duration</m:t>
                    </m:r>
                  </m:den>
                </m:f>
                <m:r>
                  <m:rPr>
                    <m:sty m:val="p"/>
                  </m:rPr>
                  <w:rPr>
                    <w:rFonts w:ascii="Cambria Math" w:hAnsi="Cambria Math"/>
                    <w:lang w:val="en-US"/>
                  </w:rPr>
                  <m:t xml:space="preserve"> </m:t>
                </m:r>
              </m:oMath>
            </m:oMathPara>
          </w:p>
        </w:tc>
      </w:tr>
      <w:tr w:rsidR="00E07A8D" w:rsidRPr="001670FF" w14:paraId="0C10E75A" w14:textId="77777777" w:rsidTr="00E07A8D">
        <w:trPr>
          <w:jc w:val="center"/>
        </w:trPr>
        <w:tc>
          <w:tcPr>
            <w:tcW w:w="1935" w:type="pct"/>
            <w:vAlign w:val="bottom"/>
          </w:tcPr>
          <w:p w14:paraId="6A4535B7" w14:textId="77777777" w:rsidR="00E07A8D" w:rsidRPr="002D3696" w:rsidRDefault="00E07A8D" w:rsidP="00E07A8D">
            <w:pPr>
              <w:spacing w:after="0" w:line="360" w:lineRule="auto"/>
              <w:rPr>
                <w:lang w:val="en-US"/>
              </w:rPr>
            </w:pPr>
            <w:r>
              <w:rPr>
                <w:lang w:val="en-US"/>
              </w:rPr>
              <w:t>Tremor-score OFF</w:t>
            </w:r>
          </w:p>
        </w:tc>
        <w:tc>
          <w:tcPr>
            <w:tcW w:w="3065" w:type="pct"/>
            <w:vAlign w:val="bottom"/>
          </w:tcPr>
          <w:p w14:paraId="7C2AABE2" w14:textId="77777777" w:rsidR="00E07A8D" w:rsidRPr="002D3696" w:rsidRDefault="00E07A8D" w:rsidP="00E07A8D">
            <w:pPr>
              <w:spacing w:after="0" w:line="360" w:lineRule="auto"/>
              <w:jc w:val="center"/>
              <w:rPr>
                <w:lang w:val="en-US"/>
              </w:rPr>
            </w:pPr>
            <w:proofErr w:type="gramStart"/>
            <w:r>
              <w:rPr>
                <w:rFonts w:ascii="Cambria" w:hAnsi="Cambria"/>
                <w:lang w:val="en-US"/>
              </w:rPr>
              <w:t>μ</w:t>
            </w:r>
            <w:r>
              <w:rPr>
                <w:lang w:val="en-US"/>
              </w:rPr>
              <w:t>(</w:t>
            </w:r>
            <w:proofErr w:type="gramEnd"/>
            <w:r>
              <w:rPr>
                <w:lang w:val="en-US"/>
              </w:rPr>
              <w:t>UPDRS III OFF items 20 &amp; 21)</w:t>
            </w:r>
          </w:p>
        </w:tc>
      </w:tr>
      <w:tr w:rsidR="00E07A8D" w:rsidRPr="001670FF" w14:paraId="5DE626A5" w14:textId="77777777" w:rsidTr="00E07A8D">
        <w:trPr>
          <w:jc w:val="center"/>
        </w:trPr>
        <w:tc>
          <w:tcPr>
            <w:tcW w:w="1935" w:type="pct"/>
            <w:vAlign w:val="bottom"/>
          </w:tcPr>
          <w:p w14:paraId="7F88310C" w14:textId="77777777" w:rsidR="00E07A8D" w:rsidRPr="002D3696" w:rsidRDefault="00E07A8D" w:rsidP="00E07A8D">
            <w:pPr>
              <w:spacing w:after="0" w:line="360" w:lineRule="auto"/>
              <w:rPr>
                <w:lang w:val="en-US"/>
              </w:rPr>
            </w:pPr>
            <w:r>
              <w:rPr>
                <w:lang w:val="en-US"/>
              </w:rPr>
              <w:t>Akinetic-rigid score OFF</w:t>
            </w:r>
          </w:p>
        </w:tc>
        <w:tc>
          <w:tcPr>
            <w:tcW w:w="3065" w:type="pct"/>
            <w:vAlign w:val="bottom"/>
          </w:tcPr>
          <w:p w14:paraId="26CE92E5" w14:textId="77777777" w:rsidR="00E07A8D" w:rsidRPr="002D3696" w:rsidRDefault="00E07A8D" w:rsidP="00E07A8D">
            <w:pPr>
              <w:spacing w:after="0" w:line="360" w:lineRule="auto"/>
              <w:jc w:val="center"/>
              <w:rPr>
                <w:lang w:val="en-US"/>
              </w:rPr>
            </w:pPr>
            <w:proofErr w:type="gramStart"/>
            <w:r>
              <w:rPr>
                <w:rFonts w:ascii="Cambria" w:hAnsi="Cambria"/>
                <w:lang w:val="en-US"/>
              </w:rPr>
              <w:t>μ</w:t>
            </w:r>
            <w:r>
              <w:rPr>
                <w:lang w:val="en-US"/>
              </w:rPr>
              <w:t>(</w:t>
            </w:r>
            <w:proofErr w:type="gramEnd"/>
            <w:r>
              <w:rPr>
                <w:lang w:val="en-US"/>
              </w:rPr>
              <w:t>UPDRS III OFF items 18, 19, 22, 27 – 31)</w:t>
            </w:r>
          </w:p>
        </w:tc>
      </w:tr>
      <w:tr w:rsidR="00E07A8D" w:rsidRPr="002D3696" w14:paraId="21765DD4" w14:textId="77777777" w:rsidTr="00E07A8D">
        <w:trPr>
          <w:jc w:val="center"/>
        </w:trPr>
        <w:tc>
          <w:tcPr>
            <w:tcW w:w="1935" w:type="pct"/>
            <w:vAlign w:val="bottom"/>
          </w:tcPr>
          <w:p w14:paraId="61655E68" w14:textId="77777777" w:rsidR="00E07A8D" w:rsidRPr="002D3696" w:rsidRDefault="00E07A8D" w:rsidP="00E07A8D">
            <w:pPr>
              <w:spacing w:after="0" w:line="360" w:lineRule="auto"/>
              <w:rPr>
                <w:lang w:val="en-US"/>
              </w:rPr>
            </w:pPr>
            <w:r>
              <w:rPr>
                <w:lang w:val="en-US"/>
              </w:rPr>
              <w:t>Tremor-/Akinetic-rigid score</w:t>
            </w:r>
          </w:p>
        </w:tc>
        <w:tc>
          <w:tcPr>
            <w:tcW w:w="3065" w:type="pct"/>
            <w:vAlign w:val="bottom"/>
          </w:tcPr>
          <w:p w14:paraId="08E3AD27" w14:textId="77777777" w:rsidR="00E07A8D" w:rsidRPr="002D3696" w:rsidRDefault="00911E4F" w:rsidP="00E07A8D">
            <w:pPr>
              <w:spacing w:after="0" w:line="360" w:lineRule="auto"/>
              <w:jc w:val="center"/>
              <w:rPr>
                <w:lang w:val="en-US"/>
              </w:rPr>
            </w:pPr>
            <m:oMathPara>
              <m:oMath>
                <m:f>
                  <m:fPr>
                    <m:ctrlPr>
                      <w:rPr>
                        <w:rFonts w:ascii="Cambria Math" w:hAnsi="Cambria Math"/>
                        <w:i/>
                        <w:lang w:val="en-US"/>
                      </w:rPr>
                    </m:ctrlPr>
                  </m:fPr>
                  <m:num>
                    <m:r>
                      <m:rPr>
                        <m:sty m:val="p"/>
                      </m:rPr>
                      <w:rPr>
                        <w:rFonts w:ascii="Cambria Math" w:hAnsi="Cambria Math"/>
                        <w:lang w:val="en-US"/>
                      </w:rPr>
                      <m:t>Tremor-score OFF</m:t>
                    </m:r>
                  </m:num>
                  <m:den>
                    <m:r>
                      <m:rPr>
                        <m:sty m:val="p"/>
                      </m:rPr>
                      <w:rPr>
                        <w:rFonts w:ascii="Cambria Math" w:hAnsi="Cambria Math"/>
                        <w:lang w:val="en-US"/>
                      </w:rPr>
                      <m:t>Akinetic-rigid score OFF</m:t>
                    </m:r>
                  </m:den>
                </m:f>
              </m:oMath>
            </m:oMathPara>
          </w:p>
        </w:tc>
      </w:tr>
    </w:tbl>
    <w:p w14:paraId="54FA4B62" w14:textId="77777777" w:rsidR="00E07A8D" w:rsidRDefault="00E07A8D" w:rsidP="00E07A8D">
      <w:pPr>
        <w:widowControl w:val="0"/>
        <w:tabs>
          <w:tab w:val="left" w:pos="0"/>
        </w:tabs>
        <w:autoSpaceDE w:val="0"/>
        <w:autoSpaceDN w:val="0"/>
        <w:adjustRightInd w:val="0"/>
        <w:spacing w:after="240" w:line="240" w:lineRule="auto"/>
        <w:jc w:val="both"/>
        <w:rPr>
          <w:lang w:val="en-US"/>
        </w:rPr>
      </w:pPr>
    </w:p>
    <w:p w14:paraId="212ABF60" w14:textId="77777777" w:rsidR="00E07A8D" w:rsidRPr="002D3696" w:rsidRDefault="00E07A8D" w:rsidP="00E07A8D">
      <w:pPr>
        <w:widowControl w:val="0"/>
        <w:tabs>
          <w:tab w:val="left" w:pos="0"/>
        </w:tabs>
        <w:autoSpaceDE w:val="0"/>
        <w:autoSpaceDN w:val="0"/>
        <w:adjustRightInd w:val="0"/>
        <w:spacing w:after="240" w:line="480" w:lineRule="auto"/>
        <w:jc w:val="both"/>
        <w:rPr>
          <w:lang w:val="en-US"/>
        </w:rPr>
      </w:pPr>
      <w:r>
        <w:rPr>
          <w:lang w:val="en-US"/>
        </w:rPr>
        <w:t>Table S1c:</w:t>
      </w:r>
      <w:r>
        <w:rPr>
          <w:lang w:val="en-US"/>
        </w:rPr>
        <w:tab/>
        <w:t xml:space="preserve">Description of variables included in the clustering approach. UPDRS is the abbreviation for Unified Parkinson’s Disease Rating Scale. A tremor-/akinetic-rigid score below 0.5 is considered akinetic-rigid type, in the range 0.5 – 2 is considered mixed type and above 2 is a tremor-dominant type. </w:t>
      </w:r>
    </w:p>
    <w:p w14:paraId="7FFC985E" w14:textId="77777777" w:rsidR="00E07A8D" w:rsidRDefault="00E07A8D" w:rsidP="00E07A8D">
      <w:pPr>
        <w:rPr>
          <w:b/>
          <w:lang w:val="en-US"/>
        </w:rPr>
      </w:pPr>
    </w:p>
    <w:p w14:paraId="186E4DD4" w14:textId="77777777" w:rsidR="00E07A8D" w:rsidRDefault="00E07A8D" w:rsidP="00E07A8D">
      <w:pPr>
        <w:rPr>
          <w:b/>
          <w:lang w:val="en-US"/>
        </w:rPr>
      </w:pPr>
    </w:p>
    <w:p w14:paraId="5AAC8545" w14:textId="77777777" w:rsidR="00E07A8D" w:rsidRDefault="00E07A8D" w:rsidP="00E07A8D">
      <w:pPr>
        <w:rPr>
          <w:b/>
          <w:lang w:val="en-US"/>
        </w:rPr>
      </w:pPr>
    </w:p>
    <w:p w14:paraId="27819E4E" w14:textId="77777777" w:rsidR="00E07A8D" w:rsidRDefault="00E07A8D" w:rsidP="00E07A8D">
      <w:pPr>
        <w:rPr>
          <w:b/>
          <w:lang w:val="en-US"/>
        </w:rPr>
      </w:pPr>
    </w:p>
    <w:p w14:paraId="32A2E1F1" w14:textId="77777777" w:rsidR="00E07A8D" w:rsidRDefault="00E07A8D" w:rsidP="00E07A8D">
      <w:pPr>
        <w:rPr>
          <w:b/>
          <w:lang w:val="en-US"/>
        </w:rPr>
      </w:pPr>
    </w:p>
    <w:p w14:paraId="2DC29898" w14:textId="77777777" w:rsidR="00E07A8D" w:rsidRDefault="00E07A8D" w:rsidP="00E07A8D">
      <w:pPr>
        <w:rPr>
          <w:b/>
          <w:lang w:val="en-US"/>
        </w:rPr>
      </w:pPr>
    </w:p>
    <w:p w14:paraId="1D64C1FB" w14:textId="77777777" w:rsidR="00E07A8D" w:rsidRDefault="00E07A8D" w:rsidP="00E07A8D">
      <w:pPr>
        <w:rPr>
          <w:b/>
          <w:lang w:val="en-US"/>
        </w:rPr>
      </w:pPr>
    </w:p>
    <w:p w14:paraId="3D728DF4" w14:textId="77777777" w:rsidR="00E07A8D" w:rsidRDefault="00E07A8D" w:rsidP="00E07A8D">
      <w:pPr>
        <w:rPr>
          <w:b/>
          <w:lang w:val="en-US"/>
        </w:rPr>
      </w:pPr>
    </w:p>
    <w:p w14:paraId="6EBCA653" w14:textId="77777777" w:rsidR="00E07A8D" w:rsidRDefault="00E07A8D" w:rsidP="00E07A8D">
      <w:pPr>
        <w:rPr>
          <w:b/>
          <w:lang w:val="en-US"/>
        </w:rPr>
      </w:pPr>
    </w:p>
    <w:p w14:paraId="5645B271" w14:textId="77777777" w:rsidR="00E07A8D" w:rsidRDefault="00E07A8D" w:rsidP="00E07A8D">
      <w:pPr>
        <w:rPr>
          <w:b/>
          <w:lang w:val="en-US"/>
        </w:rPr>
      </w:pPr>
    </w:p>
    <w:p w14:paraId="4ADB6F4B" w14:textId="77777777" w:rsidR="00E07A8D" w:rsidRDefault="00E07A8D" w:rsidP="00E07A8D">
      <w:pPr>
        <w:rPr>
          <w:b/>
          <w:lang w:val="en-US"/>
        </w:rPr>
      </w:pPr>
    </w:p>
    <w:p w14:paraId="5F496CB5" w14:textId="77777777" w:rsidR="00E07A8D" w:rsidRPr="002D3696" w:rsidRDefault="00E07A8D" w:rsidP="00E07A8D">
      <w:pPr>
        <w:rPr>
          <w:b/>
          <w:sz w:val="24"/>
          <w:szCs w:val="24"/>
          <w:lang w:val="en-US"/>
        </w:rPr>
      </w:pPr>
      <w:r>
        <w:rPr>
          <w:b/>
          <w:lang w:val="en-US"/>
        </w:rPr>
        <w:t>Table S2</w:t>
      </w:r>
      <w:r w:rsidRPr="002D3696">
        <w:rPr>
          <w:b/>
          <w:lang w:val="en-US"/>
        </w:rPr>
        <w:tab/>
      </w:r>
      <w:r>
        <w:rPr>
          <w:b/>
          <w:lang w:val="en-US"/>
        </w:rPr>
        <w:t>Statistical cluster comparison</w:t>
      </w:r>
      <w:r w:rsidRPr="002D3696">
        <w:rPr>
          <w:b/>
          <w:lang w:val="en-US"/>
        </w:rPr>
        <w:t>.</w:t>
      </w:r>
    </w:p>
    <w:tbl>
      <w:tblPr>
        <w:tblStyle w:val="Tabellenraster"/>
        <w:tblW w:w="0" w:type="auto"/>
        <w:jc w:val="center"/>
        <w:tblLook w:val="04A0" w:firstRow="1" w:lastRow="0" w:firstColumn="1" w:lastColumn="0" w:noHBand="0" w:noVBand="1"/>
      </w:tblPr>
      <w:tblGrid>
        <w:gridCol w:w="2089"/>
        <w:gridCol w:w="1275"/>
        <w:gridCol w:w="1418"/>
        <w:gridCol w:w="1431"/>
        <w:gridCol w:w="1440"/>
        <w:gridCol w:w="1373"/>
      </w:tblGrid>
      <w:tr w:rsidR="00E07A8D" w:rsidRPr="002D3696" w14:paraId="538EB5D8" w14:textId="77777777" w:rsidTr="005325E0">
        <w:trPr>
          <w:jc w:val="center"/>
        </w:trPr>
        <w:tc>
          <w:tcPr>
            <w:tcW w:w="2089" w:type="dxa"/>
            <w:tcBorders>
              <w:top w:val="single" w:sz="4" w:space="0" w:color="auto"/>
              <w:left w:val="single" w:sz="4" w:space="0" w:color="auto"/>
            </w:tcBorders>
          </w:tcPr>
          <w:p w14:paraId="1EDC3B24" w14:textId="77777777" w:rsidR="00E07A8D" w:rsidRPr="002D3696" w:rsidRDefault="00E07A8D" w:rsidP="00E07A8D">
            <w:pPr>
              <w:spacing w:after="0" w:line="360" w:lineRule="auto"/>
              <w:rPr>
                <w:lang w:val="en-US"/>
              </w:rPr>
            </w:pPr>
            <w:r>
              <w:rPr>
                <w:lang w:val="en-US"/>
              </w:rPr>
              <w:t>Variables</w:t>
            </w:r>
          </w:p>
        </w:tc>
        <w:tc>
          <w:tcPr>
            <w:tcW w:w="1275" w:type="dxa"/>
          </w:tcPr>
          <w:p w14:paraId="01D59053" w14:textId="77777777" w:rsidR="00E07A8D" w:rsidRPr="002D3696" w:rsidRDefault="00E07A8D" w:rsidP="00E07A8D">
            <w:pPr>
              <w:spacing w:after="0" w:line="360" w:lineRule="auto"/>
              <w:jc w:val="center"/>
              <w:rPr>
                <w:lang w:val="en-US"/>
              </w:rPr>
            </w:pPr>
            <w:r>
              <w:rPr>
                <w:lang w:val="en-US"/>
              </w:rPr>
              <w:t>Cluster 1</w:t>
            </w:r>
          </w:p>
        </w:tc>
        <w:tc>
          <w:tcPr>
            <w:tcW w:w="1418" w:type="dxa"/>
          </w:tcPr>
          <w:p w14:paraId="790E7520" w14:textId="77777777" w:rsidR="00E07A8D" w:rsidRDefault="00E07A8D" w:rsidP="00E07A8D">
            <w:pPr>
              <w:spacing w:after="0" w:line="360" w:lineRule="auto"/>
              <w:jc w:val="center"/>
              <w:rPr>
                <w:lang w:val="en-US"/>
              </w:rPr>
            </w:pPr>
            <w:r>
              <w:rPr>
                <w:lang w:val="en-US"/>
              </w:rPr>
              <w:t>Cluster 2</w:t>
            </w:r>
          </w:p>
        </w:tc>
        <w:tc>
          <w:tcPr>
            <w:tcW w:w="1431" w:type="dxa"/>
          </w:tcPr>
          <w:p w14:paraId="3AB03694" w14:textId="77777777" w:rsidR="00E07A8D" w:rsidRDefault="00E07A8D" w:rsidP="00E07A8D">
            <w:pPr>
              <w:spacing w:after="0" w:line="360" w:lineRule="auto"/>
              <w:jc w:val="center"/>
              <w:rPr>
                <w:lang w:val="en-US"/>
              </w:rPr>
            </w:pPr>
            <w:r>
              <w:rPr>
                <w:lang w:val="en-US"/>
              </w:rPr>
              <w:t>Cluster 3</w:t>
            </w:r>
          </w:p>
        </w:tc>
        <w:tc>
          <w:tcPr>
            <w:tcW w:w="1440" w:type="dxa"/>
          </w:tcPr>
          <w:p w14:paraId="152A902E" w14:textId="77777777" w:rsidR="00E07A8D" w:rsidRDefault="00E07A8D" w:rsidP="00E07A8D">
            <w:pPr>
              <w:spacing w:after="0" w:line="360" w:lineRule="auto"/>
              <w:jc w:val="center"/>
              <w:rPr>
                <w:lang w:val="en-US"/>
              </w:rPr>
            </w:pPr>
            <w:r>
              <w:rPr>
                <w:lang w:val="en-US"/>
              </w:rPr>
              <w:t>Test statistics</w:t>
            </w:r>
          </w:p>
        </w:tc>
        <w:tc>
          <w:tcPr>
            <w:tcW w:w="1373" w:type="dxa"/>
          </w:tcPr>
          <w:p w14:paraId="1CE9E1F8" w14:textId="77777777" w:rsidR="00E07A8D" w:rsidRPr="002D3696" w:rsidRDefault="00E07A8D" w:rsidP="00E07A8D">
            <w:pPr>
              <w:spacing w:after="0" w:line="360" w:lineRule="auto"/>
              <w:jc w:val="center"/>
              <w:rPr>
                <w:lang w:val="en-US"/>
              </w:rPr>
            </w:pPr>
            <w:r>
              <w:rPr>
                <w:lang w:val="en-US"/>
              </w:rPr>
              <w:t>p-value</w:t>
            </w:r>
          </w:p>
        </w:tc>
      </w:tr>
      <w:tr w:rsidR="00E07A8D" w:rsidRPr="002D3696" w14:paraId="1BA58923" w14:textId="77777777" w:rsidTr="005325E0">
        <w:trPr>
          <w:jc w:val="center"/>
        </w:trPr>
        <w:tc>
          <w:tcPr>
            <w:tcW w:w="2089" w:type="dxa"/>
            <w:vAlign w:val="bottom"/>
          </w:tcPr>
          <w:p w14:paraId="24E2F5A3" w14:textId="77777777" w:rsidR="00E07A8D" w:rsidRPr="00D40903" w:rsidRDefault="00E07A8D" w:rsidP="00E07A8D">
            <w:pPr>
              <w:spacing w:after="0" w:line="360" w:lineRule="auto"/>
              <w:rPr>
                <w:lang w:val="en-US"/>
              </w:rPr>
            </w:pPr>
            <w:r w:rsidRPr="00D40903">
              <w:rPr>
                <w:lang w:val="en-US"/>
              </w:rPr>
              <w:t>number of patients</w:t>
            </w:r>
          </w:p>
        </w:tc>
        <w:tc>
          <w:tcPr>
            <w:tcW w:w="1275" w:type="dxa"/>
            <w:vAlign w:val="bottom"/>
          </w:tcPr>
          <w:p w14:paraId="31F643B6" w14:textId="77777777" w:rsidR="00E07A8D" w:rsidRPr="00D40903" w:rsidRDefault="00E07A8D" w:rsidP="00E07A8D">
            <w:pPr>
              <w:spacing w:after="0" w:line="360" w:lineRule="auto"/>
              <w:jc w:val="center"/>
              <w:rPr>
                <w:lang w:val="en-US"/>
              </w:rPr>
            </w:pPr>
            <w:r w:rsidRPr="00D40903">
              <w:rPr>
                <w:lang w:val="en-US"/>
              </w:rPr>
              <w:t>26</w:t>
            </w:r>
          </w:p>
        </w:tc>
        <w:tc>
          <w:tcPr>
            <w:tcW w:w="1418" w:type="dxa"/>
            <w:vAlign w:val="bottom"/>
          </w:tcPr>
          <w:p w14:paraId="4F905A42" w14:textId="77777777" w:rsidR="00E07A8D" w:rsidRPr="00D40903" w:rsidRDefault="00E07A8D" w:rsidP="00E07A8D">
            <w:pPr>
              <w:spacing w:after="0" w:line="360" w:lineRule="auto"/>
              <w:jc w:val="center"/>
              <w:rPr>
                <w:lang w:val="en-US"/>
              </w:rPr>
            </w:pPr>
            <w:r w:rsidRPr="00D40903">
              <w:rPr>
                <w:lang w:val="en-US"/>
              </w:rPr>
              <w:t>34</w:t>
            </w:r>
          </w:p>
        </w:tc>
        <w:tc>
          <w:tcPr>
            <w:tcW w:w="1431" w:type="dxa"/>
            <w:vAlign w:val="bottom"/>
          </w:tcPr>
          <w:p w14:paraId="6FE37834" w14:textId="77777777" w:rsidR="00E07A8D" w:rsidRPr="00D40903" w:rsidRDefault="00E07A8D" w:rsidP="00E07A8D">
            <w:pPr>
              <w:spacing w:after="0" w:line="360" w:lineRule="auto"/>
              <w:jc w:val="center"/>
              <w:rPr>
                <w:lang w:val="en-US"/>
              </w:rPr>
            </w:pPr>
            <w:r w:rsidRPr="00D40903">
              <w:rPr>
                <w:lang w:val="en-US"/>
              </w:rPr>
              <w:t>31</w:t>
            </w:r>
          </w:p>
        </w:tc>
        <w:tc>
          <w:tcPr>
            <w:tcW w:w="1440" w:type="dxa"/>
            <w:vAlign w:val="bottom"/>
          </w:tcPr>
          <w:p w14:paraId="0487681E" w14:textId="77777777" w:rsidR="00E07A8D" w:rsidRPr="00D40903" w:rsidRDefault="00E07A8D" w:rsidP="00E07A8D">
            <w:pPr>
              <w:spacing w:after="0" w:line="360" w:lineRule="auto"/>
              <w:jc w:val="center"/>
              <w:rPr>
                <w:lang w:val="en-US"/>
              </w:rPr>
            </w:pPr>
          </w:p>
        </w:tc>
        <w:tc>
          <w:tcPr>
            <w:tcW w:w="1373" w:type="dxa"/>
            <w:vAlign w:val="bottom"/>
          </w:tcPr>
          <w:p w14:paraId="59B1F8E0" w14:textId="77777777" w:rsidR="00E07A8D" w:rsidRPr="00D40903" w:rsidRDefault="00E07A8D" w:rsidP="00E07A8D">
            <w:pPr>
              <w:spacing w:after="0" w:line="360" w:lineRule="auto"/>
              <w:jc w:val="center"/>
              <w:rPr>
                <w:lang w:val="en-US"/>
              </w:rPr>
            </w:pPr>
          </w:p>
        </w:tc>
      </w:tr>
      <w:tr w:rsidR="00E07A8D" w:rsidRPr="002D3696" w14:paraId="22E52903" w14:textId="77777777" w:rsidTr="005325E0">
        <w:trPr>
          <w:jc w:val="center"/>
        </w:trPr>
        <w:tc>
          <w:tcPr>
            <w:tcW w:w="2089" w:type="dxa"/>
            <w:vAlign w:val="bottom"/>
          </w:tcPr>
          <w:p w14:paraId="388ABC70" w14:textId="77777777" w:rsidR="00E07A8D" w:rsidRPr="00D40903" w:rsidRDefault="00E07A8D" w:rsidP="00E07A8D">
            <w:pPr>
              <w:spacing w:after="0" w:line="360" w:lineRule="auto"/>
              <w:rPr>
                <w:lang w:val="en-US"/>
              </w:rPr>
            </w:pPr>
            <w:r w:rsidRPr="00D40903">
              <w:rPr>
                <w:lang w:val="en-US"/>
              </w:rPr>
              <w:t>number of men</w:t>
            </w:r>
          </w:p>
        </w:tc>
        <w:tc>
          <w:tcPr>
            <w:tcW w:w="1275" w:type="dxa"/>
            <w:vAlign w:val="bottom"/>
          </w:tcPr>
          <w:p w14:paraId="3D6BDB6C" w14:textId="77777777" w:rsidR="00E07A8D" w:rsidRPr="00D40903" w:rsidRDefault="00E07A8D" w:rsidP="00E07A8D">
            <w:pPr>
              <w:spacing w:after="0" w:line="360" w:lineRule="auto"/>
              <w:jc w:val="center"/>
              <w:rPr>
                <w:lang w:val="en-US"/>
              </w:rPr>
            </w:pPr>
            <w:r w:rsidRPr="00D40903">
              <w:rPr>
                <w:lang w:val="en-US"/>
              </w:rPr>
              <w:t>0 (</w:t>
            </w:r>
            <w:r w:rsidRPr="00D40903">
              <w:rPr>
                <w:rFonts w:ascii="Cambria" w:hAnsi="Cambria"/>
                <w:lang w:val="en-US"/>
              </w:rPr>
              <w:t>0%)</w:t>
            </w:r>
          </w:p>
        </w:tc>
        <w:tc>
          <w:tcPr>
            <w:tcW w:w="1418" w:type="dxa"/>
            <w:vAlign w:val="bottom"/>
          </w:tcPr>
          <w:p w14:paraId="6DCD83B1" w14:textId="77777777" w:rsidR="00E07A8D" w:rsidRPr="00D40903" w:rsidRDefault="00E07A8D" w:rsidP="00E07A8D">
            <w:pPr>
              <w:spacing w:after="0" w:line="360" w:lineRule="auto"/>
              <w:jc w:val="center"/>
              <w:rPr>
                <w:lang w:val="en-US"/>
              </w:rPr>
            </w:pPr>
            <w:r w:rsidRPr="00D40903">
              <w:rPr>
                <w:lang w:val="en-US"/>
              </w:rPr>
              <w:t>34 (</w:t>
            </w:r>
            <w:r w:rsidRPr="00D40903">
              <w:rPr>
                <w:rFonts w:ascii="Cambria" w:hAnsi="Cambria"/>
                <w:lang w:val="en-US"/>
              </w:rPr>
              <w:t>100%)</w:t>
            </w:r>
          </w:p>
        </w:tc>
        <w:tc>
          <w:tcPr>
            <w:tcW w:w="1431" w:type="dxa"/>
            <w:vAlign w:val="bottom"/>
          </w:tcPr>
          <w:p w14:paraId="004205C1" w14:textId="3D017043" w:rsidR="00E07A8D" w:rsidRPr="00D40903" w:rsidRDefault="00A3153C" w:rsidP="00E07A8D">
            <w:pPr>
              <w:spacing w:after="0" w:line="360" w:lineRule="auto"/>
              <w:jc w:val="center"/>
              <w:rPr>
                <w:lang w:val="en-US"/>
              </w:rPr>
            </w:pPr>
            <w:r w:rsidRPr="00D40903">
              <w:rPr>
                <w:lang w:val="en-US"/>
              </w:rPr>
              <w:t>28 (90</w:t>
            </w:r>
            <w:r w:rsidR="00E07A8D" w:rsidRPr="00D40903">
              <w:rPr>
                <w:rFonts w:ascii="Cambria" w:hAnsi="Cambria"/>
                <w:lang w:val="en-US"/>
              </w:rPr>
              <w:t>%)</w:t>
            </w:r>
          </w:p>
        </w:tc>
        <w:tc>
          <w:tcPr>
            <w:tcW w:w="1440" w:type="dxa"/>
            <w:vAlign w:val="bottom"/>
          </w:tcPr>
          <w:p w14:paraId="7FE378AD" w14:textId="77648DC1" w:rsidR="00E07A8D" w:rsidRPr="00D40903" w:rsidRDefault="00911E4F" w:rsidP="00E07A8D">
            <w:pPr>
              <w:spacing w:after="0" w:line="360" w:lineRule="auto"/>
              <w:jc w:val="center"/>
              <w:rPr>
                <w:lang w:val="en-US"/>
              </w:rPr>
            </w:pPr>
            <m:oMath>
              <m:sSup>
                <m:sSupPr>
                  <m:ctrlPr>
                    <w:rPr>
                      <w:rFonts w:ascii="Cambria Math" w:hAnsi="Cambria Math"/>
                      <w:i/>
                      <w:lang w:val="en-US"/>
                    </w:rPr>
                  </m:ctrlPr>
                </m:sSupPr>
                <m:e>
                  <m:r>
                    <m:rPr>
                      <m:sty m:val="p"/>
                    </m:rPr>
                    <w:rPr>
                      <w:rFonts w:ascii="Cambria Math" w:hAnsi="Cambria Math"/>
                      <w:lang w:val="en-US"/>
                    </w:rPr>
                    <m:t>χ</m:t>
                  </m:r>
                </m:e>
                <m:sup>
                  <m:r>
                    <m:rPr>
                      <m:sty m:val="p"/>
                    </m:rPr>
                    <w:rPr>
                      <w:rFonts w:ascii="Cambria Math" w:hAnsi="Cambria Math"/>
                      <w:lang w:val="en-US"/>
                    </w:rPr>
                    <m:t>2</m:t>
                  </m:r>
                </m:sup>
              </m:sSup>
            </m:oMath>
            <w:r w:rsidR="001C5415" w:rsidRPr="00D40903">
              <w:rPr>
                <w:lang w:val="en-US"/>
              </w:rPr>
              <w:t xml:space="preserve"> (2)=78</w:t>
            </w:r>
            <w:r w:rsidR="00E07A8D" w:rsidRPr="00D40903">
              <w:rPr>
                <w:lang w:val="en-US"/>
              </w:rPr>
              <w:t>.</w:t>
            </w:r>
            <w:r w:rsidR="001C5415" w:rsidRPr="00D40903">
              <w:rPr>
                <w:lang w:val="en-US"/>
              </w:rPr>
              <w:t>52</w:t>
            </w:r>
          </w:p>
        </w:tc>
        <w:tc>
          <w:tcPr>
            <w:tcW w:w="1373" w:type="dxa"/>
            <w:vAlign w:val="bottom"/>
          </w:tcPr>
          <w:p w14:paraId="54999490" w14:textId="77777777" w:rsidR="00E07A8D" w:rsidRPr="00D40903" w:rsidRDefault="00E07A8D" w:rsidP="00E07A8D">
            <w:pPr>
              <w:spacing w:after="0" w:line="360" w:lineRule="auto"/>
              <w:jc w:val="center"/>
              <w:rPr>
                <w:b/>
                <w:lang w:val="en-US"/>
              </w:rPr>
            </w:pPr>
            <w:r w:rsidRPr="00D40903">
              <w:rPr>
                <w:b/>
                <w:lang w:val="en-US"/>
              </w:rPr>
              <w:t>&lt; 0.0001</w:t>
            </w:r>
          </w:p>
        </w:tc>
      </w:tr>
      <w:tr w:rsidR="00E07A8D" w:rsidRPr="002D3696" w14:paraId="7E3EEB0F" w14:textId="77777777" w:rsidTr="005325E0">
        <w:trPr>
          <w:jc w:val="center"/>
        </w:trPr>
        <w:tc>
          <w:tcPr>
            <w:tcW w:w="2089" w:type="dxa"/>
            <w:vAlign w:val="bottom"/>
          </w:tcPr>
          <w:p w14:paraId="4C63239E" w14:textId="77777777" w:rsidR="00E07A8D" w:rsidRPr="00D40903" w:rsidRDefault="00E07A8D" w:rsidP="00E07A8D">
            <w:pPr>
              <w:spacing w:after="0" w:line="360" w:lineRule="auto"/>
              <w:rPr>
                <w:lang w:val="en-US"/>
              </w:rPr>
            </w:pPr>
            <w:r w:rsidRPr="00D40903">
              <w:rPr>
                <w:lang w:val="en-US"/>
              </w:rPr>
              <w:t>age at onset</w:t>
            </w:r>
          </w:p>
        </w:tc>
        <w:tc>
          <w:tcPr>
            <w:tcW w:w="1275" w:type="dxa"/>
            <w:vAlign w:val="bottom"/>
          </w:tcPr>
          <w:p w14:paraId="125A41D6" w14:textId="77777777" w:rsidR="00E07A8D" w:rsidRPr="00D40903" w:rsidRDefault="00E07A8D" w:rsidP="00E07A8D">
            <w:pPr>
              <w:spacing w:after="0" w:line="360" w:lineRule="auto"/>
              <w:jc w:val="center"/>
              <w:rPr>
                <w:lang w:val="en-US"/>
              </w:rPr>
            </w:pPr>
            <w:r w:rsidRPr="00D40903">
              <w:rPr>
                <w:lang w:val="en-US"/>
              </w:rPr>
              <w:t>60 (</w:t>
            </w:r>
            <w:r w:rsidRPr="00D40903">
              <w:rPr>
                <w:rFonts w:ascii="Cambria" w:hAnsi="Cambria"/>
                <w:lang w:val="en-US"/>
              </w:rPr>
              <w:t>± 9)</w:t>
            </w:r>
          </w:p>
        </w:tc>
        <w:tc>
          <w:tcPr>
            <w:tcW w:w="1418" w:type="dxa"/>
            <w:vAlign w:val="bottom"/>
          </w:tcPr>
          <w:p w14:paraId="2B9C75A0" w14:textId="0334F984" w:rsidR="00E07A8D" w:rsidRPr="00D40903" w:rsidRDefault="00E07A8D" w:rsidP="00E07A8D">
            <w:pPr>
              <w:spacing w:after="0" w:line="360" w:lineRule="auto"/>
              <w:jc w:val="center"/>
              <w:rPr>
                <w:lang w:val="en-US"/>
              </w:rPr>
            </w:pPr>
            <w:r w:rsidRPr="00D40903">
              <w:rPr>
                <w:lang w:val="en-US"/>
              </w:rPr>
              <w:t>57 (</w:t>
            </w:r>
            <w:r w:rsidRPr="00D40903">
              <w:rPr>
                <w:rFonts w:ascii="Cambria" w:hAnsi="Cambria"/>
                <w:lang w:val="en-US"/>
              </w:rPr>
              <w:t xml:space="preserve">± </w:t>
            </w:r>
            <w:r w:rsidR="00F41885" w:rsidRPr="00D40903">
              <w:rPr>
                <w:rFonts w:ascii="Cambria" w:hAnsi="Cambria"/>
                <w:lang w:val="en-US"/>
              </w:rPr>
              <w:t>9</w:t>
            </w:r>
            <w:r w:rsidRPr="00D40903">
              <w:rPr>
                <w:rFonts w:ascii="Cambria" w:hAnsi="Cambria"/>
                <w:lang w:val="en-US"/>
              </w:rPr>
              <w:t>)</w:t>
            </w:r>
          </w:p>
        </w:tc>
        <w:tc>
          <w:tcPr>
            <w:tcW w:w="1431" w:type="dxa"/>
            <w:vAlign w:val="bottom"/>
          </w:tcPr>
          <w:p w14:paraId="2C594E86" w14:textId="77777777" w:rsidR="00E07A8D" w:rsidRPr="00D40903" w:rsidRDefault="00E07A8D" w:rsidP="00E07A8D">
            <w:pPr>
              <w:spacing w:after="0" w:line="360" w:lineRule="auto"/>
              <w:jc w:val="center"/>
              <w:rPr>
                <w:lang w:val="en-US"/>
              </w:rPr>
            </w:pPr>
            <w:r w:rsidRPr="00D40903">
              <w:rPr>
                <w:lang w:val="en-US"/>
              </w:rPr>
              <w:t>56 (</w:t>
            </w:r>
            <w:r w:rsidRPr="00D40903">
              <w:rPr>
                <w:rFonts w:ascii="Cambria" w:hAnsi="Cambria"/>
                <w:lang w:val="en-US"/>
              </w:rPr>
              <w:t>± 11)</w:t>
            </w:r>
          </w:p>
        </w:tc>
        <w:tc>
          <w:tcPr>
            <w:tcW w:w="1440" w:type="dxa"/>
            <w:vAlign w:val="bottom"/>
          </w:tcPr>
          <w:p w14:paraId="79262485" w14:textId="77777777" w:rsidR="00E07A8D" w:rsidRPr="00D40903" w:rsidRDefault="00E07A8D" w:rsidP="00E07A8D">
            <w:pPr>
              <w:spacing w:after="0" w:line="360" w:lineRule="auto"/>
              <w:jc w:val="center"/>
              <w:rPr>
                <w:lang w:val="en-US"/>
              </w:rPr>
            </w:pPr>
            <m:oMathPara>
              <m:oMath>
                <m:r>
                  <m:rPr>
                    <m:sty m:val="p"/>
                  </m:rPr>
                  <w:rPr>
                    <w:rFonts w:ascii="Cambria Math" w:hAnsi="Cambria Math"/>
                    <w:lang w:val="en-US"/>
                  </w:rPr>
                  <m:t>F</m:t>
                </m:r>
                <m:d>
                  <m:dPr>
                    <m:ctrlPr>
                      <w:rPr>
                        <w:rFonts w:ascii="Cambria Math" w:hAnsi="Cambria Math"/>
                        <w:i/>
                        <w:lang w:val="en-US"/>
                      </w:rPr>
                    </m:ctrlPr>
                  </m:dPr>
                  <m:e>
                    <m:r>
                      <m:rPr>
                        <m:sty m:val="p"/>
                      </m:rPr>
                      <w:rPr>
                        <w:rFonts w:ascii="Cambria Math" w:hAnsi="Cambria Math"/>
                        <w:lang w:val="en-US"/>
                      </w:rPr>
                      <m:t>2, 88</m:t>
                    </m:r>
                  </m:e>
                </m:d>
                <m:r>
                  <m:rPr>
                    <m:sty m:val="p"/>
                  </m:rPr>
                  <w:rPr>
                    <w:rFonts w:ascii="Cambria Math" w:hAnsi="Cambria Math"/>
                    <w:lang w:val="en-US"/>
                  </w:rPr>
                  <m:t>= 1.253</m:t>
                </m:r>
              </m:oMath>
            </m:oMathPara>
          </w:p>
        </w:tc>
        <w:tc>
          <w:tcPr>
            <w:tcW w:w="1373" w:type="dxa"/>
            <w:vAlign w:val="bottom"/>
          </w:tcPr>
          <w:p w14:paraId="47540B36" w14:textId="77777777" w:rsidR="00E07A8D" w:rsidRPr="00D40903" w:rsidRDefault="00E07A8D" w:rsidP="00E07A8D">
            <w:pPr>
              <w:spacing w:after="0" w:line="360" w:lineRule="auto"/>
              <w:jc w:val="center"/>
              <w:rPr>
                <w:lang w:val="en-US"/>
              </w:rPr>
            </w:pPr>
            <w:r w:rsidRPr="00D40903">
              <w:rPr>
                <w:lang w:val="en-US"/>
              </w:rPr>
              <w:t>0.29</w:t>
            </w:r>
          </w:p>
        </w:tc>
      </w:tr>
      <w:tr w:rsidR="00E07A8D" w:rsidRPr="002D3696" w14:paraId="0D31E55B" w14:textId="77777777" w:rsidTr="005325E0">
        <w:trPr>
          <w:jc w:val="center"/>
        </w:trPr>
        <w:tc>
          <w:tcPr>
            <w:tcW w:w="2089" w:type="dxa"/>
            <w:vAlign w:val="bottom"/>
          </w:tcPr>
          <w:p w14:paraId="4ECC937D" w14:textId="77777777" w:rsidR="00E07A8D" w:rsidRPr="00D40903" w:rsidRDefault="00E07A8D" w:rsidP="00E07A8D">
            <w:pPr>
              <w:spacing w:after="0" w:line="360" w:lineRule="auto"/>
              <w:rPr>
                <w:lang w:val="en-US"/>
              </w:rPr>
            </w:pPr>
            <w:r w:rsidRPr="00D40903">
              <w:rPr>
                <w:lang w:val="en-US"/>
              </w:rPr>
              <w:t xml:space="preserve">Symptom onset side left </w:t>
            </w:r>
          </w:p>
        </w:tc>
        <w:tc>
          <w:tcPr>
            <w:tcW w:w="1275" w:type="dxa"/>
            <w:vAlign w:val="bottom"/>
          </w:tcPr>
          <w:p w14:paraId="1942F1C3" w14:textId="77777777" w:rsidR="00E07A8D" w:rsidRPr="00D40903" w:rsidRDefault="00E07A8D" w:rsidP="00E07A8D">
            <w:pPr>
              <w:spacing w:after="0" w:line="360" w:lineRule="auto"/>
              <w:jc w:val="center"/>
              <w:rPr>
                <w:lang w:val="en-US"/>
              </w:rPr>
            </w:pPr>
            <w:r w:rsidRPr="00D40903">
              <w:rPr>
                <w:lang w:val="en-US"/>
              </w:rPr>
              <w:t>12 (</w:t>
            </w:r>
            <w:r w:rsidRPr="00D40903">
              <w:rPr>
                <w:rFonts w:ascii="Cambria" w:hAnsi="Cambria"/>
                <w:lang w:val="en-US"/>
              </w:rPr>
              <w:t>46%)</w:t>
            </w:r>
          </w:p>
        </w:tc>
        <w:tc>
          <w:tcPr>
            <w:tcW w:w="1418" w:type="dxa"/>
            <w:vAlign w:val="bottom"/>
          </w:tcPr>
          <w:p w14:paraId="38418707" w14:textId="77777777" w:rsidR="00E07A8D" w:rsidRPr="00D40903" w:rsidRDefault="00E07A8D" w:rsidP="00E07A8D">
            <w:pPr>
              <w:spacing w:after="0" w:line="360" w:lineRule="auto"/>
              <w:jc w:val="center"/>
              <w:rPr>
                <w:lang w:val="en-US"/>
              </w:rPr>
            </w:pPr>
            <w:r w:rsidRPr="00D40903">
              <w:rPr>
                <w:lang w:val="en-US"/>
              </w:rPr>
              <w:t>11 (</w:t>
            </w:r>
            <w:r w:rsidRPr="00D40903">
              <w:rPr>
                <w:rFonts w:ascii="Cambria" w:hAnsi="Cambria"/>
                <w:lang w:val="en-US"/>
              </w:rPr>
              <w:t>32%)</w:t>
            </w:r>
          </w:p>
        </w:tc>
        <w:tc>
          <w:tcPr>
            <w:tcW w:w="1431" w:type="dxa"/>
            <w:vAlign w:val="bottom"/>
          </w:tcPr>
          <w:p w14:paraId="44E5F26E" w14:textId="77777777" w:rsidR="00E07A8D" w:rsidRPr="00D40903" w:rsidRDefault="00E07A8D" w:rsidP="00E07A8D">
            <w:pPr>
              <w:spacing w:after="0" w:line="360" w:lineRule="auto"/>
              <w:jc w:val="center"/>
              <w:rPr>
                <w:lang w:val="en-US"/>
              </w:rPr>
            </w:pPr>
            <w:r w:rsidRPr="00D40903">
              <w:rPr>
                <w:lang w:val="en-US"/>
              </w:rPr>
              <w:t>21 (</w:t>
            </w:r>
            <w:r w:rsidRPr="00D40903">
              <w:rPr>
                <w:rFonts w:ascii="Cambria" w:hAnsi="Cambria"/>
                <w:lang w:val="en-US"/>
              </w:rPr>
              <w:t>68%)</w:t>
            </w:r>
          </w:p>
        </w:tc>
        <w:tc>
          <w:tcPr>
            <w:tcW w:w="1440" w:type="dxa"/>
            <w:vAlign w:val="bottom"/>
          </w:tcPr>
          <w:p w14:paraId="44924C76" w14:textId="04D0F864" w:rsidR="00E07A8D" w:rsidRPr="00D40903" w:rsidRDefault="00911E4F" w:rsidP="00E07A8D">
            <w:pPr>
              <w:spacing w:after="0" w:line="360" w:lineRule="auto"/>
              <w:jc w:val="center"/>
              <w:rPr>
                <w:lang w:val="en-US"/>
              </w:rPr>
            </w:pPr>
            <m:oMathPara>
              <m:oMath>
                <m:sSup>
                  <m:sSupPr>
                    <m:ctrlPr>
                      <w:rPr>
                        <w:rFonts w:ascii="Cambria Math" w:hAnsi="Cambria Math"/>
                        <w:i/>
                        <w:lang w:val="en-US"/>
                      </w:rPr>
                    </m:ctrlPr>
                  </m:sSupPr>
                  <m:e>
                    <m:r>
                      <m:rPr>
                        <m:sty m:val="p"/>
                      </m:rPr>
                      <w:rPr>
                        <w:rFonts w:ascii="Cambria Math" w:hAnsi="Cambria Math"/>
                        <w:lang w:val="en-US"/>
                      </w:rPr>
                      <m:t>χ</m:t>
                    </m:r>
                  </m:e>
                  <m:sup>
                    <m:r>
                      <m:rPr>
                        <m:sty m:val="p"/>
                      </m:rPr>
                      <w:rPr>
                        <w:rFonts w:ascii="Cambria Math" w:hAnsi="Cambria Math"/>
                        <w:lang w:val="en-US"/>
                      </w:rPr>
                      <m:t>2</m:t>
                    </m:r>
                  </m:sup>
                </m:sSup>
                <m:r>
                  <m:rPr>
                    <m:sty m:val="p"/>
                  </m:rPr>
                  <w:rPr>
                    <w:rFonts w:ascii="Cambria Math" w:eastAsiaTheme="minorEastAsia" w:hAnsi="Cambria Math"/>
                    <w:lang w:val="en-US"/>
                  </w:rPr>
                  <m:t>(2)=8.202</m:t>
                </m:r>
              </m:oMath>
            </m:oMathPara>
          </w:p>
        </w:tc>
        <w:tc>
          <w:tcPr>
            <w:tcW w:w="1373" w:type="dxa"/>
            <w:vAlign w:val="bottom"/>
          </w:tcPr>
          <w:p w14:paraId="3B8C374A" w14:textId="2254FF57" w:rsidR="00E07A8D" w:rsidRPr="00D40903" w:rsidRDefault="001C5415" w:rsidP="00E07A8D">
            <w:pPr>
              <w:spacing w:after="0" w:line="360" w:lineRule="auto"/>
              <w:jc w:val="center"/>
              <w:rPr>
                <w:b/>
                <w:lang w:val="en-US"/>
              </w:rPr>
            </w:pPr>
            <w:r w:rsidRPr="00D40903">
              <w:rPr>
                <w:b/>
                <w:lang w:val="en-US"/>
              </w:rPr>
              <w:t>0.01</w:t>
            </w:r>
            <w:r w:rsidR="00F41885" w:rsidRPr="00D40903">
              <w:rPr>
                <w:b/>
                <w:lang w:val="en-US"/>
              </w:rPr>
              <w:t>7</w:t>
            </w:r>
          </w:p>
        </w:tc>
      </w:tr>
      <w:tr w:rsidR="00E07A8D" w:rsidRPr="002D3696" w14:paraId="59A7CA15" w14:textId="77777777" w:rsidTr="005325E0">
        <w:trPr>
          <w:jc w:val="center"/>
        </w:trPr>
        <w:tc>
          <w:tcPr>
            <w:tcW w:w="2089" w:type="dxa"/>
            <w:vAlign w:val="bottom"/>
          </w:tcPr>
          <w:p w14:paraId="4E3894DF" w14:textId="77777777" w:rsidR="00E07A8D" w:rsidRPr="00D40903" w:rsidRDefault="00E07A8D" w:rsidP="00E07A8D">
            <w:pPr>
              <w:spacing w:after="0" w:line="360" w:lineRule="auto"/>
              <w:rPr>
                <w:lang w:val="en-US"/>
              </w:rPr>
            </w:pPr>
            <w:r w:rsidRPr="00D40903">
              <w:rPr>
                <w:lang w:val="en-US"/>
              </w:rPr>
              <w:t>disease progression OFF</w:t>
            </w:r>
          </w:p>
        </w:tc>
        <w:tc>
          <w:tcPr>
            <w:tcW w:w="1275" w:type="dxa"/>
            <w:vAlign w:val="bottom"/>
          </w:tcPr>
          <w:p w14:paraId="6BB40D6B" w14:textId="77777777" w:rsidR="00E07A8D" w:rsidRPr="00D40903" w:rsidRDefault="00E07A8D" w:rsidP="00E07A8D">
            <w:pPr>
              <w:spacing w:after="0" w:line="360" w:lineRule="auto"/>
              <w:jc w:val="center"/>
              <w:rPr>
                <w:lang w:val="en-US"/>
              </w:rPr>
            </w:pPr>
            <w:r w:rsidRPr="00D40903">
              <w:rPr>
                <w:lang w:val="en-US"/>
              </w:rPr>
              <w:t>4 (</w:t>
            </w:r>
            <w:r w:rsidRPr="00D40903">
              <w:rPr>
                <w:rFonts w:ascii="Cambria" w:hAnsi="Cambria"/>
                <w:lang w:val="en-US"/>
              </w:rPr>
              <w:t>± 2)</w:t>
            </w:r>
          </w:p>
        </w:tc>
        <w:tc>
          <w:tcPr>
            <w:tcW w:w="1418" w:type="dxa"/>
            <w:vAlign w:val="bottom"/>
          </w:tcPr>
          <w:p w14:paraId="7573BCFA" w14:textId="77777777" w:rsidR="00E07A8D" w:rsidRPr="00D40903" w:rsidRDefault="00E07A8D" w:rsidP="00E07A8D">
            <w:pPr>
              <w:spacing w:after="0" w:line="360" w:lineRule="auto"/>
              <w:jc w:val="center"/>
              <w:rPr>
                <w:lang w:val="en-US"/>
              </w:rPr>
            </w:pPr>
            <w:r w:rsidRPr="00D40903">
              <w:rPr>
                <w:lang w:val="en-US"/>
              </w:rPr>
              <w:t>5 (</w:t>
            </w:r>
            <w:r w:rsidRPr="00D40903">
              <w:rPr>
                <w:rFonts w:ascii="Cambria" w:hAnsi="Cambria"/>
                <w:lang w:val="en-US"/>
              </w:rPr>
              <w:t>± 3)</w:t>
            </w:r>
          </w:p>
        </w:tc>
        <w:tc>
          <w:tcPr>
            <w:tcW w:w="1431" w:type="dxa"/>
            <w:vAlign w:val="bottom"/>
          </w:tcPr>
          <w:p w14:paraId="7425AD71" w14:textId="77777777" w:rsidR="00E07A8D" w:rsidRPr="00D40903" w:rsidRDefault="00E07A8D" w:rsidP="00E07A8D">
            <w:pPr>
              <w:spacing w:after="0" w:line="360" w:lineRule="auto"/>
              <w:jc w:val="center"/>
              <w:rPr>
                <w:lang w:val="en-US"/>
              </w:rPr>
            </w:pPr>
            <w:r w:rsidRPr="00D40903">
              <w:rPr>
                <w:lang w:val="en-US"/>
              </w:rPr>
              <w:t>4 (</w:t>
            </w:r>
            <w:r w:rsidRPr="00D40903">
              <w:rPr>
                <w:rFonts w:ascii="Cambria" w:hAnsi="Cambria"/>
                <w:lang w:val="en-US"/>
              </w:rPr>
              <w:t>± 2)</w:t>
            </w:r>
          </w:p>
        </w:tc>
        <w:tc>
          <w:tcPr>
            <w:tcW w:w="1440" w:type="dxa"/>
            <w:vAlign w:val="bottom"/>
          </w:tcPr>
          <w:p w14:paraId="647BB42C" w14:textId="77777777" w:rsidR="00E07A8D" w:rsidRPr="00D40903" w:rsidRDefault="00E07A8D" w:rsidP="00E07A8D">
            <w:pPr>
              <w:spacing w:after="0" w:line="360" w:lineRule="auto"/>
              <w:jc w:val="center"/>
              <w:rPr>
                <w:lang w:val="en-US"/>
              </w:rPr>
            </w:pPr>
            <m:oMathPara>
              <m:oMath>
                <m:r>
                  <m:rPr>
                    <m:sty m:val="p"/>
                  </m:rPr>
                  <w:rPr>
                    <w:rFonts w:ascii="Cambria Math" w:hAnsi="Cambria Math"/>
                    <w:lang w:val="en-US"/>
                  </w:rPr>
                  <m:t>F</m:t>
                </m:r>
                <m:d>
                  <m:dPr>
                    <m:ctrlPr>
                      <w:rPr>
                        <w:rFonts w:ascii="Cambria Math" w:hAnsi="Cambria Math"/>
                        <w:i/>
                        <w:lang w:val="en-US"/>
                      </w:rPr>
                    </m:ctrlPr>
                  </m:dPr>
                  <m:e>
                    <m:r>
                      <m:rPr>
                        <m:sty m:val="p"/>
                      </m:rPr>
                      <w:rPr>
                        <w:rFonts w:ascii="Cambria Math" w:hAnsi="Cambria Math"/>
                        <w:lang w:val="en-US"/>
                      </w:rPr>
                      <m:t>2, 88</m:t>
                    </m:r>
                  </m:e>
                </m:d>
                <m:r>
                  <m:rPr>
                    <m:sty m:val="p"/>
                  </m:rPr>
                  <w:rPr>
                    <w:rFonts w:ascii="Cambria Math" w:hAnsi="Cambria Math"/>
                    <w:lang w:val="en-US"/>
                  </w:rPr>
                  <m:t>= 11.23</m:t>
                </m:r>
              </m:oMath>
            </m:oMathPara>
          </w:p>
        </w:tc>
        <w:tc>
          <w:tcPr>
            <w:tcW w:w="1373" w:type="dxa"/>
            <w:vAlign w:val="bottom"/>
          </w:tcPr>
          <w:p w14:paraId="78BBDA04" w14:textId="77777777" w:rsidR="00E07A8D" w:rsidRPr="00D40903" w:rsidRDefault="00E07A8D" w:rsidP="00E07A8D">
            <w:pPr>
              <w:spacing w:after="0" w:line="360" w:lineRule="auto"/>
              <w:jc w:val="center"/>
              <w:rPr>
                <w:b/>
                <w:lang w:val="en-US"/>
              </w:rPr>
            </w:pPr>
            <w:r w:rsidRPr="00D40903">
              <w:rPr>
                <w:b/>
                <w:lang w:val="en-US"/>
              </w:rPr>
              <w:t>&lt;0.0001</w:t>
            </w:r>
          </w:p>
        </w:tc>
      </w:tr>
      <w:tr w:rsidR="00E07A8D" w:rsidRPr="002D3696" w14:paraId="73DA2F04" w14:textId="77777777" w:rsidTr="005325E0">
        <w:trPr>
          <w:jc w:val="center"/>
        </w:trPr>
        <w:tc>
          <w:tcPr>
            <w:tcW w:w="2089" w:type="dxa"/>
            <w:vAlign w:val="bottom"/>
          </w:tcPr>
          <w:p w14:paraId="15006092" w14:textId="77777777" w:rsidR="00E07A8D" w:rsidRPr="00D40903" w:rsidRDefault="00E07A8D" w:rsidP="00E07A8D">
            <w:pPr>
              <w:spacing w:after="0" w:line="360" w:lineRule="auto"/>
              <w:rPr>
                <w:lang w:val="en-US"/>
              </w:rPr>
            </w:pPr>
            <w:r w:rsidRPr="00D40903">
              <w:rPr>
                <w:lang w:val="en-US"/>
              </w:rPr>
              <w:t xml:space="preserve">Standardized </w:t>
            </w:r>
          </w:p>
          <w:p w14:paraId="4A858BD1" w14:textId="77777777" w:rsidR="00E07A8D" w:rsidRPr="00D40903" w:rsidRDefault="00E07A8D" w:rsidP="00E07A8D">
            <w:pPr>
              <w:spacing w:after="0" w:line="360" w:lineRule="auto"/>
              <w:rPr>
                <w:lang w:val="en-US"/>
              </w:rPr>
            </w:pPr>
            <w:r w:rsidRPr="00D40903">
              <w:rPr>
                <w:lang w:val="en-US"/>
              </w:rPr>
              <w:t xml:space="preserve">medication response </w:t>
            </w:r>
          </w:p>
        </w:tc>
        <w:tc>
          <w:tcPr>
            <w:tcW w:w="1275" w:type="dxa"/>
            <w:vAlign w:val="bottom"/>
          </w:tcPr>
          <w:p w14:paraId="0051B569" w14:textId="31D483E7" w:rsidR="00E07A8D" w:rsidRPr="00D40903" w:rsidRDefault="00E07A8D" w:rsidP="00E07A8D">
            <w:pPr>
              <w:spacing w:after="0" w:line="360" w:lineRule="auto"/>
              <w:jc w:val="center"/>
              <w:rPr>
                <w:lang w:val="en-US"/>
              </w:rPr>
            </w:pPr>
            <w:r w:rsidRPr="00D40903">
              <w:rPr>
                <w:lang w:val="en-US"/>
              </w:rPr>
              <w:t>0.06</w:t>
            </w:r>
            <w:r w:rsidR="00F41885" w:rsidRPr="00D40903">
              <w:rPr>
                <w:lang w:val="en-US"/>
              </w:rPr>
              <w:t>6</w:t>
            </w:r>
            <w:r w:rsidRPr="00D40903">
              <w:rPr>
                <w:lang w:val="en-US"/>
              </w:rPr>
              <w:t xml:space="preserve"> </w:t>
            </w:r>
          </w:p>
          <w:p w14:paraId="59A92082" w14:textId="77777777" w:rsidR="00E07A8D" w:rsidRPr="00D40903" w:rsidRDefault="00E07A8D" w:rsidP="00E07A8D">
            <w:pPr>
              <w:spacing w:after="0" w:line="360" w:lineRule="auto"/>
              <w:jc w:val="center"/>
              <w:rPr>
                <w:lang w:val="en-US"/>
              </w:rPr>
            </w:pPr>
            <w:r w:rsidRPr="00D40903">
              <w:rPr>
                <w:lang w:val="en-US"/>
              </w:rPr>
              <w:t>(</w:t>
            </w:r>
            <w:r w:rsidRPr="00D40903">
              <w:rPr>
                <w:rFonts w:ascii="Cambria" w:hAnsi="Cambria"/>
                <w:lang w:val="en-US"/>
              </w:rPr>
              <w:t>± 0.04)</w:t>
            </w:r>
          </w:p>
        </w:tc>
        <w:tc>
          <w:tcPr>
            <w:tcW w:w="1418" w:type="dxa"/>
            <w:vAlign w:val="bottom"/>
          </w:tcPr>
          <w:p w14:paraId="4851113D" w14:textId="40D4F07C" w:rsidR="00E07A8D" w:rsidRPr="00D40903" w:rsidRDefault="00E07A8D" w:rsidP="00E07A8D">
            <w:pPr>
              <w:spacing w:after="0" w:line="360" w:lineRule="auto"/>
              <w:jc w:val="center"/>
              <w:rPr>
                <w:lang w:val="en-US"/>
              </w:rPr>
            </w:pPr>
            <w:r w:rsidRPr="00D40903">
              <w:rPr>
                <w:lang w:val="en-US"/>
              </w:rPr>
              <w:t>0.09</w:t>
            </w:r>
            <w:r w:rsidR="00F41885" w:rsidRPr="00D40903">
              <w:rPr>
                <w:lang w:val="en-US"/>
              </w:rPr>
              <w:t>7</w:t>
            </w:r>
            <w:r w:rsidRPr="00D40903">
              <w:rPr>
                <w:lang w:val="en-US"/>
              </w:rPr>
              <w:t xml:space="preserve"> </w:t>
            </w:r>
          </w:p>
          <w:p w14:paraId="690F3C9B" w14:textId="77777777" w:rsidR="00E07A8D" w:rsidRPr="00D40903" w:rsidRDefault="00E07A8D" w:rsidP="00E07A8D">
            <w:pPr>
              <w:spacing w:after="0" w:line="360" w:lineRule="auto"/>
              <w:jc w:val="center"/>
              <w:rPr>
                <w:lang w:val="en-US"/>
              </w:rPr>
            </w:pPr>
            <w:r w:rsidRPr="00D40903">
              <w:rPr>
                <w:lang w:val="en-US"/>
              </w:rPr>
              <w:t>(</w:t>
            </w:r>
            <w:r w:rsidRPr="00D40903">
              <w:rPr>
                <w:rFonts w:ascii="Cambria" w:hAnsi="Cambria"/>
                <w:lang w:val="en-US"/>
              </w:rPr>
              <w:t>± 0.04)</w:t>
            </w:r>
          </w:p>
        </w:tc>
        <w:tc>
          <w:tcPr>
            <w:tcW w:w="1431" w:type="dxa"/>
            <w:vAlign w:val="bottom"/>
          </w:tcPr>
          <w:p w14:paraId="0894F249" w14:textId="77777777" w:rsidR="00E07A8D" w:rsidRPr="00D40903" w:rsidRDefault="00E07A8D" w:rsidP="00E07A8D">
            <w:pPr>
              <w:spacing w:after="0" w:line="360" w:lineRule="auto"/>
              <w:jc w:val="center"/>
              <w:rPr>
                <w:lang w:val="en-US"/>
              </w:rPr>
            </w:pPr>
            <w:r w:rsidRPr="00D40903">
              <w:rPr>
                <w:lang w:val="en-US"/>
              </w:rPr>
              <w:t xml:space="preserve">0.047 </w:t>
            </w:r>
          </w:p>
          <w:p w14:paraId="551F842E" w14:textId="77777777" w:rsidR="00E07A8D" w:rsidRPr="00D40903" w:rsidRDefault="00E07A8D" w:rsidP="00E07A8D">
            <w:pPr>
              <w:spacing w:after="0" w:line="360" w:lineRule="auto"/>
              <w:jc w:val="center"/>
              <w:rPr>
                <w:lang w:val="en-US"/>
              </w:rPr>
            </w:pPr>
            <w:r w:rsidRPr="00D40903">
              <w:rPr>
                <w:lang w:val="en-US"/>
              </w:rPr>
              <w:t>(</w:t>
            </w:r>
            <w:r w:rsidRPr="00D40903">
              <w:rPr>
                <w:rFonts w:ascii="Cambria" w:hAnsi="Cambria"/>
                <w:lang w:val="en-US"/>
              </w:rPr>
              <w:t>± 0.03)</w:t>
            </w:r>
          </w:p>
        </w:tc>
        <w:tc>
          <w:tcPr>
            <w:tcW w:w="1440" w:type="dxa"/>
            <w:vAlign w:val="bottom"/>
          </w:tcPr>
          <w:p w14:paraId="351EB240" w14:textId="77777777" w:rsidR="00E07A8D" w:rsidRPr="00D40903" w:rsidRDefault="00E07A8D" w:rsidP="00E07A8D">
            <w:pPr>
              <w:spacing w:after="0" w:line="360" w:lineRule="auto"/>
              <w:jc w:val="center"/>
              <w:rPr>
                <w:lang w:val="en-US"/>
              </w:rPr>
            </w:pPr>
            <w:proofErr w:type="gramStart"/>
            <w:r w:rsidRPr="00D40903">
              <w:rPr>
                <w:lang w:val="en-US"/>
              </w:rPr>
              <w:t>H(</w:t>
            </w:r>
            <w:proofErr w:type="gramEnd"/>
            <w:r w:rsidRPr="00D40903">
              <w:rPr>
                <w:lang w:val="en-US"/>
              </w:rPr>
              <w:t>2)=23.08</w:t>
            </w:r>
          </w:p>
        </w:tc>
        <w:tc>
          <w:tcPr>
            <w:tcW w:w="1373" w:type="dxa"/>
            <w:vAlign w:val="bottom"/>
          </w:tcPr>
          <w:p w14:paraId="75A91D69" w14:textId="77777777" w:rsidR="00E07A8D" w:rsidRPr="00D40903" w:rsidRDefault="00E07A8D" w:rsidP="00E07A8D">
            <w:pPr>
              <w:spacing w:after="0" w:line="360" w:lineRule="auto"/>
              <w:jc w:val="center"/>
              <w:rPr>
                <w:b/>
                <w:lang w:val="en-US"/>
              </w:rPr>
            </w:pPr>
            <w:r w:rsidRPr="00D40903">
              <w:rPr>
                <w:b/>
                <w:lang w:val="en-US"/>
              </w:rPr>
              <w:t>p &lt; 0.0001</w:t>
            </w:r>
          </w:p>
        </w:tc>
      </w:tr>
      <w:tr w:rsidR="00E07A8D" w:rsidRPr="002D3696" w14:paraId="06FFCC6E" w14:textId="77777777" w:rsidTr="005325E0">
        <w:trPr>
          <w:jc w:val="center"/>
        </w:trPr>
        <w:tc>
          <w:tcPr>
            <w:tcW w:w="2089" w:type="dxa"/>
            <w:vAlign w:val="bottom"/>
          </w:tcPr>
          <w:p w14:paraId="144A9F9F" w14:textId="06D360A6" w:rsidR="00E07A8D" w:rsidRPr="00D40903" w:rsidRDefault="00FA2B33" w:rsidP="00E07A8D">
            <w:pPr>
              <w:spacing w:after="0" w:line="360" w:lineRule="auto"/>
              <w:rPr>
                <w:lang w:val="en-US"/>
              </w:rPr>
            </w:pPr>
            <w:r w:rsidRPr="00D40903">
              <w:rPr>
                <w:lang w:val="en-US"/>
              </w:rPr>
              <w:t>D</w:t>
            </w:r>
            <w:r w:rsidR="00E07A8D" w:rsidRPr="00D40903">
              <w:rPr>
                <w:lang w:val="en-US"/>
              </w:rPr>
              <w:t>2 positive</w:t>
            </w:r>
          </w:p>
        </w:tc>
        <w:tc>
          <w:tcPr>
            <w:tcW w:w="1275" w:type="dxa"/>
            <w:vAlign w:val="bottom"/>
          </w:tcPr>
          <w:p w14:paraId="0DDA5149" w14:textId="77777777" w:rsidR="00E07A8D" w:rsidRPr="00D40903" w:rsidRDefault="00E07A8D" w:rsidP="00E07A8D">
            <w:pPr>
              <w:spacing w:after="0" w:line="360" w:lineRule="auto"/>
              <w:jc w:val="center"/>
              <w:rPr>
                <w:lang w:val="en-US"/>
              </w:rPr>
            </w:pPr>
            <w:r w:rsidRPr="00D40903">
              <w:rPr>
                <w:lang w:val="en-US"/>
              </w:rPr>
              <w:t>4 (</w:t>
            </w:r>
            <w:r w:rsidRPr="00D40903">
              <w:rPr>
                <w:rFonts w:ascii="Cambria" w:hAnsi="Cambria"/>
                <w:lang w:val="en-US"/>
              </w:rPr>
              <w:t>15 %)</w:t>
            </w:r>
          </w:p>
        </w:tc>
        <w:tc>
          <w:tcPr>
            <w:tcW w:w="1418" w:type="dxa"/>
            <w:vAlign w:val="bottom"/>
          </w:tcPr>
          <w:p w14:paraId="0B6D0BAE" w14:textId="77777777" w:rsidR="00E07A8D" w:rsidRPr="00D40903" w:rsidRDefault="00E07A8D" w:rsidP="00E07A8D">
            <w:pPr>
              <w:spacing w:after="0" w:line="360" w:lineRule="auto"/>
              <w:jc w:val="center"/>
              <w:rPr>
                <w:lang w:val="en-US"/>
              </w:rPr>
            </w:pPr>
            <w:r w:rsidRPr="00D40903">
              <w:rPr>
                <w:lang w:val="en-US"/>
              </w:rPr>
              <w:t>0 (</w:t>
            </w:r>
            <w:r w:rsidRPr="00D40903">
              <w:rPr>
                <w:rFonts w:ascii="Cambria" w:hAnsi="Cambria"/>
                <w:lang w:val="en-US"/>
              </w:rPr>
              <w:t>0%)</w:t>
            </w:r>
          </w:p>
        </w:tc>
        <w:tc>
          <w:tcPr>
            <w:tcW w:w="1431" w:type="dxa"/>
            <w:vAlign w:val="bottom"/>
          </w:tcPr>
          <w:p w14:paraId="7165C17D" w14:textId="77777777" w:rsidR="00E07A8D" w:rsidRPr="00D40903" w:rsidRDefault="00E07A8D" w:rsidP="00E07A8D">
            <w:pPr>
              <w:spacing w:after="0" w:line="360" w:lineRule="auto"/>
              <w:jc w:val="center"/>
              <w:rPr>
                <w:lang w:val="en-US"/>
              </w:rPr>
            </w:pPr>
            <w:r w:rsidRPr="00D40903">
              <w:rPr>
                <w:lang w:val="en-US"/>
              </w:rPr>
              <w:t>23 (74</w:t>
            </w:r>
            <w:r w:rsidRPr="00D40903">
              <w:rPr>
                <w:rFonts w:ascii="Cambria" w:hAnsi="Cambria"/>
                <w:lang w:val="en-US"/>
              </w:rPr>
              <w:t>%)</w:t>
            </w:r>
          </w:p>
        </w:tc>
        <w:tc>
          <w:tcPr>
            <w:tcW w:w="1440" w:type="dxa"/>
            <w:vAlign w:val="bottom"/>
          </w:tcPr>
          <w:p w14:paraId="67BCC9D9" w14:textId="0EE96F11" w:rsidR="00E07A8D" w:rsidRPr="00D40903" w:rsidRDefault="00911E4F" w:rsidP="00E07A8D">
            <w:pPr>
              <w:spacing w:after="0" w:line="360" w:lineRule="auto"/>
              <w:jc w:val="center"/>
              <w:rPr>
                <w:lang w:val="en-US"/>
              </w:rPr>
            </w:pPr>
            <m:oMath>
              <m:sSup>
                <m:sSupPr>
                  <m:ctrlPr>
                    <w:rPr>
                      <w:rFonts w:ascii="Cambria Math" w:hAnsi="Cambria Math"/>
                      <w:i/>
                      <w:lang w:val="en-US"/>
                    </w:rPr>
                  </m:ctrlPr>
                </m:sSupPr>
                <m:e>
                  <m:r>
                    <m:rPr>
                      <m:sty m:val="p"/>
                    </m:rPr>
                    <w:rPr>
                      <w:rFonts w:ascii="Cambria Math" w:hAnsi="Cambria Math"/>
                      <w:lang w:val="en-US"/>
                    </w:rPr>
                    <m:t>χ</m:t>
                  </m:r>
                </m:e>
                <m:sup>
                  <m:r>
                    <m:rPr>
                      <m:sty m:val="p"/>
                    </m:rPr>
                    <w:rPr>
                      <w:rFonts w:ascii="Cambria Math" w:hAnsi="Cambria Math"/>
                      <w:lang w:val="en-US"/>
                    </w:rPr>
                    <m:t>2</m:t>
                  </m:r>
                </m:sup>
              </m:sSup>
            </m:oMath>
            <w:r w:rsidR="00970772" w:rsidRPr="00D40903">
              <w:rPr>
                <w:lang w:val="en-US"/>
              </w:rPr>
              <w:t xml:space="preserve"> </w:t>
            </w:r>
            <w:r w:rsidR="00D539CB" w:rsidRPr="00D40903">
              <w:rPr>
                <w:lang w:val="en-US"/>
              </w:rPr>
              <w:t xml:space="preserve"> (2)=46.34</w:t>
            </w:r>
          </w:p>
        </w:tc>
        <w:tc>
          <w:tcPr>
            <w:tcW w:w="1373" w:type="dxa"/>
            <w:vAlign w:val="bottom"/>
          </w:tcPr>
          <w:p w14:paraId="50988A55" w14:textId="77777777" w:rsidR="00E07A8D" w:rsidRPr="00D40903" w:rsidRDefault="00E07A8D" w:rsidP="00E07A8D">
            <w:pPr>
              <w:spacing w:after="0" w:line="360" w:lineRule="auto"/>
              <w:jc w:val="center"/>
              <w:rPr>
                <w:b/>
                <w:lang w:val="en-US"/>
              </w:rPr>
            </w:pPr>
            <w:r w:rsidRPr="00D40903">
              <w:rPr>
                <w:b/>
                <w:lang w:val="en-US"/>
              </w:rPr>
              <w:t>p&lt; 0.0001</w:t>
            </w:r>
          </w:p>
        </w:tc>
      </w:tr>
      <w:tr w:rsidR="00E07A8D" w:rsidRPr="002D3696" w14:paraId="4805C347" w14:textId="77777777" w:rsidTr="005325E0">
        <w:trPr>
          <w:jc w:val="center"/>
        </w:trPr>
        <w:tc>
          <w:tcPr>
            <w:tcW w:w="2089" w:type="dxa"/>
            <w:vAlign w:val="bottom"/>
          </w:tcPr>
          <w:p w14:paraId="1E523A81" w14:textId="14FB1705" w:rsidR="00E07A8D" w:rsidRPr="00D40903" w:rsidRDefault="00FA2B33" w:rsidP="00E07A8D">
            <w:pPr>
              <w:spacing w:after="0" w:line="360" w:lineRule="auto"/>
              <w:rPr>
                <w:lang w:val="en-US"/>
              </w:rPr>
            </w:pPr>
            <w:r w:rsidRPr="00D40903">
              <w:rPr>
                <w:lang w:val="en-US"/>
              </w:rPr>
              <w:t>D</w:t>
            </w:r>
            <w:r w:rsidR="00E07A8D" w:rsidRPr="00D40903">
              <w:rPr>
                <w:lang w:val="en-US"/>
              </w:rPr>
              <w:t xml:space="preserve">3 positive </w:t>
            </w:r>
          </w:p>
        </w:tc>
        <w:tc>
          <w:tcPr>
            <w:tcW w:w="1275" w:type="dxa"/>
            <w:vAlign w:val="bottom"/>
          </w:tcPr>
          <w:p w14:paraId="539B3696" w14:textId="77777777" w:rsidR="00E07A8D" w:rsidRPr="00D40903" w:rsidRDefault="00E07A8D" w:rsidP="00E07A8D">
            <w:pPr>
              <w:spacing w:after="0" w:line="360" w:lineRule="auto"/>
              <w:jc w:val="center"/>
              <w:rPr>
                <w:lang w:val="en-US"/>
              </w:rPr>
            </w:pPr>
            <w:r w:rsidRPr="00D40903">
              <w:rPr>
                <w:lang w:val="en-US"/>
              </w:rPr>
              <w:t>9 (35%</w:t>
            </w:r>
            <w:r w:rsidRPr="00D40903">
              <w:rPr>
                <w:rFonts w:ascii="Cambria" w:hAnsi="Cambria"/>
                <w:lang w:val="en-US"/>
              </w:rPr>
              <w:t>)</w:t>
            </w:r>
          </w:p>
        </w:tc>
        <w:tc>
          <w:tcPr>
            <w:tcW w:w="1418" w:type="dxa"/>
            <w:vAlign w:val="bottom"/>
          </w:tcPr>
          <w:p w14:paraId="0489FC87" w14:textId="77777777" w:rsidR="00E07A8D" w:rsidRPr="00D40903" w:rsidRDefault="00E07A8D" w:rsidP="00E07A8D">
            <w:pPr>
              <w:spacing w:after="0" w:line="360" w:lineRule="auto"/>
              <w:jc w:val="center"/>
              <w:rPr>
                <w:lang w:val="en-US"/>
              </w:rPr>
            </w:pPr>
            <w:r w:rsidRPr="00D40903">
              <w:rPr>
                <w:lang w:val="en-US"/>
              </w:rPr>
              <w:t>13 (</w:t>
            </w:r>
            <w:r w:rsidRPr="00D40903">
              <w:rPr>
                <w:rFonts w:ascii="Cambria" w:hAnsi="Cambria"/>
                <w:lang w:val="en-US"/>
              </w:rPr>
              <w:t>38%)</w:t>
            </w:r>
          </w:p>
        </w:tc>
        <w:tc>
          <w:tcPr>
            <w:tcW w:w="1431" w:type="dxa"/>
            <w:vAlign w:val="bottom"/>
          </w:tcPr>
          <w:p w14:paraId="3CA966F7" w14:textId="77777777" w:rsidR="00E07A8D" w:rsidRPr="00D40903" w:rsidRDefault="00E07A8D" w:rsidP="00E07A8D">
            <w:pPr>
              <w:spacing w:after="0" w:line="360" w:lineRule="auto"/>
              <w:jc w:val="center"/>
              <w:rPr>
                <w:lang w:val="en-US"/>
              </w:rPr>
            </w:pPr>
            <w:r w:rsidRPr="00D40903">
              <w:rPr>
                <w:lang w:val="en-US"/>
              </w:rPr>
              <w:t>14 (</w:t>
            </w:r>
            <w:r w:rsidRPr="00D40903">
              <w:rPr>
                <w:rFonts w:ascii="Cambria" w:hAnsi="Cambria"/>
                <w:lang w:val="en-US"/>
              </w:rPr>
              <w:t>45%)</w:t>
            </w:r>
          </w:p>
        </w:tc>
        <w:tc>
          <w:tcPr>
            <w:tcW w:w="1440" w:type="dxa"/>
            <w:vAlign w:val="bottom"/>
          </w:tcPr>
          <w:p w14:paraId="49DFD3BE" w14:textId="12477990" w:rsidR="00E07A8D" w:rsidRPr="00D40903" w:rsidRDefault="00911E4F" w:rsidP="00E07A8D">
            <w:pPr>
              <w:spacing w:after="0" w:line="360" w:lineRule="auto"/>
              <w:jc w:val="center"/>
              <w:rPr>
                <w:lang w:val="en-US"/>
              </w:rPr>
            </w:pPr>
            <m:oMath>
              <m:sSup>
                <m:sSupPr>
                  <m:ctrlPr>
                    <w:rPr>
                      <w:rFonts w:ascii="Cambria Math" w:hAnsi="Cambria Math"/>
                      <w:i/>
                      <w:lang w:val="en-US"/>
                    </w:rPr>
                  </m:ctrlPr>
                </m:sSupPr>
                <m:e>
                  <m:r>
                    <m:rPr>
                      <m:sty m:val="p"/>
                    </m:rPr>
                    <w:rPr>
                      <w:rFonts w:ascii="Cambria Math" w:hAnsi="Cambria Math"/>
                      <w:lang w:val="en-US"/>
                    </w:rPr>
                    <m:t>χ</m:t>
                  </m:r>
                </m:e>
                <m:sup>
                  <m:r>
                    <m:rPr>
                      <m:sty m:val="p"/>
                    </m:rPr>
                    <w:rPr>
                      <w:rFonts w:ascii="Cambria Math" w:hAnsi="Cambria Math"/>
                      <w:lang w:val="en-US"/>
                    </w:rPr>
                    <m:t>2</m:t>
                  </m:r>
                </m:sup>
              </m:sSup>
            </m:oMath>
            <w:r w:rsidR="00970772" w:rsidRPr="00D40903">
              <w:rPr>
                <w:lang w:val="en-US"/>
              </w:rPr>
              <w:t xml:space="preserve"> </w:t>
            </w:r>
            <w:r w:rsidR="00E07A8D" w:rsidRPr="00D40903">
              <w:rPr>
                <w:lang w:val="en-US"/>
              </w:rPr>
              <w:t xml:space="preserve"> (2</w:t>
            </w:r>
            <w:r w:rsidR="00D539CB" w:rsidRPr="00D40903">
              <w:rPr>
                <w:lang w:val="en-US"/>
              </w:rPr>
              <w:t>)=0.70</w:t>
            </w:r>
          </w:p>
        </w:tc>
        <w:tc>
          <w:tcPr>
            <w:tcW w:w="1373" w:type="dxa"/>
            <w:vAlign w:val="bottom"/>
          </w:tcPr>
          <w:p w14:paraId="2ACAFAD7" w14:textId="5DE1B15B" w:rsidR="00E07A8D" w:rsidRPr="00D40903" w:rsidRDefault="00E07A8D" w:rsidP="00E07A8D">
            <w:pPr>
              <w:spacing w:after="0" w:line="360" w:lineRule="auto"/>
              <w:jc w:val="center"/>
              <w:rPr>
                <w:lang w:val="en-US"/>
              </w:rPr>
            </w:pPr>
            <w:r w:rsidRPr="00D40903">
              <w:rPr>
                <w:lang w:val="en-US"/>
              </w:rPr>
              <w:t>0.7</w:t>
            </w:r>
            <w:r w:rsidR="00D539CB" w:rsidRPr="00D40903">
              <w:rPr>
                <w:lang w:val="en-US"/>
              </w:rPr>
              <w:t>1</w:t>
            </w:r>
          </w:p>
        </w:tc>
      </w:tr>
      <w:tr w:rsidR="00E07A8D" w:rsidRPr="002D3696" w14:paraId="665775D3" w14:textId="77777777" w:rsidTr="005325E0">
        <w:trPr>
          <w:jc w:val="center"/>
        </w:trPr>
        <w:tc>
          <w:tcPr>
            <w:tcW w:w="2089" w:type="dxa"/>
            <w:vAlign w:val="bottom"/>
          </w:tcPr>
          <w:p w14:paraId="202144F9" w14:textId="77777777" w:rsidR="00E07A8D" w:rsidRPr="00D40903" w:rsidRDefault="00E07A8D" w:rsidP="00E07A8D">
            <w:pPr>
              <w:spacing w:after="0" w:line="360" w:lineRule="auto"/>
              <w:rPr>
                <w:lang w:val="en-US"/>
              </w:rPr>
            </w:pPr>
            <w:r w:rsidRPr="00D40903">
              <w:rPr>
                <w:lang w:val="en-US"/>
              </w:rPr>
              <w:t xml:space="preserve">T-/AR-score </w:t>
            </w:r>
          </w:p>
        </w:tc>
        <w:tc>
          <w:tcPr>
            <w:tcW w:w="1275" w:type="dxa"/>
            <w:vAlign w:val="bottom"/>
          </w:tcPr>
          <w:p w14:paraId="375FD78E" w14:textId="77777777" w:rsidR="00E07A8D" w:rsidRPr="00D40903" w:rsidRDefault="00E07A8D" w:rsidP="00E07A8D">
            <w:pPr>
              <w:spacing w:after="0" w:line="360" w:lineRule="auto"/>
              <w:jc w:val="center"/>
              <w:rPr>
                <w:lang w:val="en-US"/>
              </w:rPr>
            </w:pPr>
            <w:r w:rsidRPr="00D40903">
              <w:rPr>
                <w:lang w:val="en-US"/>
              </w:rPr>
              <w:t>0.0 (</w:t>
            </w:r>
            <w:r w:rsidRPr="00D40903">
              <w:rPr>
                <w:rFonts w:ascii="Cambria" w:hAnsi="Cambria"/>
                <w:lang w:val="en-US"/>
              </w:rPr>
              <w:t>± 0.4)</w:t>
            </w:r>
          </w:p>
        </w:tc>
        <w:tc>
          <w:tcPr>
            <w:tcW w:w="1418" w:type="dxa"/>
            <w:vAlign w:val="bottom"/>
          </w:tcPr>
          <w:p w14:paraId="72DD26EB" w14:textId="77777777" w:rsidR="00E07A8D" w:rsidRPr="00D40903" w:rsidRDefault="00E07A8D" w:rsidP="00E07A8D">
            <w:pPr>
              <w:spacing w:after="0" w:line="360" w:lineRule="auto"/>
              <w:jc w:val="center"/>
              <w:rPr>
                <w:lang w:val="en-US"/>
              </w:rPr>
            </w:pPr>
            <w:r w:rsidRPr="00D40903">
              <w:rPr>
                <w:lang w:val="en-US"/>
              </w:rPr>
              <w:t>0.0 (</w:t>
            </w:r>
            <w:r w:rsidRPr="00D40903">
              <w:rPr>
                <w:rFonts w:ascii="Cambria" w:hAnsi="Cambria"/>
                <w:lang w:val="en-US"/>
              </w:rPr>
              <w:t>± 0.1)</w:t>
            </w:r>
          </w:p>
        </w:tc>
        <w:tc>
          <w:tcPr>
            <w:tcW w:w="1431" w:type="dxa"/>
            <w:vAlign w:val="bottom"/>
          </w:tcPr>
          <w:p w14:paraId="292AF863" w14:textId="77777777" w:rsidR="00E07A8D" w:rsidRPr="00D40903" w:rsidRDefault="00E07A8D" w:rsidP="00E07A8D">
            <w:pPr>
              <w:spacing w:after="0" w:line="360" w:lineRule="auto"/>
              <w:jc w:val="center"/>
              <w:rPr>
                <w:lang w:val="en-US"/>
              </w:rPr>
            </w:pPr>
            <w:r w:rsidRPr="00D40903">
              <w:rPr>
                <w:lang w:val="en-US"/>
              </w:rPr>
              <w:t>0.15 (</w:t>
            </w:r>
            <w:r w:rsidRPr="00D40903">
              <w:rPr>
                <w:rFonts w:ascii="Cambria" w:hAnsi="Cambria"/>
                <w:lang w:val="en-US"/>
              </w:rPr>
              <w:t>± 0.1)</w:t>
            </w:r>
          </w:p>
        </w:tc>
        <w:tc>
          <w:tcPr>
            <w:tcW w:w="1440" w:type="dxa"/>
            <w:vAlign w:val="bottom"/>
          </w:tcPr>
          <w:p w14:paraId="7087C0E8" w14:textId="46B13507" w:rsidR="00E07A8D" w:rsidRPr="00D40903" w:rsidRDefault="00E07A8D" w:rsidP="00E07A8D">
            <w:pPr>
              <w:spacing w:after="0" w:line="360" w:lineRule="auto"/>
              <w:jc w:val="center"/>
              <w:rPr>
                <w:lang w:val="en-US"/>
              </w:rPr>
            </w:pPr>
            <m:oMathPara>
              <m:oMath>
                <m:r>
                  <m:rPr>
                    <m:sty m:val="p"/>
                  </m:rPr>
                  <w:rPr>
                    <w:rFonts w:ascii="Cambria Math" w:hAnsi="Cambria Math"/>
                    <w:lang w:val="en-US"/>
                  </w:rPr>
                  <m:t>H</m:t>
                </m:r>
                <m:d>
                  <m:dPr>
                    <m:ctrlPr>
                      <w:rPr>
                        <w:rFonts w:ascii="Cambria Math" w:hAnsi="Cambria Math"/>
                        <w:i/>
                        <w:lang w:val="en-US"/>
                      </w:rPr>
                    </m:ctrlPr>
                  </m:dPr>
                  <m:e>
                    <m:r>
                      <m:rPr>
                        <m:sty m:val="p"/>
                      </m:rPr>
                      <w:rPr>
                        <w:rFonts w:ascii="Cambria Math" w:hAnsi="Cambria Math"/>
                        <w:lang w:val="en-US"/>
                      </w:rPr>
                      <m:t>2</m:t>
                    </m:r>
                  </m:e>
                </m:d>
                <m:r>
                  <m:rPr>
                    <m:sty m:val="p"/>
                  </m:rPr>
                  <w:rPr>
                    <w:rFonts w:ascii="Cambria Math" w:hAnsi="Cambria Math"/>
                    <w:lang w:val="en-US"/>
                  </w:rPr>
                  <m:t>=4.606</m:t>
                </m:r>
              </m:oMath>
            </m:oMathPara>
          </w:p>
        </w:tc>
        <w:tc>
          <w:tcPr>
            <w:tcW w:w="1373" w:type="dxa"/>
            <w:vAlign w:val="bottom"/>
          </w:tcPr>
          <w:p w14:paraId="23008768" w14:textId="1EE331E0" w:rsidR="00E07A8D" w:rsidRPr="00D40903" w:rsidRDefault="00E07A8D" w:rsidP="00E07A8D">
            <w:pPr>
              <w:spacing w:after="0" w:line="360" w:lineRule="auto"/>
              <w:jc w:val="center"/>
              <w:rPr>
                <w:lang w:val="en-US"/>
              </w:rPr>
            </w:pPr>
            <w:r w:rsidRPr="00D40903">
              <w:rPr>
                <w:lang w:val="en-US"/>
              </w:rPr>
              <w:t>0.1</w:t>
            </w:r>
          </w:p>
        </w:tc>
      </w:tr>
    </w:tbl>
    <w:p w14:paraId="444FFFB6" w14:textId="293C097F" w:rsidR="00E07A8D" w:rsidRPr="008D3B48" w:rsidRDefault="00E07A8D" w:rsidP="00E07A8D">
      <w:pPr>
        <w:widowControl w:val="0"/>
        <w:tabs>
          <w:tab w:val="left" w:pos="0"/>
        </w:tabs>
        <w:autoSpaceDE w:val="0"/>
        <w:autoSpaceDN w:val="0"/>
        <w:adjustRightInd w:val="0"/>
        <w:spacing w:after="240" w:line="480" w:lineRule="auto"/>
        <w:jc w:val="both"/>
        <w:rPr>
          <w:lang w:val="en-US"/>
        </w:rPr>
      </w:pPr>
      <w:r>
        <w:rPr>
          <w:lang w:val="en-US"/>
        </w:rPr>
        <w:t>Table S2:</w:t>
      </w:r>
      <w:r>
        <w:rPr>
          <w:lang w:val="en-US"/>
        </w:rPr>
        <w:tab/>
        <w:t>Dichotomous variables, i.e., ge</w:t>
      </w:r>
      <w:r w:rsidR="00FA2B33">
        <w:rPr>
          <w:lang w:val="en-US"/>
        </w:rPr>
        <w:t>nder, symptom side of onset, D2 and D</w:t>
      </w:r>
      <w:r>
        <w:rPr>
          <w:lang w:val="en-US"/>
        </w:rPr>
        <w:t>3 are stated as absolute numbers (sample percentage)</w:t>
      </w:r>
      <w:r w:rsidR="00E5274E">
        <w:rPr>
          <w:lang w:val="en-US"/>
        </w:rPr>
        <w:t xml:space="preserve"> we</w:t>
      </w:r>
      <w:r w:rsidR="00E74A3F">
        <w:rPr>
          <w:lang w:val="en-US"/>
        </w:rPr>
        <w:t>re</w:t>
      </w:r>
      <w:r w:rsidR="00E5274E">
        <w:rPr>
          <w:lang w:val="en-US"/>
        </w:rPr>
        <w:t xml:space="preserve"> compared using a Pearson’s Chi-Squared Test</w:t>
      </w:r>
      <w:r>
        <w:rPr>
          <w:lang w:val="en-US"/>
        </w:rPr>
        <w:t>. Ages at onset and medication response are stated as mean (</w:t>
      </w:r>
      <w:r w:rsidRPr="002D3696">
        <w:rPr>
          <w:rFonts w:ascii="Cambria" w:hAnsi="Cambria"/>
          <w:lang w:val="en-US"/>
        </w:rPr>
        <w:t>±</w:t>
      </w:r>
      <w:r>
        <w:rPr>
          <w:rFonts w:ascii="Cambria" w:hAnsi="Cambria"/>
          <w:lang w:val="en-US"/>
        </w:rPr>
        <w:t xml:space="preserve"> standard deviation) and were</w:t>
      </w:r>
      <w:r>
        <w:rPr>
          <w:lang w:val="en-US"/>
        </w:rPr>
        <w:t xml:space="preserve"> compared using an ordinary one-way ANOVA</w:t>
      </w:r>
      <w:r w:rsidR="00E5274E">
        <w:rPr>
          <w:lang w:val="en-US"/>
        </w:rPr>
        <w:t xml:space="preserve"> due to parametric distribution</w:t>
      </w:r>
      <w:r>
        <w:rPr>
          <w:lang w:val="en-US"/>
        </w:rPr>
        <w:t xml:space="preserve">. </w:t>
      </w:r>
      <w:r w:rsidR="00E5274E">
        <w:rPr>
          <w:lang w:val="en-US"/>
        </w:rPr>
        <w:t>Standar</w:t>
      </w:r>
      <w:r w:rsidR="00E74A3F">
        <w:rPr>
          <w:lang w:val="en-US"/>
        </w:rPr>
        <w:t>d</w:t>
      </w:r>
      <w:r w:rsidR="00E5274E">
        <w:rPr>
          <w:lang w:val="en-US"/>
        </w:rPr>
        <w:t xml:space="preserve">ized medication response </w:t>
      </w:r>
      <w:r>
        <w:rPr>
          <w:lang w:val="en-US"/>
        </w:rPr>
        <w:t>and T-/AR-score are stated as median (</w:t>
      </w:r>
      <w:r w:rsidRPr="002D3696">
        <w:rPr>
          <w:rFonts w:ascii="Cambria" w:hAnsi="Cambria"/>
          <w:lang w:val="en-US"/>
        </w:rPr>
        <w:t>±</w:t>
      </w:r>
      <w:r>
        <w:rPr>
          <w:rFonts w:ascii="Cambria" w:hAnsi="Cambria"/>
          <w:lang w:val="en-US"/>
        </w:rPr>
        <w:t xml:space="preserve"> standard error</w:t>
      </w:r>
      <w:r w:rsidR="00553AA1">
        <w:rPr>
          <w:rFonts w:ascii="Cambria" w:hAnsi="Cambria"/>
          <w:lang w:val="en-US"/>
        </w:rPr>
        <w:t xml:space="preserve"> of the mean</w:t>
      </w:r>
      <w:r>
        <w:rPr>
          <w:rFonts w:ascii="Cambria" w:hAnsi="Cambria"/>
          <w:lang w:val="en-US"/>
        </w:rPr>
        <w:t>)</w:t>
      </w:r>
      <w:r w:rsidR="00E5274E">
        <w:rPr>
          <w:rFonts w:ascii="Cambria" w:hAnsi="Cambria"/>
          <w:lang w:val="en-US"/>
        </w:rPr>
        <w:t xml:space="preserve"> and were compared by Kruskal-Wallis test due to nonparametric distribution</w:t>
      </w:r>
      <w:r>
        <w:rPr>
          <w:lang w:val="en-US"/>
        </w:rPr>
        <w:t xml:space="preserve">. All p-values below 0.05 are considered to be significant and </w:t>
      </w:r>
      <w:r w:rsidR="008B6D78">
        <w:rPr>
          <w:lang w:val="en-US"/>
        </w:rPr>
        <w:t xml:space="preserve">are </w:t>
      </w:r>
      <w:r>
        <w:rPr>
          <w:lang w:val="en-US"/>
        </w:rPr>
        <w:t xml:space="preserve">printed in bold. </w:t>
      </w:r>
    </w:p>
    <w:p w14:paraId="5742E6E1" w14:textId="77777777" w:rsidR="0017578E" w:rsidRDefault="0017578E" w:rsidP="00E07A8D">
      <w:pPr>
        <w:rPr>
          <w:b/>
          <w:lang w:val="en-US"/>
        </w:rPr>
      </w:pPr>
    </w:p>
    <w:p w14:paraId="3CA03CE0" w14:textId="77777777" w:rsidR="0017578E" w:rsidRDefault="0017578E" w:rsidP="00E07A8D">
      <w:pPr>
        <w:rPr>
          <w:b/>
          <w:lang w:val="en-US"/>
        </w:rPr>
      </w:pPr>
    </w:p>
    <w:p w14:paraId="6A4C2FDE" w14:textId="77777777" w:rsidR="0017578E" w:rsidRDefault="0017578E" w:rsidP="00E07A8D">
      <w:pPr>
        <w:rPr>
          <w:b/>
          <w:lang w:val="en-US"/>
        </w:rPr>
      </w:pPr>
    </w:p>
    <w:p w14:paraId="07D55754" w14:textId="77777777" w:rsidR="0017578E" w:rsidRDefault="0017578E" w:rsidP="00E07A8D">
      <w:pPr>
        <w:rPr>
          <w:b/>
          <w:lang w:val="en-US"/>
        </w:rPr>
      </w:pPr>
    </w:p>
    <w:p w14:paraId="1E83F8C6" w14:textId="77777777" w:rsidR="0017578E" w:rsidRDefault="0017578E" w:rsidP="00E07A8D">
      <w:pPr>
        <w:rPr>
          <w:b/>
          <w:lang w:val="en-US"/>
        </w:rPr>
      </w:pPr>
    </w:p>
    <w:p w14:paraId="0B1C7BF2" w14:textId="406FD858" w:rsidR="00E07A8D" w:rsidRPr="002D3696" w:rsidRDefault="00E07A8D" w:rsidP="00E07A8D">
      <w:pPr>
        <w:rPr>
          <w:b/>
          <w:sz w:val="24"/>
          <w:szCs w:val="24"/>
          <w:lang w:val="en-US"/>
        </w:rPr>
      </w:pPr>
      <w:r w:rsidRPr="002D3696">
        <w:rPr>
          <w:b/>
          <w:sz w:val="24"/>
          <w:szCs w:val="24"/>
          <w:lang w:val="en-US"/>
        </w:rPr>
        <w:lastRenderedPageBreak/>
        <w:t xml:space="preserve">Supplementary </w:t>
      </w:r>
      <w:r>
        <w:rPr>
          <w:b/>
          <w:sz w:val="24"/>
          <w:szCs w:val="24"/>
          <w:lang w:val="en-US"/>
        </w:rPr>
        <w:t>Figure</w:t>
      </w:r>
    </w:p>
    <w:p w14:paraId="5ECB9CDF" w14:textId="77777777" w:rsidR="00E07A8D" w:rsidRDefault="00E07A8D" w:rsidP="00E07A8D">
      <w:pPr>
        <w:spacing w:after="0" w:line="240" w:lineRule="auto"/>
        <w:rPr>
          <w:b/>
          <w:lang w:val="en-US"/>
        </w:rPr>
      </w:pPr>
      <w:r>
        <w:rPr>
          <w:b/>
          <w:lang w:val="en-US"/>
        </w:rPr>
        <w:t>Figure S1</w:t>
      </w:r>
      <w:r>
        <w:rPr>
          <w:b/>
          <w:lang w:val="en-US"/>
        </w:rPr>
        <w:tab/>
        <w:t>Cluster comparison.</w:t>
      </w:r>
    </w:p>
    <w:p w14:paraId="5A3E87A0" w14:textId="33874B82" w:rsidR="003B6123" w:rsidRDefault="003B6123" w:rsidP="00E07A8D">
      <w:pPr>
        <w:spacing w:after="0" w:line="480" w:lineRule="auto"/>
        <w:jc w:val="both"/>
        <w:rPr>
          <w:lang w:val="en-US"/>
        </w:rPr>
      </w:pPr>
      <w:r>
        <w:rPr>
          <w:b/>
          <w:noProof/>
          <w:sz w:val="24"/>
          <w:szCs w:val="24"/>
          <w:lang w:eastAsia="de-DE"/>
        </w:rPr>
        <w:drawing>
          <wp:inline distT="0" distB="0" distL="0" distR="0" wp14:anchorId="686891BE" wp14:editId="0EAC05DC">
            <wp:extent cx="5748655" cy="8136255"/>
            <wp:effectExtent l="0" t="0" r="0" b="0"/>
            <wp:docPr id="4" name="Bild 4" descr="Macintosh HD:Users:epelzer:ownCloud:00_Esther_Pelzer:Tittgemeyer_Arbeit:Figure_S1.tiff.pd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Macintosh HD:Users:epelzer:ownCloud:00_Esther_Pelzer:Tittgemeyer_Arbeit:Figure_S1.tiff.pdf"/>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5748655" cy="8136255"/>
                    </a:xfrm>
                    <a:prstGeom prst="rect">
                      <a:avLst/>
                    </a:prstGeom>
                    <a:noFill/>
                    <a:ln>
                      <a:noFill/>
                    </a:ln>
                  </pic:spPr>
                </pic:pic>
              </a:graphicData>
            </a:graphic>
          </wp:inline>
        </w:drawing>
      </w:r>
    </w:p>
    <w:p w14:paraId="2BE5F7D7" w14:textId="77777777" w:rsidR="003B6123" w:rsidRDefault="003B6123" w:rsidP="00E07A8D">
      <w:pPr>
        <w:spacing w:after="0" w:line="480" w:lineRule="auto"/>
        <w:jc w:val="both"/>
        <w:rPr>
          <w:lang w:val="en-US"/>
        </w:rPr>
      </w:pPr>
    </w:p>
    <w:p w14:paraId="3061D078" w14:textId="77777777" w:rsidR="003B6123" w:rsidRDefault="003B6123" w:rsidP="00E07A8D">
      <w:pPr>
        <w:spacing w:after="0" w:line="480" w:lineRule="auto"/>
        <w:jc w:val="both"/>
        <w:rPr>
          <w:lang w:val="en-US"/>
        </w:rPr>
      </w:pPr>
    </w:p>
    <w:p w14:paraId="7BB5D1CC" w14:textId="7F5C3897" w:rsidR="00E07A8D" w:rsidRDefault="00E07A8D" w:rsidP="00E07A8D">
      <w:pPr>
        <w:spacing w:after="0" w:line="480" w:lineRule="auto"/>
        <w:jc w:val="both"/>
        <w:rPr>
          <w:lang w:val="en-US"/>
        </w:rPr>
      </w:pPr>
      <w:r w:rsidRPr="003B6123">
        <w:rPr>
          <w:b/>
          <w:lang w:val="en-US"/>
        </w:rPr>
        <w:t>Figure S1</w:t>
      </w:r>
      <w:r>
        <w:rPr>
          <w:lang w:val="en-US"/>
        </w:rPr>
        <w:t>:</w:t>
      </w:r>
      <w:r>
        <w:rPr>
          <w:lang w:val="en-US"/>
        </w:rPr>
        <w:tab/>
        <w:t>Overview of all clustering variables depicted by cluster. (A) Bar plots of men and women within each cluster, re</w:t>
      </w:r>
      <w:r w:rsidR="00FA2B33">
        <w:rPr>
          <w:lang w:val="en-US"/>
        </w:rPr>
        <w:t>spectively. (B) Bar plots of D</w:t>
      </w:r>
      <w:r w:rsidR="00B5652D">
        <w:rPr>
          <w:lang w:val="en-US"/>
        </w:rPr>
        <w:t>2 genotype polymorphism</w:t>
      </w:r>
      <w:r>
        <w:rPr>
          <w:lang w:val="en-US"/>
        </w:rPr>
        <w:t xml:space="preserve"> within each cluster. (C-D) Bar plots of left and right s</w:t>
      </w:r>
      <w:r w:rsidR="00FA2B33">
        <w:rPr>
          <w:lang w:val="en-US"/>
        </w:rPr>
        <w:t>ymptom onset side as well as D</w:t>
      </w:r>
      <w:r>
        <w:rPr>
          <w:lang w:val="en-US"/>
        </w:rPr>
        <w:t xml:space="preserve">3 genotype within each cluster, respectively. (E) </w:t>
      </w:r>
      <w:r w:rsidR="003B6123">
        <w:rPr>
          <w:lang w:val="en-US"/>
        </w:rPr>
        <w:t>Disease progression OFF</w:t>
      </w:r>
      <w:r>
        <w:rPr>
          <w:lang w:val="en-US"/>
        </w:rPr>
        <w:t xml:space="preserve"> displayed as connected mean with standard error of means within each cluster. (F-H)</w:t>
      </w:r>
      <w:r w:rsidR="003B6123">
        <w:rPr>
          <w:lang w:val="en-US"/>
        </w:rPr>
        <w:t xml:space="preserve"> Ag</w:t>
      </w:r>
      <w:r>
        <w:rPr>
          <w:lang w:val="en-US"/>
        </w:rPr>
        <w:t xml:space="preserve">e at onset and T-/AR-score </w:t>
      </w:r>
      <w:r w:rsidR="003B6123">
        <w:rPr>
          <w:lang w:val="en-US"/>
        </w:rPr>
        <w:t>an</w:t>
      </w:r>
      <w:r w:rsidR="0017578E">
        <w:rPr>
          <w:lang w:val="en-US"/>
        </w:rPr>
        <w:t>d</w:t>
      </w:r>
      <w:r w:rsidR="003B6123">
        <w:rPr>
          <w:lang w:val="en-US"/>
        </w:rPr>
        <w:t xml:space="preserve"> standardized medication response </w:t>
      </w:r>
      <w:r>
        <w:rPr>
          <w:lang w:val="en-US"/>
        </w:rPr>
        <w:t xml:space="preserve">are displayed as connected mean with standard error of means within each cluster, respectively. </w:t>
      </w:r>
    </w:p>
    <w:p w14:paraId="7E3FA46A" w14:textId="77777777" w:rsidR="00505BAD" w:rsidRPr="00DA0DD5" w:rsidRDefault="00505BAD" w:rsidP="00B13B36">
      <w:pPr>
        <w:spacing w:line="360" w:lineRule="auto"/>
        <w:jc w:val="both"/>
        <w:rPr>
          <w:rFonts w:cs="Arial"/>
          <w:sz w:val="24"/>
          <w:szCs w:val="24"/>
          <w:lang w:val="en-US"/>
        </w:rPr>
      </w:pPr>
    </w:p>
    <w:p w14:paraId="65929954" w14:textId="597AE20A" w:rsidR="001C23EB" w:rsidRDefault="00CF5339" w:rsidP="00CF5339">
      <w:pPr>
        <w:rPr>
          <w:b/>
          <w:sz w:val="24"/>
          <w:szCs w:val="24"/>
          <w:lang w:val="en-US"/>
        </w:rPr>
      </w:pPr>
      <w:r w:rsidRPr="002D3696">
        <w:rPr>
          <w:b/>
          <w:sz w:val="24"/>
          <w:szCs w:val="24"/>
          <w:lang w:val="en-US"/>
        </w:rPr>
        <w:br w:type="column"/>
      </w:r>
      <w:r w:rsidR="001C23EB">
        <w:rPr>
          <w:b/>
          <w:sz w:val="24"/>
          <w:szCs w:val="24"/>
          <w:lang w:val="en-US"/>
        </w:rPr>
        <w:lastRenderedPageBreak/>
        <w:t xml:space="preserve">References: </w:t>
      </w:r>
    </w:p>
    <w:p w14:paraId="2087A414" w14:textId="77777777" w:rsidR="001C23EB" w:rsidRDefault="001C23EB" w:rsidP="00CF5339">
      <w:pPr>
        <w:rPr>
          <w:b/>
          <w:sz w:val="24"/>
          <w:szCs w:val="24"/>
          <w:lang w:val="en-US"/>
        </w:rPr>
      </w:pPr>
    </w:p>
    <w:p w14:paraId="2B70BFEF" w14:textId="77777777" w:rsidR="00A20199" w:rsidRPr="00A20199" w:rsidRDefault="00646BAE" w:rsidP="00A20199">
      <w:pPr>
        <w:pStyle w:val="EndNoteBibliography"/>
        <w:spacing w:after="0"/>
        <w:ind w:left="720" w:hanging="720"/>
        <w:jc w:val="both"/>
        <w:rPr>
          <w:noProof/>
        </w:rPr>
      </w:pPr>
      <w:r>
        <w:fldChar w:fldCharType="begin"/>
      </w:r>
      <w:r>
        <w:instrText xml:space="preserve"> ADDIN EN.REFLIST </w:instrText>
      </w:r>
      <w:r>
        <w:fldChar w:fldCharType="separate"/>
      </w:r>
      <w:r w:rsidR="00A20199" w:rsidRPr="00A20199">
        <w:rPr>
          <w:noProof/>
        </w:rPr>
        <w:t>1.</w:t>
      </w:r>
      <w:r w:rsidR="00A20199" w:rsidRPr="00A20199">
        <w:rPr>
          <w:noProof/>
        </w:rPr>
        <w:tab/>
        <w:t>Tomlinson, C.L.</w:t>
      </w:r>
      <w:r w:rsidR="00A20199" w:rsidRPr="00A20199">
        <w:rPr>
          <w:i/>
          <w:noProof/>
        </w:rPr>
        <w:t>, et al.</w:t>
      </w:r>
      <w:r w:rsidR="00A20199" w:rsidRPr="00A20199">
        <w:rPr>
          <w:noProof/>
        </w:rPr>
        <w:t xml:space="preserve"> Systematic review of levodopa dose equivalency reporting in Parkinson's disease. </w:t>
      </w:r>
      <w:r w:rsidR="00A20199" w:rsidRPr="00A20199">
        <w:rPr>
          <w:i/>
          <w:noProof/>
        </w:rPr>
        <w:t>Movement Disorders</w:t>
      </w:r>
      <w:r w:rsidR="00A20199" w:rsidRPr="00A20199">
        <w:rPr>
          <w:noProof/>
        </w:rPr>
        <w:t xml:space="preserve"> </w:t>
      </w:r>
      <w:r w:rsidR="00A20199" w:rsidRPr="00A20199">
        <w:rPr>
          <w:b/>
          <w:noProof/>
        </w:rPr>
        <w:t>25</w:t>
      </w:r>
      <w:r w:rsidR="00A20199" w:rsidRPr="00A20199">
        <w:rPr>
          <w:noProof/>
        </w:rPr>
        <w:t>, 2649-2653 (2010).</w:t>
      </w:r>
    </w:p>
    <w:p w14:paraId="74B9814D" w14:textId="77777777" w:rsidR="00A20199" w:rsidRPr="00A20199" w:rsidRDefault="00A20199" w:rsidP="00A20199">
      <w:pPr>
        <w:pStyle w:val="EndNoteBibliography"/>
        <w:spacing w:after="0"/>
        <w:ind w:left="720" w:hanging="720"/>
        <w:jc w:val="both"/>
        <w:rPr>
          <w:noProof/>
        </w:rPr>
      </w:pPr>
      <w:r w:rsidRPr="00A20199">
        <w:rPr>
          <w:noProof/>
        </w:rPr>
        <w:t>2.</w:t>
      </w:r>
      <w:r w:rsidRPr="00A20199">
        <w:rPr>
          <w:noProof/>
        </w:rPr>
        <w:tab/>
        <w:t xml:space="preserve">Fahn S, E.R., UPDRS program members. Unified Parkinsons Disease Rating Scale. </w:t>
      </w:r>
      <w:r w:rsidRPr="00A20199">
        <w:rPr>
          <w:i/>
          <w:noProof/>
        </w:rPr>
        <w:t>Floram Park, NJ: Maximilian Healthcare Information</w:t>
      </w:r>
      <w:r w:rsidRPr="00A20199">
        <w:rPr>
          <w:noProof/>
        </w:rPr>
        <w:t xml:space="preserve"> </w:t>
      </w:r>
      <w:r w:rsidRPr="00A20199">
        <w:rPr>
          <w:b/>
          <w:noProof/>
        </w:rPr>
        <w:t>2</w:t>
      </w:r>
      <w:r w:rsidRPr="00A20199">
        <w:rPr>
          <w:noProof/>
        </w:rPr>
        <w:t>, p. 153-163 (1987).</w:t>
      </w:r>
    </w:p>
    <w:p w14:paraId="6F0CAA4C" w14:textId="77777777" w:rsidR="00A20199" w:rsidRPr="00A20199" w:rsidRDefault="00A20199" w:rsidP="00A20199">
      <w:pPr>
        <w:pStyle w:val="EndNoteBibliography"/>
        <w:spacing w:after="0"/>
        <w:ind w:left="720" w:hanging="720"/>
        <w:jc w:val="both"/>
        <w:rPr>
          <w:noProof/>
        </w:rPr>
      </w:pPr>
      <w:r w:rsidRPr="00A20199">
        <w:rPr>
          <w:noProof/>
        </w:rPr>
        <w:t>3.</w:t>
      </w:r>
      <w:r w:rsidRPr="00A20199">
        <w:rPr>
          <w:noProof/>
        </w:rPr>
        <w:tab/>
        <w:t>Spiegel, J.</w:t>
      </w:r>
      <w:r w:rsidRPr="00A20199">
        <w:rPr>
          <w:i/>
          <w:noProof/>
        </w:rPr>
        <w:t>, et al.</w:t>
      </w:r>
      <w:r w:rsidRPr="00A20199">
        <w:rPr>
          <w:noProof/>
        </w:rPr>
        <w:t xml:space="preserve"> Striatal FP-CIT uptake differs in the subtypes of early Parkinson's disease. </w:t>
      </w:r>
      <w:r w:rsidRPr="00A20199">
        <w:rPr>
          <w:i/>
          <w:noProof/>
        </w:rPr>
        <w:t>Journal of Neural Transmission/General Section JNT</w:t>
      </w:r>
      <w:r w:rsidRPr="00A20199">
        <w:rPr>
          <w:noProof/>
        </w:rPr>
        <w:t xml:space="preserve"> </w:t>
      </w:r>
      <w:r w:rsidRPr="00A20199">
        <w:rPr>
          <w:b/>
          <w:noProof/>
        </w:rPr>
        <w:t>114</w:t>
      </w:r>
      <w:r w:rsidRPr="00A20199">
        <w:rPr>
          <w:noProof/>
        </w:rPr>
        <w:t>, 331-335 (2007).</w:t>
      </w:r>
    </w:p>
    <w:p w14:paraId="2AA9976A" w14:textId="77777777" w:rsidR="00A20199" w:rsidRPr="00A20199" w:rsidRDefault="00A20199" w:rsidP="00A20199">
      <w:pPr>
        <w:pStyle w:val="EndNoteBibliography"/>
        <w:spacing w:after="0"/>
        <w:ind w:left="720" w:hanging="720"/>
        <w:jc w:val="both"/>
        <w:rPr>
          <w:noProof/>
        </w:rPr>
      </w:pPr>
      <w:r w:rsidRPr="00A20199">
        <w:rPr>
          <w:noProof/>
        </w:rPr>
        <w:t>4.</w:t>
      </w:r>
      <w:r w:rsidRPr="00A20199">
        <w:rPr>
          <w:noProof/>
        </w:rPr>
        <w:tab/>
        <w:t xml:space="preserve">Neville, M.J., Johnstone, E.C. &amp; Walton, R.T. Identification and characterization of ANKK1: a novel kinase gene closely linked to DRD2 on chromosome band 11q23.1. </w:t>
      </w:r>
      <w:r w:rsidRPr="00A20199">
        <w:rPr>
          <w:i/>
          <w:noProof/>
        </w:rPr>
        <w:t>Human mutation</w:t>
      </w:r>
      <w:r w:rsidRPr="00A20199">
        <w:rPr>
          <w:noProof/>
        </w:rPr>
        <w:t xml:space="preserve"> </w:t>
      </w:r>
      <w:r w:rsidRPr="00A20199">
        <w:rPr>
          <w:b/>
          <w:noProof/>
        </w:rPr>
        <w:t>23</w:t>
      </w:r>
      <w:r w:rsidRPr="00A20199">
        <w:rPr>
          <w:noProof/>
        </w:rPr>
        <w:t>, 540-545 (2004).</w:t>
      </w:r>
    </w:p>
    <w:p w14:paraId="496781EC" w14:textId="77777777" w:rsidR="00A20199" w:rsidRPr="00A20199" w:rsidRDefault="00A20199" w:rsidP="00A20199">
      <w:pPr>
        <w:pStyle w:val="EndNoteBibliography"/>
        <w:spacing w:after="0"/>
        <w:ind w:left="720" w:hanging="720"/>
        <w:jc w:val="both"/>
        <w:rPr>
          <w:noProof/>
        </w:rPr>
      </w:pPr>
      <w:r w:rsidRPr="00A20199">
        <w:rPr>
          <w:noProof/>
        </w:rPr>
        <w:t>5.</w:t>
      </w:r>
      <w:r w:rsidRPr="00A20199">
        <w:rPr>
          <w:noProof/>
        </w:rPr>
        <w:tab/>
        <w:t>Jönsson, E.G.</w:t>
      </w:r>
      <w:r w:rsidRPr="00A20199">
        <w:rPr>
          <w:i/>
          <w:noProof/>
        </w:rPr>
        <w:t>, et al.</w:t>
      </w:r>
      <w:r w:rsidRPr="00A20199">
        <w:rPr>
          <w:noProof/>
        </w:rPr>
        <w:t xml:space="preserve"> Polymorphisms in the dopamine D2 receptor gene and their relationships to striatal dopamine receptor density of healthy volunteers. </w:t>
      </w:r>
      <w:r w:rsidRPr="00A20199">
        <w:rPr>
          <w:i/>
          <w:noProof/>
        </w:rPr>
        <w:t>Molecular psychiatry</w:t>
      </w:r>
      <w:r w:rsidRPr="00A20199">
        <w:rPr>
          <w:noProof/>
        </w:rPr>
        <w:t xml:space="preserve"> </w:t>
      </w:r>
      <w:r w:rsidRPr="00A20199">
        <w:rPr>
          <w:b/>
          <w:noProof/>
        </w:rPr>
        <w:t>4</w:t>
      </w:r>
      <w:r w:rsidRPr="00A20199">
        <w:rPr>
          <w:noProof/>
        </w:rPr>
        <w:t>, 290-296 (1999).</w:t>
      </w:r>
    </w:p>
    <w:p w14:paraId="3C131E2F" w14:textId="77777777" w:rsidR="00A20199" w:rsidRPr="00A20199" w:rsidRDefault="00A20199" w:rsidP="00A20199">
      <w:pPr>
        <w:pStyle w:val="EndNoteBibliography"/>
        <w:spacing w:after="0"/>
        <w:ind w:left="720" w:hanging="720"/>
        <w:jc w:val="both"/>
        <w:rPr>
          <w:noProof/>
        </w:rPr>
      </w:pPr>
      <w:r w:rsidRPr="00A20199">
        <w:rPr>
          <w:noProof/>
        </w:rPr>
        <w:t>6.</w:t>
      </w:r>
      <w:r w:rsidRPr="00A20199">
        <w:rPr>
          <w:noProof/>
        </w:rPr>
        <w:tab/>
        <w:t xml:space="preserve">Roth, V., Laub, J., Kawanabe, M. &amp; Buhmann, J.M. Optimal cluster preserving embedding of nonmetric proximity data. </w:t>
      </w:r>
      <w:r w:rsidRPr="00A20199">
        <w:rPr>
          <w:i/>
          <w:noProof/>
        </w:rPr>
        <w:t>IEEE Transactions on Pattern Analysis and Machine Intelligence</w:t>
      </w:r>
      <w:r w:rsidRPr="00A20199">
        <w:rPr>
          <w:noProof/>
        </w:rPr>
        <w:t xml:space="preserve"> </w:t>
      </w:r>
      <w:r w:rsidRPr="00A20199">
        <w:rPr>
          <w:b/>
          <w:noProof/>
        </w:rPr>
        <w:t>25</w:t>
      </w:r>
      <w:r w:rsidRPr="00A20199">
        <w:rPr>
          <w:noProof/>
        </w:rPr>
        <w:t>, 1540-1551 (2003).</w:t>
      </w:r>
    </w:p>
    <w:p w14:paraId="1158AE70" w14:textId="77777777" w:rsidR="00A20199" w:rsidRPr="00A20199" w:rsidRDefault="00A20199" w:rsidP="00A20199">
      <w:pPr>
        <w:pStyle w:val="EndNoteBibliography"/>
        <w:spacing w:after="0"/>
        <w:ind w:left="720" w:hanging="720"/>
        <w:jc w:val="both"/>
        <w:rPr>
          <w:noProof/>
        </w:rPr>
      </w:pPr>
      <w:r w:rsidRPr="00A20199">
        <w:rPr>
          <w:noProof/>
        </w:rPr>
        <w:t>7.</w:t>
      </w:r>
      <w:r w:rsidRPr="00A20199">
        <w:rPr>
          <w:noProof/>
        </w:rPr>
        <w:tab/>
        <w:t xml:space="preserve">Bishop, C.M. </w:t>
      </w:r>
      <w:r w:rsidRPr="00A20199">
        <w:rPr>
          <w:i/>
          <w:noProof/>
        </w:rPr>
        <w:t>Pattern Recognition and Machine Learning</w:t>
      </w:r>
      <w:r w:rsidRPr="00A20199">
        <w:rPr>
          <w:noProof/>
        </w:rPr>
        <w:t>, (Springer, 2016).</w:t>
      </w:r>
    </w:p>
    <w:p w14:paraId="3EB7D134" w14:textId="77777777" w:rsidR="00A20199" w:rsidRPr="00A20199" w:rsidRDefault="00A20199" w:rsidP="00A20199">
      <w:pPr>
        <w:pStyle w:val="EndNoteBibliography"/>
        <w:spacing w:after="0"/>
        <w:ind w:left="720" w:hanging="720"/>
        <w:jc w:val="both"/>
        <w:rPr>
          <w:noProof/>
        </w:rPr>
      </w:pPr>
      <w:r w:rsidRPr="00A20199">
        <w:rPr>
          <w:noProof/>
        </w:rPr>
        <w:t>8.</w:t>
      </w:r>
      <w:r w:rsidRPr="00A20199">
        <w:rPr>
          <w:noProof/>
        </w:rPr>
        <w:tab/>
        <w:t xml:space="preserve">Caliński, T. &amp; Harabasz, J. A dendrite method for cluster analysis. </w:t>
      </w:r>
      <w:r w:rsidRPr="00A20199">
        <w:rPr>
          <w:i/>
          <w:noProof/>
        </w:rPr>
        <w:t>Communications in Statistics - Theory and Methods</w:t>
      </w:r>
      <w:r w:rsidRPr="00A20199">
        <w:rPr>
          <w:noProof/>
        </w:rPr>
        <w:t xml:space="preserve"> </w:t>
      </w:r>
      <w:r w:rsidRPr="00A20199">
        <w:rPr>
          <w:b/>
          <w:noProof/>
        </w:rPr>
        <w:t>3</w:t>
      </w:r>
      <w:r w:rsidRPr="00A20199">
        <w:rPr>
          <w:noProof/>
        </w:rPr>
        <w:t>, 1-27 (1974).</w:t>
      </w:r>
    </w:p>
    <w:p w14:paraId="661913A9" w14:textId="77777777" w:rsidR="00A20199" w:rsidRPr="00A20199" w:rsidRDefault="00A20199" w:rsidP="00A20199">
      <w:pPr>
        <w:pStyle w:val="EndNoteBibliography"/>
        <w:spacing w:after="0"/>
        <w:ind w:left="720" w:hanging="720"/>
        <w:jc w:val="both"/>
        <w:rPr>
          <w:noProof/>
        </w:rPr>
      </w:pPr>
      <w:r w:rsidRPr="00A20199">
        <w:rPr>
          <w:noProof/>
        </w:rPr>
        <w:t>9.</w:t>
      </w:r>
      <w:r w:rsidRPr="00A20199">
        <w:rPr>
          <w:noProof/>
        </w:rPr>
        <w:tab/>
        <w:t xml:space="preserve">Hurvich, C.M.a.T., C.-L. Regression and time series model selection in small samples. </w:t>
      </w:r>
      <w:r w:rsidRPr="00A20199">
        <w:rPr>
          <w:i/>
          <w:noProof/>
        </w:rPr>
        <w:t>Biometrika</w:t>
      </w:r>
      <w:r w:rsidRPr="00A20199">
        <w:rPr>
          <w:noProof/>
        </w:rPr>
        <w:t xml:space="preserve"> </w:t>
      </w:r>
      <w:r w:rsidRPr="00A20199">
        <w:rPr>
          <w:b/>
          <w:noProof/>
        </w:rPr>
        <w:t>76</w:t>
      </w:r>
      <w:r w:rsidRPr="00A20199">
        <w:rPr>
          <w:noProof/>
        </w:rPr>
        <w:t>, 297–307 (1989).</w:t>
      </w:r>
    </w:p>
    <w:p w14:paraId="074CBAC8" w14:textId="78652484" w:rsidR="00A20199" w:rsidRPr="00A20199" w:rsidRDefault="00A20199" w:rsidP="00A20199">
      <w:pPr>
        <w:pStyle w:val="EndNoteBibliography"/>
        <w:ind w:left="720" w:hanging="720"/>
        <w:jc w:val="both"/>
        <w:rPr>
          <w:noProof/>
        </w:rPr>
      </w:pPr>
      <w:r w:rsidRPr="00A20199">
        <w:rPr>
          <w:noProof/>
        </w:rPr>
        <w:t>10.</w:t>
      </w:r>
      <w:r w:rsidRPr="00A20199">
        <w:rPr>
          <w:noProof/>
        </w:rPr>
        <w:tab/>
        <w:t>Burnham, K.P.a.A., D. R. Model selection and multimodel inference: a practical in</w:t>
      </w:r>
      <w:r>
        <w:rPr>
          <w:noProof/>
        </w:rPr>
        <w:t xml:space="preserve">formation-theoretic approach. </w:t>
      </w:r>
      <w:r w:rsidRPr="00A20199">
        <w:rPr>
          <w:i/>
          <w:noProof/>
        </w:rPr>
        <w:t>Springer-Verlag</w:t>
      </w:r>
      <w:r w:rsidRPr="00A20199">
        <w:rPr>
          <w:noProof/>
        </w:rPr>
        <w:t xml:space="preserve"> (2002).</w:t>
      </w:r>
    </w:p>
    <w:p w14:paraId="115EF1F3" w14:textId="019D36D2" w:rsidR="000C7927" w:rsidRPr="002D3696" w:rsidRDefault="00646BAE" w:rsidP="00A20199">
      <w:pPr>
        <w:jc w:val="both"/>
        <w:rPr>
          <w:lang w:val="en-US"/>
        </w:rPr>
      </w:pPr>
      <w:r>
        <w:rPr>
          <w:lang w:val="en-US"/>
        </w:rPr>
        <w:fldChar w:fldCharType="end"/>
      </w:r>
    </w:p>
    <w:sectPr w:rsidR="000C7927" w:rsidRPr="002D3696" w:rsidSect="00023519">
      <w:headerReference w:type="even" r:id="rId10"/>
      <w:headerReference w:type="default" r:id="rId11"/>
      <w:footerReference w:type="even" r:id="rId12"/>
      <w:footerReference w:type="default" r:id="rId13"/>
      <w:pgSz w:w="11900" w:h="16840"/>
      <w:pgMar w:top="1417" w:right="1417" w:bottom="1134" w:left="1417" w:header="708" w:footer="708" w:gutter="0"/>
      <w:cols w:space="708"/>
      <w:titlePg/>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628A85B4" w14:textId="77777777" w:rsidR="002F2E39" w:rsidRDefault="002F2E39" w:rsidP="00023519">
      <w:pPr>
        <w:spacing w:after="0" w:line="240" w:lineRule="auto"/>
      </w:pPr>
      <w:r>
        <w:separator/>
      </w:r>
    </w:p>
  </w:endnote>
  <w:endnote w:type="continuationSeparator" w:id="0">
    <w:p w14:paraId="40E6B0B1" w14:textId="77777777" w:rsidR="002F2E39" w:rsidRDefault="002F2E39" w:rsidP="0002351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E00002FF" w:usb1="6AC7FDFB" w:usb2="00000012" w:usb3="00000000" w:csb0="0002009F" w:csb1="00000000"/>
  </w:font>
  <w:font w:name="Lucida Grande">
    <w:altName w:val="Times New Roman"/>
    <w:panose1 w:val="020B0600040502020204"/>
    <w:charset w:val="00"/>
    <w:family w:val="auto"/>
    <w:pitch w:val="variable"/>
    <w:sig w:usb0="E1000AEF" w:usb1="5000A1FF" w:usb2="00000000" w:usb3="00000000" w:csb0="000001BF" w:csb1="00000000"/>
  </w:font>
  <w:font w:name="Arial">
    <w:panose1 w:val="020B0604020202020204"/>
    <w:charset w:val="00"/>
    <w:family w:val="auto"/>
    <w:pitch w:val="variable"/>
    <w:sig w:usb0="E0002AFF" w:usb1="C0007843" w:usb2="00000009" w:usb3="00000000" w:csb0="000001FF" w:csb1="00000000"/>
  </w:font>
  <w:font w:name="Cambria Math">
    <w:panose1 w:val="02040503050406030204"/>
    <w:charset w:val="00"/>
    <w:family w:val="auto"/>
    <w:pitch w:val="variable"/>
    <w:sig w:usb0="E00002FF" w:usb1="420024FF" w:usb2="00000000" w:usb3="00000000" w:csb0="0000019F" w:csb1="00000000"/>
  </w:font>
  <w:font w:name="Helvetica">
    <w:panose1 w:val="00000000000000000000"/>
    <w:charset w:val="00"/>
    <w:family w:val="auto"/>
    <w:pitch w:val="variable"/>
    <w:sig w:usb0="E00002FF" w:usb1="5000785B" w:usb2="00000000" w:usb3="00000000" w:csb0="0000019F" w:csb1="00000000"/>
  </w:font>
  <w:font w:name="ＭＳ ゴシック">
    <w:charset w:val="4E"/>
    <w:family w:val="auto"/>
    <w:pitch w:val="variable"/>
    <w:sig w:usb0="E00002FF" w:usb1="6AC7FDFB" w:usb2="00000012" w:usb3="00000000" w:csb0="0002009F" w:csb1="00000000"/>
  </w:font>
  <w:font w:name="Calibri">
    <w:panose1 w:val="020F0502020204030204"/>
    <w:charset w:val="00"/>
    <w:family w:val="auto"/>
    <w:pitch w:val="variable"/>
    <w:sig w:usb0="E10002FF" w:usb1="4000ACFF" w:usb2="00000009" w:usb3="00000000" w:csb0="0000019F"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2C89F4DE" w14:textId="77777777" w:rsidR="008E5681" w:rsidRDefault="008E5681" w:rsidP="0063303C">
    <w:pPr>
      <w:pStyle w:val="Fuzeile"/>
      <w:framePr w:wrap="around" w:vAnchor="text" w:hAnchor="margin" w:xAlign="right" w:y="1"/>
      <w:rPr>
        <w:rStyle w:val="Seitenzahl"/>
      </w:rPr>
    </w:pPr>
    <w:r>
      <w:rPr>
        <w:rStyle w:val="Seitenzahl"/>
      </w:rPr>
      <w:fldChar w:fldCharType="begin"/>
    </w:r>
    <w:r>
      <w:rPr>
        <w:rStyle w:val="Seitenzahl"/>
      </w:rPr>
      <w:instrText xml:space="preserve">PAGE  </w:instrText>
    </w:r>
    <w:r>
      <w:rPr>
        <w:rStyle w:val="Seitenzahl"/>
      </w:rPr>
      <w:fldChar w:fldCharType="separate"/>
    </w:r>
    <w:r w:rsidR="00911E4F">
      <w:rPr>
        <w:rStyle w:val="Seitenzahl"/>
        <w:noProof/>
      </w:rPr>
      <w:t>4</w:t>
    </w:r>
    <w:r>
      <w:rPr>
        <w:rStyle w:val="Seitenzahl"/>
      </w:rPr>
      <w:fldChar w:fldCharType="end"/>
    </w:r>
  </w:p>
  <w:p w14:paraId="67D3344A" w14:textId="77777777" w:rsidR="008E5681" w:rsidRDefault="008E5681" w:rsidP="00023519">
    <w:pPr>
      <w:pStyle w:val="Fuzeile"/>
      <w:ind w:right="360"/>
    </w:pPr>
  </w:p>
</w:ftr>
</file>

<file path=word/footer2.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A6C5233" w14:textId="77777777" w:rsidR="008E5681" w:rsidRPr="00023519" w:rsidRDefault="008E5681" w:rsidP="0063303C">
    <w:pPr>
      <w:pStyle w:val="Fuzeile"/>
      <w:framePr w:wrap="around" w:vAnchor="text" w:hAnchor="margin" w:xAlign="right" w:y="1"/>
      <w:rPr>
        <w:rStyle w:val="Seitenzahl"/>
        <w:color w:val="808080" w:themeColor="background1" w:themeShade="80"/>
        <w:sz w:val="20"/>
        <w:szCs w:val="20"/>
      </w:rPr>
    </w:pPr>
    <w:r w:rsidRPr="00023519">
      <w:rPr>
        <w:rStyle w:val="Seitenzahl"/>
        <w:color w:val="808080" w:themeColor="background1" w:themeShade="80"/>
        <w:sz w:val="20"/>
        <w:szCs w:val="20"/>
      </w:rPr>
      <w:fldChar w:fldCharType="begin"/>
    </w:r>
    <w:r w:rsidRPr="00023519">
      <w:rPr>
        <w:rStyle w:val="Seitenzahl"/>
        <w:color w:val="808080" w:themeColor="background1" w:themeShade="80"/>
        <w:sz w:val="20"/>
        <w:szCs w:val="20"/>
      </w:rPr>
      <w:instrText xml:space="preserve">PAGE  </w:instrText>
    </w:r>
    <w:r w:rsidRPr="00023519">
      <w:rPr>
        <w:rStyle w:val="Seitenzahl"/>
        <w:color w:val="808080" w:themeColor="background1" w:themeShade="80"/>
        <w:sz w:val="20"/>
        <w:szCs w:val="20"/>
      </w:rPr>
      <w:fldChar w:fldCharType="separate"/>
    </w:r>
    <w:r w:rsidR="00911E4F">
      <w:rPr>
        <w:rStyle w:val="Seitenzahl"/>
        <w:noProof/>
        <w:color w:val="808080" w:themeColor="background1" w:themeShade="80"/>
        <w:sz w:val="20"/>
        <w:szCs w:val="20"/>
      </w:rPr>
      <w:t>3</w:t>
    </w:r>
    <w:r w:rsidRPr="00023519">
      <w:rPr>
        <w:rStyle w:val="Seitenzahl"/>
        <w:color w:val="808080" w:themeColor="background1" w:themeShade="80"/>
        <w:sz w:val="20"/>
        <w:szCs w:val="20"/>
      </w:rPr>
      <w:fldChar w:fldCharType="end"/>
    </w:r>
  </w:p>
  <w:p w14:paraId="2F1F9A39" w14:textId="77777777" w:rsidR="008E5681" w:rsidRDefault="008E5681" w:rsidP="00023519">
    <w:pPr>
      <w:pStyle w:val="Fuzeile"/>
      <w:ind w:right="360"/>
    </w:pP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09110C03" w14:textId="77777777" w:rsidR="002F2E39" w:rsidRDefault="002F2E39" w:rsidP="00023519">
      <w:pPr>
        <w:spacing w:after="0" w:line="240" w:lineRule="auto"/>
      </w:pPr>
      <w:r>
        <w:separator/>
      </w:r>
    </w:p>
  </w:footnote>
  <w:footnote w:type="continuationSeparator" w:id="0">
    <w:p w14:paraId="0DC2A436" w14:textId="77777777" w:rsidR="002F2E39" w:rsidRDefault="002F2E39" w:rsidP="00023519">
      <w:pPr>
        <w:spacing w:after="0" w:line="240" w:lineRule="auto"/>
      </w:pPr>
      <w:r>
        <w:continuationSeparator/>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00857A1" w14:textId="08FF2C33" w:rsidR="008E5681" w:rsidRPr="00A8354C" w:rsidRDefault="008E5681" w:rsidP="00023519">
    <w:pPr>
      <w:pStyle w:val="Kopfzeile"/>
      <w:rPr>
        <w:color w:val="808080" w:themeColor="background1" w:themeShade="80"/>
        <w:lang w:val="en-US"/>
      </w:rPr>
    </w:pPr>
    <w:r w:rsidRPr="00A8354C">
      <w:rPr>
        <w:rFonts w:ascii="Cambria Math" w:hAnsi="Cambria Math"/>
        <w:noProof/>
        <w:color w:val="808080" w:themeColor="background1" w:themeShade="80"/>
        <w:lang w:eastAsia="de-DE"/>
      </w:rPr>
      <mc:AlternateContent>
        <mc:Choice Requires="wps">
          <w:drawing>
            <wp:anchor distT="0" distB="0" distL="114300" distR="114300" simplePos="0" relativeHeight="251661312" behindDoc="0" locked="0" layoutInCell="1" allowOverlap="1" wp14:anchorId="2B166BAB" wp14:editId="162D5118">
              <wp:simplePos x="0" y="0"/>
              <wp:positionH relativeFrom="margin">
                <wp:align>center</wp:align>
              </wp:positionH>
              <wp:positionV relativeFrom="paragraph">
                <wp:posOffset>221615</wp:posOffset>
              </wp:positionV>
              <wp:extent cx="5743575" cy="0"/>
              <wp:effectExtent l="0" t="0" r="22225" b="25400"/>
              <wp:wrapTight wrapText="bothSides">
                <wp:wrapPolygon edited="0">
                  <wp:start x="0" y="-1"/>
                  <wp:lineTo x="0" y="-1"/>
                  <wp:lineTo x="21588" y="-1"/>
                  <wp:lineTo x="21588" y="-1"/>
                  <wp:lineTo x="0" y="-1"/>
                </wp:wrapPolygon>
              </wp:wrapTight>
              <wp:docPr id="3" name="AutoShape 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743575" cy="0"/>
                      </a:xfrm>
                      <a:prstGeom prst="straightConnector1">
                        <a:avLst/>
                      </a:prstGeom>
                      <a:noFill/>
                      <a:ln w="19050">
                        <a:solidFill>
                          <a:schemeClr val="bg1">
                            <a:lumMod val="50000"/>
                            <a:lumOff val="0"/>
                          </a:schemeClr>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w:pict>
            <v:shapetype w14:anchorId="71EC7FE1" id="_x0000_t32" coordsize="21600,21600" o:spt="32" o:oned="t" path="m,l21600,21600e" filled="f">
              <v:path arrowok="t" fillok="f" o:connecttype="none"/>
              <o:lock v:ext="edit" shapetype="t"/>
            </v:shapetype>
            <v:shape id="AutoShape 2" o:spid="_x0000_s1026" type="#_x0000_t32" style="position:absolute;margin-left:0;margin-top:17.45pt;width:452.25pt;height:0;z-index:251661312;visibility:visible;mso-wrap-style:squar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" strokecolor="#7f7f7f [1612]" strokeweight="1.5pt">
              <w10:wrap type="tight" anchorx="margin"/>
            </v:shape>
          </w:pict>
        </mc:Fallback>
      </mc:AlternateContent>
    </w:r>
    <w:r>
      <w:rPr>
        <w:color w:val="808080" w:themeColor="background1" w:themeShade="80"/>
        <w:lang w:val="en-US"/>
      </w:rPr>
      <w:t xml:space="preserve">Pelzer and </w:t>
    </w:r>
    <w:proofErr w:type="spellStart"/>
    <w:r>
      <w:rPr>
        <w:color w:val="808080" w:themeColor="background1" w:themeShade="80"/>
        <w:lang w:val="en-US"/>
      </w:rPr>
      <w:t>Aschenberg</w:t>
    </w:r>
    <w:proofErr w:type="spellEnd"/>
    <w:r w:rsidRPr="00A8354C">
      <w:rPr>
        <w:color w:val="808080" w:themeColor="background1" w:themeShade="80"/>
        <w:lang w:val="en-US"/>
      </w:rPr>
      <w:t xml:space="preserve"> et al., </w:t>
    </w:r>
    <w:r>
      <w:rPr>
        <w:color w:val="808080" w:themeColor="background1" w:themeShade="80"/>
        <w:lang w:val="en-US"/>
      </w:rPr>
      <w:t>Supplementary Information</w:t>
    </w:r>
  </w:p>
  <w:p w14:paraId="7E306D1E" w14:textId="77777777" w:rsidR="008E5681" w:rsidRPr="00121835" w:rsidRDefault="008E5681">
    <w:pPr>
      <w:pStyle w:val="Kopfzeile"/>
      <w:rPr>
        <w:lang w:val="en-US"/>
      </w:rPr>
    </w:pPr>
  </w:p>
</w:hdr>
</file>

<file path=word/header2.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5665D7F" w14:textId="10E2598E" w:rsidR="008E5681" w:rsidRPr="00A8354C" w:rsidRDefault="008E5681" w:rsidP="00023519">
    <w:pPr>
      <w:pStyle w:val="Kopfzeile"/>
      <w:jc w:val="right"/>
      <w:rPr>
        <w:color w:val="808080" w:themeColor="background1" w:themeShade="80"/>
        <w:lang w:val="en-US"/>
      </w:rPr>
    </w:pPr>
    <w:r w:rsidRPr="00A8354C">
      <w:rPr>
        <w:rFonts w:ascii="Cambria Math" w:hAnsi="Cambria Math"/>
        <w:noProof/>
        <w:color w:val="808080" w:themeColor="background1" w:themeShade="80"/>
        <w:lang w:eastAsia="de-DE"/>
      </w:rPr>
      <mc:AlternateContent>
        <mc:Choice Requires="wps">
          <w:drawing>
            <wp:anchor distT="0" distB="0" distL="114300" distR="114300" simplePos="0" relativeHeight="251659264" behindDoc="0" locked="0" layoutInCell="1" allowOverlap="1" wp14:anchorId="231DCB0C" wp14:editId="49035324">
              <wp:simplePos x="0" y="0"/>
              <wp:positionH relativeFrom="margin">
                <wp:align>center</wp:align>
              </wp:positionH>
              <wp:positionV relativeFrom="paragraph">
                <wp:posOffset>221615</wp:posOffset>
              </wp:positionV>
              <wp:extent cx="5743575" cy="0"/>
              <wp:effectExtent l="0" t="0" r="22225" b="25400"/>
              <wp:wrapTight wrapText="bothSides">
                <wp:wrapPolygon edited="0">
                  <wp:start x="0" y="-1"/>
                  <wp:lineTo x="0" y="-1"/>
                  <wp:lineTo x="21588" y="-1"/>
                  <wp:lineTo x="21588" y="-1"/>
                  <wp:lineTo x="0" y="-1"/>
                </wp:wrapPolygon>
              </wp:wrapTight>
              <wp:docPr id="2" name="AutoShape 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743575" cy="0"/>
                      </a:xfrm>
                      <a:prstGeom prst="straightConnector1">
                        <a:avLst/>
                      </a:prstGeom>
                      <a:noFill/>
                      <a:ln w="19050">
                        <a:solidFill>
                          <a:schemeClr val="bg1">
                            <a:lumMod val="50000"/>
                            <a:lumOff val="0"/>
                          </a:schemeClr>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w:pict>
            <v:shapetype w14:anchorId="2773F250" id="_x0000_t32" coordsize="21600,21600" o:spt="32" o:oned="t" path="m,l21600,21600e" filled="f">
              <v:path arrowok="t" fillok="f" o:connecttype="none"/>
              <o:lock v:ext="edit" shapetype="t"/>
            </v:shapetype>
            <v:shape id="AutoShape 2" o:spid="_x0000_s1026" type="#_x0000_t32" style="position:absolute;margin-left:0;margin-top:17.45pt;width:452.25pt;height:0;z-index:251659264;visibility:visible;mso-wrap-style:squar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" strokecolor="#7f7f7f [1612]" strokeweight="1.5pt">
              <w10:wrap type="tight" anchorx="margin"/>
            </v:shape>
          </w:pict>
        </mc:Fallback>
      </mc:AlternateContent>
    </w:r>
    <w:r>
      <w:rPr>
        <w:color w:val="808080" w:themeColor="background1" w:themeShade="80"/>
        <w:lang w:val="en-US"/>
      </w:rPr>
      <w:t>Parkinson subtype delineation</w:t>
    </w:r>
    <w:r w:rsidRPr="00A8354C">
      <w:rPr>
        <w:color w:val="808080" w:themeColor="background1" w:themeShade="80"/>
        <w:lang w:val="en-US"/>
      </w:rPr>
      <w:t xml:space="preserve"> </w:t>
    </w:r>
  </w:p>
  <w:p w14:paraId="3F68EC4B" w14:textId="77777777" w:rsidR="008E5681" w:rsidRDefault="008E5681">
    <w:pPr>
      <w:pStyle w:val="Kopfzeile"/>
    </w:pP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33E91E41"/>
    <w:multiLevelType w:val="hybridMultilevel"/>
    <w:tmpl w:val="1CB0DBF2"/>
    <w:lvl w:ilvl="0" w:tplc="04070001">
      <w:start w:val="1"/>
      <w:numFmt w:val="bullet"/>
      <w:lvlText w:val=""/>
      <w:lvlJc w:val="left"/>
      <w:pPr>
        <w:ind w:left="720" w:hanging="360"/>
      </w:pPr>
      <w:rPr>
        <w:rFonts w:ascii="Symbol" w:hAnsi="Symbol" w:hint="default"/>
      </w:rPr>
    </w:lvl>
    <w:lvl w:ilvl="1" w:tplc="04070003">
      <w:start w:val="1"/>
      <w:numFmt w:val="bullet"/>
      <w:lvlText w:val="o"/>
      <w:lvlJc w:val="left"/>
      <w:pPr>
        <w:ind w:left="1440" w:hanging="360"/>
      </w:pPr>
      <w:rPr>
        <w:rFonts w:ascii="Courier New" w:hAnsi="Courier New" w:cs="Courier New" w:hint="default"/>
      </w:rPr>
    </w:lvl>
    <w:lvl w:ilvl="2" w:tplc="04070005">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
    <w:nsid w:val="70CA4367"/>
    <w:multiLevelType w:val="hybridMultilevel"/>
    <w:tmpl w:val="15384374"/>
    <w:lvl w:ilvl="0" w:tplc="04070001">
      <w:start w:val="1"/>
      <w:numFmt w:val="bullet"/>
      <w:lvlText w:val=""/>
      <w:lvlJc w:val="left"/>
      <w:pPr>
        <w:ind w:left="720" w:hanging="360"/>
      </w:pPr>
      <w:rPr>
        <w:rFonts w:ascii="Symbol" w:hAnsi="Symbol" w:hint="default"/>
      </w:rPr>
    </w:lvl>
    <w:lvl w:ilvl="1" w:tplc="04070003">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08"/>
  <w:hyphenationZone w:val="425"/>
  <w:evenAndOddHeaders/>
  <w:characterSpacingControl w:val="doNotCompres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EN.InstantFormat" w:val="&lt;ENInstantFormat&gt;&lt;Enabled&gt;1&lt;/Enabled&gt;&lt;ScanUnformatted&gt;1&lt;/ScanUnformatted&gt;&lt;ScanChanges&gt;1&lt;/ScanChanges&gt;&lt;Suspended&gt;0&lt;/Suspended&gt;&lt;/ENInstantFormat&gt;"/>
    <w:docVar w:name="EN.Layout" w:val="&lt;ENLayout&gt;&lt;Style&gt;Nature Medicine&lt;/Style&gt;&lt;LeftDelim&gt;{&lt;/LeftDelim&gt;&lt;RightDelim&gt;}&lt;/RightDelim&gt;&lt;FontName&gt;Cambria&lt;/FontName&gt;&lt;FontSize&gt;11&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9peve9f2n0ea9uetr94xa908dtswtxxzsdwa&quot;&gt;Cluster_Analysis&lt;record-ids&gt;&lt;item&gt;1&lt;/item&gt;&lt;item&gt;5&lt;/item&gt;&lt;item&gt;15&lt;/item&gt;&lt;item&gt;16&lt;/item&gt;&lt;item&gt;17&lt;/item&gt;&lt;item&gt;18&lt;/item&gt;&lt;item&gt;37&lt;/item&gt;&lt;item&gt;38&lt;/item&gt;&lt;/record-ids&gt;&lt;/item&gt;&lt;/Libraries&gt;"/>
  </w:docVars>
  <w:rsids>
    <w:rsidRoot w:val="00CF5339"/>
    <w:rsid w:val="00006AA6"/>
    <w:rsid w:val="000132DB"/>
    <w:rsid w:val="00014492"/>
    <w:rsid w:val="00022718"/>
    <w:rsid w:val="00023519"/>
    <w:rsid w:val="0002451E"/>
    <w:rsid w:val="0004118C"/>
    <w:rsid w:val="00041E0C"/>
    <w:rsid w:val="00042A88"/>
    <w:rsid w:val="00046833"/>
    <w:rsid w:val="00047E36"/>
    <w:rsid w:val="000571C4"/>
    <w:rsid w:val="00057372"/>
    <w:rsid w:val="000664B4"/>
    <w:rsid w:val="0008069E"/>
    <w:rsid w:val="00081C17"/>
    <w:rsid w:val="000A40FD"/>
    <w:rsid w:val="000A50E5"/>
    <w:rsid w:val="000C3220"/>
    <w:rsid w:val="000C7927"/>
    <w:rsid w:val="000E710E"/>
    <w:rsid w:val="0010557E"/>
    <w:rsid w:val="00111F9C"/>
    <w:rsid w:val="001128FD"/>
    <w:rsid w:val="00121835"/>
    <w:rsid w:val="00124101"/>
    <w:rsid w:val="001321EF"/>
    <w:rsid w:val="00132E58"/>
    <w:rsid w:val="00152059"/>
    <w:rsid w:val="001546BA"/>
    <w:rsid w:val="00156B6A"/>
    <w:rsid w:val="0016621B"/>
    <w:rsid w:val="001670FF"/>
    <w:rsid w:val="0017578E"/>
    <w:rsid w:val="0018569A"/>
    <w:rsid w:val="001959EA"/>
    <w:rsid w:val="001C23EB"/>
    <w:rsid w:val="001C5415"/>
    <w:rsid w:val="001C76DD"/>
    <w:rsid w:val="001E172A"/>
    <w:rsid w:val="001E42A3"/>
    <w:rsid w:val="001E714F"/>
    <w:rsid w:val="0021618B"/>
    <w:rsid w:val="00222BC3"/>
    <w:rsid w:val="00230C0F"/>
    <w:rsid w:val="00232FE2"/>
    <w:rsid w:val="00240F37"/>
    <w:rsid w:val="0024258C"/>
    <w:rsid w:val="00242F55"/>
    <w:rsid w:val="00245F72"/>
    <w:rsid w:val="002529B4"/>
    <w:rsid w:val="00254BF9"/>
    <w:rsid w:val="0026533E"/>
    <w:rsid w:val="00266C9D"/>
    <w:rsid w:val="002A6512"/>
    <w:rsid w:val="002C38D4"/>
    <w:rsid w:val="002D1F73"/>
    <w:rsid w:val="002D3696"/>
    <w:rsid w:val="002E25CB"/>
    <w:rsid w:val="002E664C"/>
    <w:rsid w:val="002F2E39"/>
    <w:rsid w:val="00305D13"/>
    <w:rsid w:val="0031323B"/>
    <w:rsid w:val="00315455"/>
    <w:rsid w:val="00345DF6"/>
    <w:rsid w:val="00363F19"/>
    <w:rsid w:val="00372993"/>
    <w:rsid w:val="00375267"/>
    <w:rsid w:val="003838F6"/>
    <w:rsid w:val="003B6123"/>
    <w:rsid w:val="003C6001"/>
    <w:rsid w:val="00474B54"/>
    <w:rsid w:val="00486164"/>
    <w:rsid w:val="004A1C59"/>
    <w:rsid w:val="004A7400"/>
    <w:rsid w:val="004C6431"/>
    <w:rsid w:val="004C7A0B"/>
    <w:rsid w:val="004F6FBE"/>
    <w:rsid w:val="00505BAD"/>
    <w:rsid w:val="00515538"/>
    <w:rsid w:val="00516E6C"/>
    <w:rsid w:val="005317A9"/>
    <w:rsid w:val="005325E0"/>
    <w:rsid w:val="005372C9"/>
    <w:rsid w:val="00552250"/>
    <w:rsid w:val="00553AA1"/>
    <w:rsid w:val="00565265"/>
    <w:rsid w:val="005757F5"/>
    <w:rsid w:val="0058402A"/>
    <w:rsid w:val="0059298C"/>
    <w:rsid w:val="005A6497"/>
    <w:rsid w:val="005B08E2"/>
    <w:rsid w:val="005E0077"/>
    <w:rsid w:val="005E2A1F"/>
    <w:rsid w:val="005F04E4"/>
    <w:rsid w:val="005F1908"/>
    <w:rsid w:val="00624B94"/>
    <w:rsid w:val="0063303C"/>
    <w:rsid w:val="00635FC0"/>
    <w:rsid w:val="0063776F"/>
    <w:rsid w:val="00646BAE"/>
    <w:rsid w:val="00646D9A"/>
    <w:rsid w:val="006B3522"/>
    <w:rsid w:val="006B73D4"/>
    <w:rsid w:val="006C2182"/>
    <w:rsid w:val="006E1EA7"/>
    <w:rsid w:val="006E4026"/>
    <w:rsid w:val="00736E6E"/>
    <w:rsid w:val="00743B06"/>
    <w:rsid w:val="007665D6"/>
    <w:rsid w:val="00767BC5"/>
    <w:rsid w:val="00773B6A"/>
    <w:rsid w:val="007812A3"/>
    <w:rsid w:val="007819A2"/>
    <w:rsid w:val="007857DF"/>
    <w:rsid w:val="007A034A"/>
    <w:rsid w:val="007B6C8E"/>
    <w:rsid w:val="007C73AF"/>
    <w:rsid w:val="007D7AC2"/>
    <w:rsid w:val="007F5A26"/>
    <w:rsid w:val="00802558"/>
    <w:rsid w:val="00811554"/>
    <w:rsid w:val="00812484"/>
    <w:rsid w:val="0081768A"/>
    <w:rsid w:val="00823BE7"/>
    <w:rsid w:val="008277D7"/>
    <w:rsid w:val="0083044F"/>
    <w:rsid w:val="008465F4"/>
    <w:rsid w:val="008676C1"/>
    <w:rsid w:val="00870D91"/>
    <w:rsid w:val="008815A0"/>
    <w:rsid w:val="00883D11"/>
    <w:rsid w:val="008B6D78"/>
    <w:rsid w:val="008D3B48"/>
    <w:rsid w:val="008D3FAE"/>
    <w:rsid w:val="008D4032"/>
    <w:rsid w:val="008E0124"/>
    <w:rsid w:val="008E5681"/>
    <w:rsid w:val="008F112E"/>
    <w:rsid w:val="00911E4F"/>
    <w:rsid w:val="00916A75"/>
    <w:rsid w:val="0094084C"/>
    <w:rsid w:val="00943B5D"/>
    <w:rsid w:val="009561ED"/>
    <w:rsid w:val="00966BF1"/>
    <w:rsid w:val="00970772"/>
    <w:rsid w:val="00975719"/>
    <w:rsid w:val="009E794F"/>
    <w:rsid w:val="009F3A86"/>
    <w:rsid w:val="00A0300B"/>
    <w:rsid w:val="00A20199"/>
    <w:rsid w:val="00A31107"/>
    <w:rsid w:val="00A3153C"/>
    <w:rsid w:val="00A3314C"/>
    <w:rsid w:val="00A33C13"/>
    <w:rsid w:val="00A849DA"/>
    <w:rsid w:val="00A962F7"/>
    <w:rsid w:val="00AA3AE5"/>
    <w:rsid w:val="00AA57B5"/>
    <w:rsid w:val="00AB0E91"/>
    <w:rsid w:val="00AC09C6"/>
    <w:rsid w:val="00AC1A36"/>
    <w:rsid w:val="00AC4124"/>
    <w:rsid w:val="00AD3916"/>
    <w:rsid w:val="00AF4D91"/>
    <w:rsid w:val="00B00549"/>
    <w:rsid w:val="00B07FF6"/>
    <w:rsid w:val="00B13B36"/>
    <w:rsid w:val="00B3281C"/>
    <w:rsid w:val="00B33715"/>
    <w:rsid w:val="00B43BEF"/>
    <w:rsid w:val="00B44120"/>
    <w:rsid w:val="00B54474"/>
    <w:rsid w:val="00B547D5"/>
    <w:rsid w:val="00B5652D"/>
    <w:rsid w:val="00B8152C"/>
    <w:rsid w:val="00B91728"/>
    <w:rsid w:val="00BA04D5"/>
    <w:rsid w:val="00BA48D6"/>
    <w:rsid w:val="00BB44FE"/>
    <w:rsid w:val="00BC4ED2"/>
    <w:rsid w:val="00BD5A64"/>
    <w:rsid w:val="00C11B82"/>
    <w:rsid w:val="00C13678"/>
    <w:rsid w:val="00C227B8"/>
    <w:rsid w:val="00C24493"/>
    <w:rsid w:val="00C40822"/>
    <w:rsid w:val="00C44BD1"/>
    <w:rsid w:val="00C46342"/>
    <w:rsid w:val="00C508F3"/>
    <w:rsid w:val="00C60748"/>
    <w:rsid w:val="00C710EC"/>
    <w:rsid w:val="00C7682C"/>
    <w:rsid w:val="00C87745"/>
    <w:rsid w:val="00CA215A"/>
    <w:rsid w:val="00CF5339"/>
    <w:rsid w:val="00D135F3"/>
    <w:rsid w:val="00D1665D"/>
    <w:rsid w:val="00D279CA"/>
    <w:rsid w:val="00D3753A"/>
    <w:rsid w:val="00D40903"/>
    <w:rsid w:val="00D539CB"/>
    <w:rsid w:val="00D60CDA"/>
    <w:rsid w:val="00D614B7"/>
    <w:rsid w:val="00D71D9E"/>
    <w:rsid w:val="00D71E7C"/>
    <w:rsid w:val="00D90FDE"/>
    <w:rsid w:val="00D935CA"/>
    <w:rsid w:val="00D93E0D"/>
    <w:rsid w:val="00DA0DD5"/>
    <w:rsid w:val="00DA469D"/>
    <w:rsid w:val="00DB03F5"/>
    <w:rsid w:val="00DB242C"/>
    <w:rsid w:val="00DB6A0F"/>
    <w:rsid w:val="00DD0417"/>
    <w:rsid w:val="00DE2B8A"/>
    <w:rsid w:val="00DE5117"/>
    <w:rsid w:val="00E0459E"/>
    <w:rsid w:val="00E05451"/>
    <w:rsid w:val="00E07A8D"/>
    <w:rsid w:val="00E24ACC"/>
    <w:rsid w:val="00E27117"/>
    <w:rsid w:val="00E41B69"/>
    <w:rsid w:val="00E5274E"/>
    <w:rsid w:val="00E630D5"/>
    <w:rsid w:val="00E74A3F"/>
    <w:rsid w:val="00E901D0"/>
    <w:rsid w:val="00E92A87"/>
    <w:rsid w:val="00EA07D9"/>
    <w:rsid w:val="00EE6EC0"/>
    <w:rsid w:val="00F032DA"/>
    <w:rsid w:val="00F049BE"/>
    <w:rsid w:val="00F05674"/>
    <w:rsid w:val="00F26202"/>
    <w:rsid w:val="00F27D45"/>
    <w:rsid w:val="00F36FAA"/>
    <w:rsid w:val="00F41885"/>
    <w:rsid w:val="00F50D8C"/>
    <w:rsid w:val="00F51E15"/>
    <w:rsid w:val="00F5628B"/>
    <w:rsid w:val="00F736B7"/>
    <w:rsid w:val="00F74587"/>
    <w:rsid w:val="00F87969"/>
    <w:rsid w:val="00F960F3"/>
    <w:rsid w:val="00F96301"/>
    <w:rsid w:val="00FA2B33"/>
    <w:rsid w:val="00FA6EFE"/>
    <w:rsid w:val="00FD139F"/>
    <w:rsid w:val="00FE6B88"/>
    <w:rsid w:val="00FF4908"/>
  </w:rsids>
  <m:mathPr>
    <m:mathFont m:val="Cambria Math"/>
    <m:brkBin m:val="before"/>
    <m:brkBinSub m:val="--"/>
    <m:smallFrac m:val="0"/>
    <m:dispDef/>
    <m:lMargin m:val="0"/>
    <m:rMargin m:val="0"/>
    <m:defJc m:val="centerGroup"/>
    <m:wrapIndent m:val="1440"/>
    <m:intLim m:val="subSup"/>
    <m:naryLim m:val="undOvr"/>
  </m:mathPr>
  <w:themeFontLang w:val="de-DE"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78F05AAD"/>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de-DE" w:eastAsia="de-DE"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Note Level 1" w:semiHidden="0" w:unhideWhenUsed="0"/>
    <w:lsdException w:name="Note Level 2" w:semiHidden="0" w:unhideWhenUsed="0"/>
    <w:lsdException w:name="Note Level 3" w:semiHidden="0" w:unhideWhenUsed="0"/>
    <w:lsdException w:name="Note Level 4" w:semiHidden="0" w:unhideWhenUsed="0"/>
    <w:lsdException w:name="Note Level 5" w:semiHidden="0" w:unhideWhenUsed="0"/>
    <w:lsdException w:name="Note Level 6" w:semiHidden="0" w:unhideWhenUsed="0"/>
    <w:lsdException w:name="Note Level 7" w:semiHidden="0" w:unhideWhenUsed="0"/>
    <w:lsdException w:name="Note Level 8" w:semiHidden="0" w:unhideWhenUsed="0"/>
    <w:lsdException w:name="Note Level 9"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rd">
    <w:name w:val="Normal"/>
    <w:qFormat/>
    <w:rsid w:val="00CF5339"/>
    <w:pPr>
      <w:spacing w:after="200" w:line="276" w:lineRule="auto"/>
    </w:pPr>
    <w:rPr>
      <w:rFonts w:eastAsiaTheme="minorHAnsi"/>
      <w:sz w:val="22"/>
      <w:szCs w:val="22"/>
      <w:lang w:eastAsia="en-US"/>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KeinLeerraum">
    <w:name w:val="No Spacing"/>
    <w:uiPriority w:val="1"/>
    <w:qFormat/>
    <w:rsid w:val="00CF5339"/>
    <w:rPr>
      <w:rFonts w:eastAsiaTheme="minorHAnsi"/>
      <w:sz w:val="22"/>
      <w:szCs w:val="22"/>
      <w:lang w:eastAsia="en-US"/>
    </w:rPr>
  </w:style>
  <w:style w:type="table" w:styleId="Tabellenraster">
    <w:name w:val="Table Grid"/>
    <w:basedOn w:val="NormaleTabelle"/>
    <w:uiPriority w:val="59"/>
    <w:rsid w:val="00CF5339"/>
    <w:rPr>
      <w:rFonts w:eastAsiaTheme="minorHAnsi"/>
      <w:sz w:val="22"/>
      <w:szCs w:val="22"/>
      <w:lang w:eastAsia="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Kommentarzeichen">
    <w:name w:val="annotation reference"/>
    <w:basedOn w:val="Absatzstandardschriftart"/>
    <w:uiPriority w:val="99"/>
    <w:semiHidden/>
    <w:unhideWhenUsed/>
    <w:rsid w:val="00CF5339"/>
    <w:rPr>
      <w:sz w:val="16"/>
      <w:szCs w:val="16"/>
    </w:rPr>
  </w:style>
  <w:style w:type="paragraph" w:styleId="Kommentartext">
    <w:name w:val="annotation text"/>
    <w:basedOn w:val="Standard"/>
    <w:link w:val="KommentartextZeichen"/>
    <w:uiPriority w:val="99"/>
    <w:unhideWhenUsed/>
    <w:rsid w:val="00CF5339"/>
    <w:pPr>
      <w:spacing w:line="240" w:lineRule="auto"/>
    </w:pPr>
    <w:rPr>
      <w:sz w:val="20"/>
      <w:szCs w:val="20"/>
    </w:rPr>
  </w:style>
  <w:style w:type="character" w:customStyle="1" w:styleId="KommentartextZeichen">
    <w:name w:val="Kommentartext Zeichen"/>
    <w:basedOn w:val="Absatzstandardschriftart"/>
    <w:link w:val="Kommentartext"/>
    <w:uiPriority w:val="99"/>
    <w:rsid w:val="00CF5339"/>
    <w:rPr>
      <w:rFonts w:eastAsiaTheme="minorHAnsi"/>
      <w:sz w:val="20"/>
      <w:szCs w:val="20"/>
      <w:lang w:eastAsia="en-US"/>
    </w:rPr>
  </w:style>
  <w:style w:type="paragraph" w:styleId="Sprechblasentext">
    <w:name w:val="Balloon Text"/>
    <w:basedOn w:val="Standard"/>
    <w:link w:val="SprechblasentextZeichen"/>
    <w:uiPriority w:val="99"/>
    <w:semiHidden/>
    <w:unhideWhenUsed/>
    <w:rsid w:val="00CF5339"/>
    <w:pPr>
      <w:spacing w:after="0" w:line="240" w:lineRule="auto"/>
    </w:pPr>
    <w:rPr>
      <w:rFonts w:ascii="Lucida Grande" w:hAnsi="Lucida Grande" w:cs="Lucida Grande"/>
      <w:sz w:val="18"/>
      <w:szCs w:val="18"/>
    </w:rPr>
  </w:style>
  <w:style w:type="character" w:customStyle="1" w:styleId="SprechblasentextZeichen">
    <w:name w:val="Sprechblasentext Zeichen"/>
    <w:basedOn w:val="Absatzstandardschriftart"/>
    <w:link w:val="Sprechblasentext"/>
    <w:uiPriority w:val="99"/>
    <w:semiHidden/>
    <w:rsid w:val="00CF5339"/>
    <w:rPr>
      <w:rFonts w:ascii="Lucida Grande" w:eastAsiaTheme="minorHAnsi" w:hAnsi="Lucida Grande" w:cs="Lucida Grande"/>
      <w:sz w:val="18"/>
      <w:szCs w:val="18"/>
      <w:lang w:eastAsia="en-US"/>
    </w:rPr>
  </w:style>
  <w:style w:type="paragraph" w:styleId="Fuzeile">
    <w:name w:val="footer"/>
    <w:basedOn w:val="Standard"/>
    <w:link w:val="FuzeileZeichen"/>
    <w:uiPriority w:val="99"/>
    <w:unhideWhenUsed/>
    <w:rsid w:val="00023519"/>
    <w:pPr>
      <w:tabs>
        <w:tab w:val="center" w:pos="4536"/>
        <w:tab w:val="right" w:pos="9072"/>
      </w:tabs>
      <w:spacing w:after="0" w:line="240" w:lineRule="auto"/>
    </w:pPr>
  </w:style>
  <w:style w:type="character" w:customStyle="1" w:styleId="FuzeileZeichen">
    <w:name w:val="Fußzeile Zeichen"/>
    <w:basedOn w:val="Absatzstandardschriftart"/>
    <w:link w:val="Fuzeile"/>
    <w:uiPriority w:val="99"/>
    <w:rsid w:val="00023519"/>
    <w:rPr>
      <w:rFonts w:eastAsiaTheme="minorHAnsi"/>
      <w:sz w:val="22"/>
      <w:szCs w:val="22"/>
      <w:lang w:eastAsia="en-US"/>
    </w:rPr>
  </w:style>
  <w:style w:type="character" w:styleId="Seitenzahl">
    <w:name w:val="page number"/>
    <w:basedOn w:val="Absatzstandardschriftart"/>
    <w:uiPriority w:val="99"/>
    <w:semiHidden/>
    <w:unhideWhenUsed/>
    <w:rsid w:val="00023519"/>
  </w:style>
  <w:style w:type="paragraph" w:styleId="Kopfzeile">
    <w:name w:val="header"/>
    <w:basedOn w:val="Standard"/>
    <w:link w:val="KopfzeileZeichen"/>
    <w:uiPriority w:val="99"/>
    <w:unhideWhenUsed/>
    <w:rsid w:val="00023519"/>
    <w:pPr>
      <w:tabs>
        <w:tab w:val="center" w:pos="4536"/>
        <w:tab w:val="right" w:pos="9072"/>
      </w:tabs>
      <w:spacing w:after="0" w:line="240" w:lineRule="auto"/>
    </w:pPr>
  </w:style>
  <w:style w:type="character" w:customStyle="1" w:styleId="KopfzeileZeichen">
    <w:name w:val="Kopfzeile Zeichen"/>
    <w:basedOn w:val="Absatzstandardschriftart"/>
    <w:link w:val="Kopfzeile"/>
    <w:uiPriority w:val="99"/>
    <w:rsid w:val="00023519"/>
    <w:rPr>
      <w:rFonts w:eastAsiaTheme="minorHAnsi"/>
      <w:sz w:val="22"/>
      <w:szCs w:val="22"/>
      <w:lang w:eastAsia="en-US"/>
    </w:rPr>
  </w:style>
  <w:style w:type="paragraph" w:styleId="Listenabsatz">
    <w:name w:val="List Paragraph"/>
    <w:basedOn w:val="Standard"/>
    <w:link w:val="ListenabsatzZeichen"/>
    <w:uiPriority w:val="34"/>
    <w:qFormat/>
    <w:rsid w:val="00D71D9E"/>
    <w:pPr>
      <w:ind w:left="720"/>
      <w:contextualSpacing/>
    </w:pPr>
  </w:style>
  <w:style w:type="character" w:customStyle="1" w:styleId="ListenabsatzZeichen">
    <w:name w:val="Listenabsatz Zeichen"/>
    <w:basedOn w:val="Absatzstandardschriftart"/>
    <w:link w:val="Listenabsatz"/>
    <w:uiPriority w:val="34"/>
    <w:rsid w:val="00D71D9E"/>
    <w:rPr>
      <w:rFonts w:eastAsiaTheme="minorHAnsi"/>
      <w:sz w:val="22"/>
      <w:szCs w:val="22"/>
      <w:lang w:eastAsia="en-US"/>
    </w:rPr>
  </w:style>
  <w:style w:type="character" w:styleId="Platzhaltertext">
    <w:name w:val="Placeholder Text"/>
    <w:basedOn w:val="Absatzstandardschriftart"/>
    <w:uiPriority w:val="99"/>
    <w:semiHidden/>
    <w:rsid w:val="00B43BEF"/>
    <w:rPr>
      <w:color w:val="808080"/>
    </w:rPr>
  </w:style>
  <w:style w:type="character" w:styleId="Link">
    <w:name w:val="Hyperlink"/>
    <w:basedOn w:val="Absatzstandardschriftart"/>
    <w:uiPriority w:val="99"/>
    <w:unhideWhenUsed/>
    <w:rsid w:val="004C6431"/>
    <w:rPr>
      <w:color w:val="0000FF" w:themeColor="hyperlink"/>
      <w:u w:val="single"/>
    </w:rPr>
  </w:style>
  <w:style w:type="paragraph" w:styleId="Kommentarthema">
    <w:name w:val="annotation subject"/>
    <w:basedOn w:val="Kommentartext"/>
    <w:next w:val="Kommentartext"/>
    <w:link w:val="KommentarthemaZeichen"/>
    <w:uiPriority w:val="99"/>
    <w:semiHidden/>
    <w:unhideWhenUsed/>
    <w:rsid w:val="004C6431"/>
    <w:rPr>
      <w:b/>
      <w:bCs/>
    </w:rPr>
  </w:style>
  <w:style w:type="character" w:customStyle="1" w:styleId="KommentarthemaZeichen">
    <w:name w:val="Kommentarthema Zeichen"/>
    <w:basedOn w:val="KommentartextZeichen"/>
    <w:link w:val="Kommentarthema"/>
    <w:uiPriority w:val="99"/>
    <w:semiHidden/>
    <w:rsid w:val="004C6431"/>
    <w:rPr>
      <w:rFonts w:eastAsiaTheme="minorHAnsi"/>
      <w:b/>
      <w:bCs/>
      <w:sz w:val="20"/>
      <w:szCs w:val="20"/>
      <w:lang w:eastAsia="en-US"/>
    </w:rPr>
  </w:style>
  <w:style w:type="paragraph" w:customStyle="1" w:styleId="EndNoteBibliographyTitle">
    <w:name w:val="EndNote Bibliography Title"/>
    <w:basedOn w:val="Standard"/>
    <w:rsid w:val="00646BAE"/>
    <w:pPr>
      <w:spacing w:after="0"/>
      <w:jc w:val="center"/>
    </w:pPr>
    <w:rPr>
      <w:rFonts w:ascii="Cambria" w:hAnsi="Cambria"/>
      <w:lang w:val="en-US"/>
    </w:rPr>
  </w:style>
  <w:style w:type="paragraph" w:customStyle="1" w:styleId="EndNoteBibliography">
    <w:name w:val="EndNote Bibliography"/>
    <w:basedOn w:val="Standard"/>
    <w:rsid w:val="00646BAE"/>
    <w:pPr>
      <w:spacing w:line="240" w:lineRule="auto"/>
    </w:pPr>
    <w:rPr>
      <w:rFonts w:ascii="Cambria" w:hAnsi="Cambria"/>
      <w:lang w:val="en-US"/>
    </w:rPr>
  </w:style>
  <w:style w:type="paragraph" w:styleId="Bearbeitung">
    <w:name w:val="Revision"/>
    <w:hidden/>
    <w:uiPriority w:val="99"/>
    <w:semiHidden/>
    <w:rsid w:val="00F41885"/>
    <w:rPr>
      <w:rFonts w:eastAsiaTheme="minorHAnsi"/>
      <w:sz w:val="22"/>
      <w:szCs w:val="22"/>
      <w:lang w:eastAsia="en-US"/>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de-DE" w:eastAsia="de-DE"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Note Level 1" w:semiHidden="0" w:unhideWhenUsed="0"/>
    <w:lsdException w:name="Note Level 2" w:semiHidden="0" w:unhideWhenUsed="0"/>
    <w:lsdException w:name="Note Level 3" w:semiHidden="0" w:unhideWhenUsed="0"/>
    <w:lsdException w:name="Note Level 4" w:semiHidden="0" w:unhideWhenUsed="0"/>
    <w:lsdException w:name="Note Level 5" w:semiHidden="0" w:unhideWhenUsed="0"/>
    <w:lsdException w:name="Note Level 6" w:semiHidden="0" w:unhideWhenUsed="0"/>
    <w:lsdException w:name="Note Level 7" w:semiHidden="0" w:unhideWhenUsed="0"/>
    <w:lsdException w:name="Note Level 8" w:semiHidden="0" w:unhideWhenUsed="0"/>
    <w:lsdException w:name="Note Level 9"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rd">
    <w:name w:val="Normal"/>
    <w:qFormat/>
    <w:rsid w:val="00CF5339"/>
    <w:pPr>
      <w:spacing w:after="200" w:line="276" w:lineRule="auto"/>
    </w:pPr>
    <w:rPr>
      <w:rFonts w:eastAsiaTheme="minorHAnsi"/>
      <w:sz w:val="22"/>
      <w:szCs w:val="22"/>
      <w:lang w:eastAsia="en-US"/>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KeinLeerraum">
    <w:name w:val="No Spacing"/>
    <w:uiPriority w:val="1"/>
    <w:qFormat/>
    <w:rsid w:val="00CF5339"/>
    <w:rPr>
      <w:rFonts w:eastAsiaTheme="minorHAnsi"/>
      <w:sz w:val="22"/>
      <w:szCs w:val="22"/>
      <w:lang w:eastAsia="en-US"/>
    </w:rPr>
  </w:style>
  <w:style w:type="table" w:styleId="Tabellenraster">
    <w:name w:val="Table Grid"/>
    <w:basedOn w:val="NormaleTabelle"/>
    <w:uiPriority w:val="59"/>
    <w:rsid w:val="00CF5339"/>
    <w:rPr>
      <w:rFonts w:eastAsiaTheme="minorHAnsi"/>
      <w:sz w:val="22"/>
      <w:szCs w:val="22"/>
      <w:lang w:eastAsia="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Kommentarzeichen">
    <w:name w:val="annotation reference"/>
    <w:basedOn w:val="Absatzstandardschriftart"/>
    <w:uiPriority w:val="99"/>
    <w:semiHidden/>
    <w:unhideWhenUsed/>
    <w:rsid w:val="00CF5339"/>
    <w:rPr>
      <w:sz w:val="16"/>
      <w:szCs w:val="16"/>
    </w:rPr>
  </w:style>
  <w:style w:type="paragraph" w:styleId="Kommentartext">
    <w:name w:val="annotation text"/>
    <w:basedOn w:val="Standard"/>
    <w:link w:val="KommentartextZeichen"/>
    <w:uiPriority w:val="99"/>
    <w:unhideWhenUsed/>
    <w:rsid w:val="00CF5339"/>
    <w:pPr>
      <w:spacing w:line="240" w:lineRule="auto"/>
    </w:pPr>
    <w:rPr>
      <w:sz w:val="20"/>
      <w:szCs w:val="20"/>
    </w:rPr>
  </w:style>
  <w:style w:type="character" w:customStyle="1" w:styleId="KommentartextZeichen">
    <w:name w:val="Kommentartext Zeichen"/>
    <w:basedOn w:val="Absatzstandardschriftart"/>
    <w:link w:val="Kommentartext"/>
    <w:uiPriority w:val="99"/>
    <w:rsid w:val="00CF5339"/>
    <w:rPr>
      <w:rFonts w:eastAsiaTheme="minorHAnsi"/>
      <w:sz w:val="20"/>
      <w:szCs w:val="20"/>
      <w:lang w:eastAsia="en-US"/>
    </w:rPr>
  </w:style>
  <w:style w:type="paragraph" w:styleId="Sprechblasentext">
    <w:name w:val="Balloon Text"/>
    <w:basedOn w:val="Standard"/>
    <w:link w:val="SprechblasentextZeichen"/>
    <w:uiPriority w:val="99"/>
    <w:semiHidden/>
    <w:unhideWhenUsed/>
    <w:rsid w:val="00CF5339"/>
    <w:pPr>
      <w:spacing w:after="0" w:line="240" w:lineRule="auto"/>
    </w:pPr>
    <w:rPr>
      <w:rFonts w:ascii="Lucida Grande" w:hAnsi="Lucida Grande" w:cs="Lucida Grande"/>
      <w:sz w:val="18"/>
      <w:szCs w:val="18"/>
    </w:rPr>
  </w:style>
  <w:style w:type="character" w:customStyle="1" w:styleId="SprechblasentextZeichen">
    <w:name w:val="Sprechblasentext Zeichen"/>
    <w:basedOn w:val="Absatzstandardschriftart"/>
    <w:link w:val="Sprechblasentext"/>
    <w:uiPriority w:val="99"/>
    <w:semiHidden/>
    <w:rsid w:val="00CF5339"/>
    <w:rPr>
      <w:rFonts w:ascii="Lucida Grande" w:eastAsiaTheme="minorHAnsi" w:hAnsi="Lucida Grande" w:cs="Lucida Grande"/>
      <w:sz w:val="18"/>
      <w:szCs w:val="18"/>
      <w:lang w:eastAsia="en-US"/>
    </w:rPr>
  </w:style>
  <w:style w:type="paragraph" w:styleId="Fuzeile">
    <w:name w:val="footer"/>
    <w:basedOn w:val="Standard"/>
    <w:link w:val="FuzeileZeichen"/>
    <w:uiPriority w:val="99"/>
    <w:unhideWhenUsed/>
    <w:rsid w:val="00023519"/>
    <w:pPr>
      <w:tabs>
        <w:tab w:val="center" w:pos="4536"/>
        <w:tab w:val="right" w:pos="9072"/>
      </w:tabs>
      <w:spacing w:after="0" w:line="240" w:lineRule="auto"/>
    </w:pPr>
  </w:style>
  <w:style w:type="character" w:customStyle="1" w:styleId="FuzeileZeichen">
    <w:name w:val="Fußzeile Zeichen"/>
    <w:basedOn w:val="Absatzstandardschriftart"/>
    <w:link w:val="Fuzeile"/>
    <w:uiPriority w:val="99"/>
    <w:rsid w:val="00023519"/>
    <w:rPr>
      <w:rFonts w:eastAsiaTheme="minorHAnsi"/>
      <w:sz w:val="22"/>
      <w:szCs w:val="22"/>
      <w:lang w:eastAsia="en-US"/>
    </w:rPr>
  </w:style>
  <w:style w:type="character" w:styleId="Seitenzahl">
    <w:name w:val="page number"/>
    <w:basedOn w:val="Absatzstandardschriftart"/>
    <w:uiPriority w:val="99"/>
    <w:semiHidden/>
    <w:unhideWhenUsed/>
    <w:rsid w:val="00023519"/>
  </w:style>
  <w:style w:type="paragraph" w:styleId="Kopfzeile">
    <w:name w:val="header"/>
    <w:basedOn w:val="Standard"/>
    <w:link w:val="KopfzeileZeichen"/>
    <w:uiPriority w:val="99"/>
    <w:unhideWhenUsed/>
    <w:rsid w:val="00023519"/>
    <w:pPr>
      <w:tabs>
        <w:tab w:val="center" w:pos="4536"/>
        <w:tab w:val="right" w:pos="9072"/>
      </w:tabs>
      <w:spacing w:after="0" w:line="240" w:lineRule="auto"/>
    </w:pPr>
  </w:style>
  <w:style w:type="character" w:customStyle="1" w:styleId="KopfzeileZeichen">
    <w:name w:val="Kopfzeile Zeichen"/>
    <w:basedOn w:val="Absatzstandardschriftart"/>
    <w:link w:val="Kopfzeile"/>
    <w:uiPriority w:val="99"/>
    <w:rsid w:val="00023519"/>
    <w:rPr>
      <w:rFonts w:eastAsiaTheme="minorHAnsi"/>
      <w:sz w:val="22"/>
      <w:szCs w:val="22"/>
      <w:lang w:eastAsia="en-US"/>
    </w:rPr>
  </w:style>
  <w:style w:type="paragraph" w:styleId="Listenabsatz">
    <w:name w:val="List Paragraph"/>
    <w:basedOn w:val="Standard"/>
    <w:link w:val="ListenabsatzZeichen"/>
    <w:uiPriority w:val="34"/>
    <w:qFormat/>
    <w:rsid w:val="00D71D9E"/>
    <w:pPr>
      <w:ind w:left="720"/>
      <w:contextualSpacing/>
    </w:pPr>
  </w:style>
  <w:style w:type="character" w:customStyle="1" w:styleId="ListenabsatzZeichen">
    <w:name w:val="Listenabsatz Zeichen"/>
    <w:basedOn w:val="Absatzstandardschriftart"/>
    <w:link w:val="Listenabsatz"/>
    <w:uiPriority w:val="34"/>
    <w:rsid w:val="00D71D9E"/>
    <w:rPr>
      <w:rFonts w:eastAsiaTheme="minorHAnsi"/>
      <w:sz w:val="22"/>
      <w:szCs w:val="22"/>
      <w:lang w:eastAsia="en-US"/>
    </w:rPr>
  </w:style>
  <w:style w:type="character" w:styleId="Platzhaltertext">
    <w:name w:val="Placeholder Text"/>
    <w:basedOn w:val="Absatzstandardschriftart"/>
    <w:uiPriority w:val="99"/>
    <w:semiHidden/>
    <w:rsid w:val="00B43BEF"/>
    <w:rPr>
      <w:color w:val="808080"/>
    </w:rPr>
  </w:style>
  <w:style w:type="character" w:styleId="Link">
    <w:name w:val="Hyperlink"/>
    <w:basedOn w:val="Absatzstandardschriftart"/>
    <w:uiPriority w:val="99"/>
    <w:unhideWhenUsed/>
    <w:rsid w:val="004C6431"/>
    <w:rPr>
      <w:color w:val="0000FF" w:themeColor="hyperlink"/>
      <w:u w:val="single"/>
    </w:rPr>
  </w:style>
  <w:style w:type="paragraph" w:styleId="Kommentarthema">
    <w:name w:val="annotation subject"/>
    <w:basedOn w:val="Kommentartext"/>
    <w:next w:val="Kommentartext"/>
    <w:link w:val="KommentarthemaZeichen"/>
    <w:uiPriority w:val="99"/>
    <w:semiHidden/>
    <w:unhideWhenUsed/>
    <w:rsid w:val="004C6431"/>
    <w:rPr>
      <w:b/>
      <w:bCs/>
    </w:rPr>
  </w:style>
  <w:style w:type="character" w:customStyle="1" w:styleId="KommentarthemaZeichen">
    <w:name w:val="Kommentarthema Zeichen"/>
    <w:basedOn w:val="KommentartextZeichen"/>
    <w:link w:val="Kommentarthema"/>
    <w:uiPriority w:val="99"/>
    <w:semiHidden/>
    <w:rsid w:val="004C6431"/>
    <w:rPr>
      <w:rFonts w:eastAsiaTheme="minorHAnsi"/>
      <w:b/>
      <w:bCs/>
      <w:sz w:val="20"/>
      <w:szCs w:val="20"/>
      <w:lang w:eastAsia="en-US"/>
    </w:rPr>
  </w:style>
  <w:style w:type="paragraph" w:customStyle="1" w:styleId="EndNoteBibliographyTitle">
    <w:name w:val="EndNote Bibliography Title"/>
    <w:basedOn w:val="Standard"/>
    <w:rsid w:val="00646BAE"/>
    <w:pPr>
      <w:spacing w:after="0"/>
      <w:jc w:val="center"/>
    </w:pPr>
    <w:rPr>
      <w:rFonts w:ascii="Cambria" w:hAnsi="Cambria"/>
      <w:lang w:val="en-US"/>
    </w:rPr>
  </w:style>
  <w:style w:type="paragraph" w:customStyle="1" w:styleId="EndNoteBibliography">
    <w:name w:val="EndNote Bibliography"/>
    <w:basedOn w:val="Standard"/>
    <w:rsid w:val="00646BAE"/>
    <w:pPr>
      <w:spacing w:line="240" w:lineRule="auto"/>
    </w:pPr>
    <w:rPr>
      <w:rFonts w:ascii="Cambria" w:hAnsi="Cambria"/>
      <w:lang w:val="en-US"/>
    </w:rPr>
  </w:style>
  <w:style w:type="paragraph" w:styleId="Bearbeitung">
    <w:name w:val="Revision"/>
    <w:hidden/>
    <w:uiPriority w:val="99"/>
    <w:semiHidden/>
    <w:rsid w:val="00F41885"/>
    <w:rPr>
      <w:rFonts w:eastAsiaTheme="minorHAnsi"/>
      <w:sz w:val="22"/>
      <w:szCs w:val="22"/>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359506841">
      <w:bodyDiv w:val="1"/>
      <w:marLeft w:val="0"/>
      <w:marRight w:val="0"/>
      <w:marTop w:val="0"/>
      <w:marBottom w:val="0"/>
      <w:divBdr>
        <w:top w:val="none" w:sz="0" w:space="0" w:color="auto"/>
        <w:left w:val="none" w:sz="0" w:space="0" w:color="auto"/>
        <w:bottom w:val="none" w:sz="0" w:space="0" w:color="auto"/>
        <w:right w:val="none" w:sz="0" w:space="0" w:color="auto"/>
      </w:divBdr>
      <w:divsChild>
        <w:div w:id="852769181">
          <w:marLeft w:val="0"/>
          <w:marRight w:val="0"/>
          <w:marTop w:val="0"/>
          <w:marBottom w:val="0"/>
          <w:divBdr>
            <w:top w:val="none" w:sz="0" w:space="0" w:color="auto"/>
            <w:left w:val="none" w:sz="0" w:space="0" w:color="auto"/>
            <w:bottom w:val="none" w:sz="0" w:space="0" w:color="auto"/>
            <w:right w:val="none" w:sz="0" w:space="0" w:color="auto"/>
          </w:divBdr>
          <w:divsChild>
            <w:div w:id="965550802">
              <w:marLeft w:val="0"/>
              <w:marRight w:val="0"/>
              <w:marTop w:val="0"/>
              <w:marBottom w:val="0"/>
              <w:divBdr>
                <w:top w:val="none" w:sz="0" w:space="0" w:color="auto"/>
                <w:left w:val="none" w:sz="0" w:space="0" w:color="auto"/>
                <w:bottom w:val="none" w:sz="0" w:space="0" w:color="auto"/>
                <w:right w:val="none" w:sz="0" w:space="0" w:color="auto"/>
              </w:divBdr>
              <w:divsChild>
                <w:div w:id="315114630">
                  <w:marLeft w:val="0"/>
                  <w:marRight w:val="0"/>
                  <w:marTop w:val="0"/>
                  <w:marBottom w:val="0"/>
                  <w:divBdr>
                    <w:top w:val="none" w:sz="0" w:space="0" w:color="auto"/>
                    <w:left w:val="none" w:sz="0" w:space="0" w:color="auto"/>
                    <w:bottom w:val="none" w:sz="0" w:space="0" w:color="auto"/>
                    <w:right w:val="none" w:sz="0" w:space="0" w:color="auto"/>
                  </w:divBdr>
                </w:div>
                <w:div w:id="1899777468">
                  <w:marLeft w:val="0"/>
                  <w:marRight w:val="0"/>
                  <w:marTop w:val="0"/>
                  <w:marBottom w:val="0"/>
                  <w:divBdr>
                    <w:top w:val="none" w:sz="0" w:space="0" w:color="auto"/>
                    <w:left w:val="none" w:sz="0" w:space="0" w:color="auto"/>
                    <w:bottom w:val="none" w:sz="0" w:space="0" w:color="auto"/>
                    <w:right w:val="none" w:sz="0" w:space="0" w:color="auto"/>
                  </w:divBdr>
                </w:div>
                <w:div w:id="1032918463">
                  <w:marLeft w:val="0"/>
                  <w:marRight w:val="0"/>
                  <w:marTop w:val="0"/>
                  <w:marBottom w:val="0"/>
                  <w:divBdr>
                    <w:top w:val="none" w:sz="0" w:space="0" w:color="auto"/>
                    <w:left w:val="none" w:sz="0" w:space="0" w:color="auto"/>
                    <w:bottom w:val="none" w:sz="0" w:space="0" w:color="auto"/>
                    <w:right w:val="none" w:sz="0" w:space="0" w:color="auto"/>
                  </w:divBdr>
                </w:div>
                <w:div w:id="1524904024">
                  <w:marLeft w:val="0"/>
                  <w:marRight w:val="0"/>
                  <w:marTop w:val="0"/>
                  <w:marBottom w:val="0"/>
                  <w:divBdr>
                    <w:top w:val="none" w:sz="0" w:space="0" w:color="auto"/>
                    <w:left w:val="none" w:sz="0" w:space="0" w:color="auto"/>
                    <w:bottom w:val="none" w:sz="0" w:space="0" w:color="auto"/>
                    <w:right w:val="none" w:sz="0" w:space="0" w:color="auto"/>
                  </w:divBdr>
                </w:div>
              </w:divsChild>
            </w:div>
            <w:div w:id="1657609483">
              <w:marLeft w:val="0"/>
              <w:marRight w:val="0"/>
              <w:marTop w:val="0"/>
              <w:marBottom w:val="0"/>
              <w:divBdr>
                <w:top w:val="none" w:sz="0" w:space="0" w:color="auto"/>
                <w:left w:val="none" w:sz="0" w:space="0" w:color="auto"/>
                <w:bottom w:val="none" w:sz="0" w:space="0" w:color="auto"/>
                <w:right w:val="none" w:sz="0" w:space="0" w:color="auto"/>
              </w:divBdr>
              <w:divsChild>
                <w:div w:id="1421214893">
                  <w:marLeft w:val="0"/>
                  <w:marRight w:val="0"/>
                  <w:marTop w:val="0"/>
                  <w:marBottom w:val="0"/>
                  <w:divBdr>
                    <w:top w:val="none" w:sz="0" w:space="0" w:color="auto"/>
                    <w:left w:val="none" w:sz="0" w:space="0" w:color="auto"/>
                    <w:bottom w:val="none" w:sz="0" w:space="0" w:color="auto"/>
                    <w:right w:val="none" w:sz="0" w:space="0" w:color="auto"/>
                  </w:divBdr>
                </w:div>
              </w:divsChild>
            </w:div>
            <w:div w:id="637682704">
              <w:marLeft w:val="0"/>
              <w:marRight w:val="0"/>
              <w:marTop w:val="0"/>
              <w:marBottom w:val="0"/>
              <w:divBdr>
                <w:top w:val="none" w:sz="0" w:space="0" w:color="auto"/>
                <w:left w:val="none" w:sz="0" w:space="0" w:color="auto"/>
                <w:bottom w:val="none" w:sz="0" w:space="0" w:color="auto"/>
                <w:right w:val="none" w:sz="0" w:space="0" w:color="auto"/>
              </w:divBdr>
              <w:divsChild>
                <w:div w:id="9172077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allowPNG/>
  <w:doNotSaveAsSingleFile/>
</w:webSettings>
</file>

<file path=word/_rels/document.xml.rels><?xml version="1.0" encoding="UTF-8" standalone="yes"?>
<Relationships xmlns="http://schemas.openxmlformats.org/package/2006/relationships"><Relationship Id="rId11" Type="http://schemas.openxmlformats.org/officeDocument/2006/relationships/header" Target="header2.xml"/><Relationship Id="rId12" Type="http://schemas.openxmlformats.org/officeDocument/2006/relationships/footer" Target="footer1.xml"/><Relationship Id="rId13" Type="http://schemas.openxmlformats.org/officeDocument/2006/relationships/footer" Target="footer2.xml"/><Relationship Id="rId14" Type="http://schemas.openxmlformats.org/officeDocument/2006/relationships/fontTable" Target="fontTable.xml"/><Relationship Id="rId15"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otnotes" Target="footnotes.xml"/><Relationship Id="rId7" Type="http://schemas.openxmlformats.org/officeDocument/2006/relationships/endnotes" Target="endnotes.xml"/><Relationship Id="rId8" Type="http://schemas.openxmlformats.org/officeDocument/2006/relationships/hyperlink" Target="https://CRAN.R-project.org/package=MuMIn" TargetMode="External"/><Relationship Id="rId9" Type="http://schemas.openxmlformats.org/officeDocument/2006/relationships/image" Target="media/image1.png"/><Relationship Id="rId10" Type="http://schemas.openxmlformats.org/officeDocument/2006/relationships/header" Target="header1.xml"/></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9</Pages>
  <Words>3633</Words>
  <Characters>22890</Characters>
  <Application>Microsoft Macintosh Word</Application>
  <DocSecurity>0</DocSecurity>
  <Lines>190</Lines>
  <Paragraphs>52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26471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delia-lisa f</dc:creator>
  <cp:keywords/>
  <dc:description/>
  <cp:lastModifiedBy>Esther Pelzer</cp:lastModifiedBy>
  <cp:revision>7</cp:revision>
  <cp:lastPrinted>2020-01-13T09:41:00Z</cp:lastPrinted>
  <dcterms:created xsi:type="dcterms:W3CDTF">2021-05-30T17:34:00Z</dcterms:created>
  <dcterms:modified xsi:type="dcterms:W3CDTF">2021-09-04T12:50:00Z</dcterms:modified>
</cp:coreProperties>
</file>