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E1D" w:rsidRPr="004E4F3A" w:rsidRDefault="00591E1D" w:rsidP="00591E1D">
      <w:pPr>
        <w:pStyle w:val="ListParagraph"/>
        <w:snapToGrid w:val="0"/>
        <w:ind w:left="0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4A025A">
        <w:rPr>
          <w:rFonts w:ascii="Times New Roman" w:hAnsi="Times New Roman" w:cs="Times New Roman"/>
          <w:sz w:val="24"/>
          <w:szCs w:val="24"/>
          <w:lang w:val="en-US"/>
        </w:rPr>
        <w:t xml:space="preserve">Table 4. Alignment of DNA sequences amplified by ddPCR with teleo primers and reference sequences of </w:t>
      </w:r>
      <w:r w:rsidRPr="004A025A">
        <w:rPr>
          <w:rFonts w:ascii="Times New Roman" w:hAnsi="Times New Roman" w:cs="Times New Roman"/>
          <w:i/>
          <w:sz w:val="24"/>
          <w:szCs w:val="24"/>
          <w:lang w:val="en-US"/>
        </w:rPr>
        <w:t>S. trutta</w:t>
      </w:r>
      <w:r w:rsidRPr="004A025A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4A025A">
        <w:rPr>
          <w:rFonts w:ascii="Times New Roman" w:hAnsi="Times New Roman" w:cs="Times New Roman"/>
          <w:i/>
          <w:sz w:val="24"/>
          <w:szCs w:val="24"/>
          <w:lang w:val="en-US"/>
        </w:rPr>
        <w:t xml:space="preserve">S. alpinus </w:t>
      </w:r>
      <w:r w:rsidRPr="004E4F3A">
        <w:rPr>
          <w:rFonts w:ascii="Times New Roman" w:hAnsi="Times New Roman" w:cs="Times New Roman"/>
          <w:sz w:val="24"/>
          <w:szCs w:val="24"/>
          <w:lang w:val="en-US"/>
        </w:rPr>
        <w:t>expected in our study lakes.</w:t>
      </w:r>
    </w:p>
    <w:tbl>
      <w:tblPr>
        <w:tblW w:w="15473" w:type="dxa"/>
        <w:tblInd w:w="-8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4"/>
        <w:gridCol w:w="156"/>
        <w:gridCol w:w="4400"/>
        <w:gridCol w:w="90"/>
        <w:gridCol w:w="10059"/>
        <w:gridCol w:w="384"/>
      </w:tblGrid>
      <w:tr w:rsidR="00591E1D" w:rsidRPr="00026BDE" w:rsidTr="009E3749">
        <w:tc>
          <w:tcPr>
            <w:tcW w:w="540" w:type="dxa"/>
            <w:gridSpan w:val="2"/>
            <w:tcBorders>
              <w:top w:val="single" w:sz="4" w:space="0" w:color="auto"/>
            </w:tcBorders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Seq1 </w:t>
            </w:r>
          </w:p>
        </w:tc>
        <w:tc>
          <w:tcPr>
            <w:tcW w:w="1454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1"/>
                <w:szCs w:val="11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CTTCCGGTACACTTACCATGACTTACATAGTTGGGCAAC--CGGCACC--TGCAAGCGGCC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  <w:highlight w:val="green"/>
              </w:rPr>
              <w:t>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  <w:highlight w:val="green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  <w:highlight w:val="green"/>
              </w:rPr>
              <w:t>TAAATGAAGTGAATAATTCATGATTTGTT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GCATAGTCCGCTAATC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  <w:highlight w:val="magenta"/>
              </w:rPr>
              <w:t>CCTTCGACCCTGGCAAGATATCTTGCCGGGGTTTTTCGTGAAAT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GGGTGGTTGATGATTAGAGTGACGGGCGGTGT</w:t>
            </w:r>
          </w:p>
        </w:tc>
        <w:tc>
          <w:tcPr>
            <w:tcW w:w="384" w:type="dxa"/>
            <w:tcBorders>
              <w:top w:val="single" w:sz="4" w:space="0" w:color="auto"/>
            </w:tcBorders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Seq2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  <w:hideMark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TAAATGAAGTGAATAATTCATGATTTGTTGCATAGTCCGCTAATCCCTTTGACCCCGGCAAGATATCTTGCCGGGGTTTTTCGTGAAATGGGTAGTTGATGATTAGAGTGACGGGCGGTGT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Seq3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TAAATGAAGTGAATAATTCATGATTCGTTGCATAGTCCGCTAATCCCTTTGACCCCGGCAAGATATCTTGCCGGGGTTTTTCGTGAAATGGGTGGTTGATGATTAGAGTGACGGGCGGTGT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Seq4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-----------CTTACCATGACTTACATAGTTGGGCAAC--CGGCACC--TGCAAGCGGCTTTTTTT-----TATGTTGCAAAATTG----ATAAT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TAAATGAAGTGAATAATTCATGATTTGTTGCATAGTCCGCTAATCCCTTCGACCCTGGCAAGATATCTTGCCGGGGTTTTTCGTGAAATGGGTGGTTGATGATTAGAGTGACGGGCGGTGT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193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Seq5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Seq6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Seq7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TAAATGAAGTGAATAATTCATGATTTGTTGCATAGTCCGCTAATCCCTTTGACCCCGGCAAGATATCTTGCCGGGGTTTTTCGTGAAGTGGGTGGTTGATGATTAGAGTGACGGGCGGTGT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Seq9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---CCGGTACACTTACCATGACTTACATAGTTGGGCAAC--CGGCACC--TGCAAGCGGCTTTTTTTT-----GTGTTGCAAAATTGA----TAAT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201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Seq10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Seq12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  <w:hideMark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Seq14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  <w:hideMark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Seq15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  <w:hideMark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CTTCCGGTACACTTACCATGACTTACATAGTTGGGCAAC--CGGCACC--TGCAAGCGGCTTTTTTTT-----GTGTTGTAAAATTGA----TAAT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Seq16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CTTCCGGTACAGTTACCATGACTTACATAGTTGGGCAAC--CGGCACC--TGCAAGCGGCTTTTTTTT-----GTGTTGCAAAATTGA----TAAT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TAAATGAAGTGAATAATTCATGATTTGTTGCATAGTCCACTAATCCCTTTGACCCCGGCAAGATATCTTGCCGGGGTTTTTCGTGAAATGGGTGGTTGATGATTAGAGTGACGGGCGGTGT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Seq17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Seq18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  <w:hideMark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Seq19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  <w:hideMark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CTTCCGGTACACTTACCATGACTTACATAGTTGGGCAAC--CGGCACC--TGCAAGCGGCTTTTTTT-----TGTGTTGCAAAATTG----ATAAT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204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 xml:space="preserve">Seq20 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  <w:hideMark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--------ACACTTACCATGACTTACATAGTTGGGCAAC--CGGCACC--TGCAAGCGGCTTTTTTTT-----GTGTTGCAAAATTGA----TAAT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TAAATGAAGTGAATAATTCATGATTTGTTGCATAGTCCGCTAATCCCTTTGACCCCGGCAAGATATCTTGCCGGGGTTTTTCGTGAAATGGGTGGTTGATGATTAGAGTGACGGGCGGTGT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196</w:t>
            </w:r>
          </w:p>
        </w:tc>
      </w:tr>
      <w:tr w:rsidR="00591E1D" w:rsidRPr="00026BDE" w:rsidTr="009E3749">
        <w:tc>
          <w:tcPr>
            <w:tcW w:w="540" w:type="dxa"/>
            <w:gridSpan w:val="2"/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>Seq8</w:t>
            </w:r>
          </w:p>
        </w:tc>
        <w:tc>
          <w:tcPr>
            <w:tcW w:w="14549" w:type="dxa"/>
            <w:gridSpan w:val="3"/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FFFFFF" w:themeColor="background1"/>
                <w:sz w:val="12"/>
                <w:szCs w:val="12"/>
                <w:highlight w:val="darkGray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CTTCCGGTACACTTACCATG-CTTCCCT-------CAACAACAGCAGCATTGGATTCAACCTTTATTCCCGCTATCCTGCTGGGTTCTTCTATATA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GAAATGATCTCCA-AATGC--GCCT-GATACA-ACTCTGGTATTGAGAGTGACG--GGC--GGTGT-------------------------------------------------------</w:t>
            </w:r>
          </w:p>
        </w:tc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145</w:t>
            </w:r>
          </w:p>
        </w:tc>
      </w:tr>
      <w:tr w:rsidR="00591E1D" w:rsidRPr="00026BDE" w:rsidTr="009E3749">
        <w:tc>
          <w:tcPr>
            <w:tcW w:w="540" w:type="dxa"/>
            <w:gridSpan w:val="2"/>
            <w:tcBorders>
              <w:bottom w:val="single" w:sz="4" w:space="0" w:color="auto"/>
            </w:tcBorders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color w:val="000000"/>
                <w:sz w:val="16"/>
                <w:szCs w:val="16"/>
              </w:rPr>
              <w:t>Seq11</w:t>
            </w:r>
          </w:p>
        </w:tc>
        <w:tc>
          <w:tcPr>
            <w:tcW w:w="1454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color w:val="FFFFFF" w:themeColor="background1"/>
                <w:sz w:val="12"/>
                <w:szCs w:val="12"/>
                <w:highlight w:val="darkGray"/>
              </w:rPr>
            </w:pP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CTTCCGGTACACTTACCATG-CTTCCCT-------CAACAACAGCAGCATTGGATTCAACCTTTATTCCCGCTATCCTGCTGGGTTCTTCTATATA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GAAATGATCTCCA-AATGC--GCCT-GATACA-ACTCTGGTATTGAGAGTGACG--GGC--GGTGT-------------------------------------------------------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eastAsia="Times New Roman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145</w:t>
            </w:r>
          </w:p>
        </w:tc>
      </w:tr>
      <w:tr w:rsidR="00591E1D" w:rsidRPr="00026BDE" w:rsidTr="009E3749">
        <w:tc>
          <w:tcPr>
            <w:tcW w:w="4940" w:type="dxa"/>
            <w:gridSpan w:val="3"/>
            <w:tcBorders>
              <w:top w:val="single" w:sz="4" w:space="0" w:color="auto"/>
            </w:tcBorders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i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i/>
                <w:color w:val="000000"/>
                <w:sz w:val="16"/>
                <w:szCs w:val="16"/>
              </w:rPr>
              <w:t>Salmo trutta (without primers)*</w:t>
            </w:r>
          </w:p>
        </w:tc>
        <w:tc>
          <w:tcPr>
            <w:tcW w:w="1014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ourier New" w:eastAsia="Times New Roman" w:hAnsi="Courier New" w:cs="Courier New"/>
                <w:color w:val="FFFFFF" w:themeColor="background1"/>
                <w:sz w:val="12"/>
                <w:szCs w:val="12"/>
                <w:highlight w:val="darkGray"/>
              </w:rPr>
            </w:pPr>
            <w:r w:rsidRPr="00026BDE">
              <w:rPr>
                <w:rFonts w:ascii="Courier New" w:hAnsi="Courier New" w:cs="Courier New"/>
                <w:sz w:val="10"/>
                <w:szCs w:val="10"/>
              </w:rPr>
              <w:t xml:space="preserve"> </w:t>
            </w:r>
            <w:r w:rsidRPr="00026BDE">
              <w:rPr>
                <w:rFonts w:ascii="Courier New" w:hAnsi="Courier New" w:cs="Courier New"/>
                <w:sz w:val="4"/>
                <w:szCs w:val="4"/>
              </w:rPr>
              <w:t xml:space="preserve"> 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CC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GTTCAA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TAA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CTTCTA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AC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GAA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T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CGA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--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---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GG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CA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TC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--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GTA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</w:t>
            </w:r>
          </w:p>
        </w:tc>
        <w:tc>
          <w:tcPr>
            <w:tcW w:w="384" w:type="dxa"/>
            <w:tcBorders>
              <w:top w:val="single" w:sz="4" w:space="0" w:color="auto"/>
            </w:tcBorders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63</w:t>
            </w:r>
          </w:p>
        </w:tc>
      </w:tr>
      <w:tr w:rsidR="00591E1D" w:rsidRPr="00026BDE" w:rsidTr="009E3749">
        <w:tc>
          <w:tcPr>
            <w:tcW w:w="5030" w:type="dxa"/>
            <w:gridSpan w:val="4"/>
            <w:tcBorders>
              <w:bottom w:val="single" w:sz="4" w:space="0" w:color="auto"/>
            </w:tcBorders>
            <w:vAlign w:val="bottom"/>
          </w:tcPr>
          <w:p w:rsidR="00591E1D" w:rsidRPr="00026BDE" w:rsidRDefault="00591E1D" w:rsidP="009E3749">
            <w:pPr>
              <w:snapToGrid w:val="0"/>
              <w:spacing w:after="0" w:line="240" w:lineRule="auto"/>
              <w:rPr>
                <w:rFonts w:ascii="Calibri" w:hAnsi="Calibri"/>
                <w:i/>
                <w:color w:val="000000"/>
                <w:sz w:val="16"/>
                <w:szCs w:val="16"/>
              </w:rPr>
            </w:pPr>
            <w:r w:rsidRPr="00026BDE">
              <w:rPr>
                <w:rFonts w:ascii="Calibri" w:hAnsi="Calibri"/>
                <w:i/>
                <w:color w:val="000000"/>
                <w:sz w:val="16"/>
                <w:szCs w:val="16"/>
              </w:rPr>
              <w:t>Salvelinus alpinus (without primers)*</w:t>
            </w:r>
          </w:p>
        </w:tc>
        <w:tc>
          <w:tcPr>
            <w:tcW w:w="100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rPr>
                <w:rFonts w:ascii="Courier New" w:eastAsia="Times New Roman" w:hAnsi="Courier New" w:cs="Courier New"/>
                <w:color w:val="FFFFFF" w:themeColor="background1"/>
                <w:sz w:val="12"/>
                <w:szCs w:val="12"/>
                <w:highlight w:val="darkGray"/>
              </w:rPr>
            </w:pPr>
            <w:r w:rsidRPr="00026BDE">
              <w:rPr>
                <w:rFonts w:ascii="Courier New" w:hAnsi="Courier New" w:cs="Courier New"/>
                <w:sz w:val="11"/>
                <w:szCs w:val="11"/>
              </w:rPr>
              <w:t>CC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GTT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TTA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CTTCTA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AC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GAA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T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CAA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C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--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---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GG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CA</w:t>
            </w:r>
            <w:r w:rsidRPr="00026BDE">
              <w:rPr>
                <w:rFonts w:ascii="Courier New" w:eastAsia="Times New Roman" w:hAnsi="Courier New" w:cs="Courier New"/>
                <w:sz w:val="11"/>
                <w:szCs w:val="11"/>
              </w:rPr>
              <w:t>-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G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TC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--</w:t>
            </w:r>
            <w:r w:rsidRPr="00026BDE">
              <w:rPr>
                <w:rFonts w:ascii="Courier New" w:hAnsi="Courier New" w:cs="Courier New"/>
                <w:sz w:val="11"/>
                <w:szCs w:val="11"/>
              </w:rPr>
              <w:t>GTA</w:t>
            </w:r>
            <w:r w:rsidRPr="00026BDE">
              <w:rPr>
                <w:rStyle w:val="hlt"/>
                <w:rFonts w:ascii="Courier New" w:hAnsi="Courier New" w:cs="Courier New"/>
                <w:sz w:val="11"/>
                <w:szCs w:val="11"/>
              </w:rPr>
              <w:t>A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ourier New" w:hAnsi="Courier New" w:cs="Courier New"/>
                <w:sz w:val="12"/>
                <w:szCs w:val="12"/>
              </w:rPr>
            </w:pPr>
            <w:r w:rsidRPr="00026BDE">
              <w:rPr>
                <w:rFonts w:ascii="Calibri" w:hAnsi="Calibri"/>
                <w:color w:val="000000"/>
                <w:sz w:val="12"/>
                <w:szCs w:val="12"/>
              </w:rPr>
              <w:t>63</w:t>
            </w:r>
          </w:p>
        </w:tc>
      </w:tr>
      <w:tr w:rsidR="00591E1D" w:rsidRPr="00026BDE" w:rsidTr="009E3749">
        <w:trPr>
          <w:gridAfter w:val="5"/>
          <w:wAfter w:w="15089" w:type="dxa"/>
        </w:trPr>
        <w:tc>
          <w:tcPr>
            <w:tcW w:w="384" w:type="dxa"/>
          </w:tcPr>
          <w:p w:rsidR="00591E1D" w:rsidRPr="00026BDE" w:rsidRDefault="00591E1D" w:rsidP="009E3749">
            <w:pPr>
              <w:tabs>
                <w:tab w:val="left" w:pos="6355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FFFF" w:themeColor="background1"/>
                <w:sz w:val="16"/>
                <w:szCs w:val="16"/>
                <w:highlight w:val="darkGray"/>
              </w:rPr>
            </w:pPr>
          </w:p>
        </w:tc>
      </w:tr>
    </w:tbl>
    <w:p w:rsidR="00591E1D" w:rsidRPr="00026BDE" w:rsidRDefault="00591E1D" w:rsidP="00591E1D">
      <w:pPr>
        <w:spacing w:after="0"/>
        <w:rPr>
          <w:sz w:val="20"/>
          <w:szCs w:val="20"/>
        </w:rPr>
      </w:pPr>
      <w:r w:rsidRPr="00026BDE">
        <w:rPr>
          <w:sz w:val="20"/>
          <w:szCs w:val="20"/>
          <w:highlight w:val="green"/>
        </w:rPr>
        <w:t xml:space="preserve">     </w:t>
      </w:r>
      <w:r w:rsidRPr="00026BDE">
        <w:rPr>
          <w:sz w:val="20"/>
          <w:szCs w:val="20"/>
        </w:rPr>
        <w:t xml:space="preserve"> Gene region that is somehow similar to </w:t>
      </w:r>
      <w:r w:rsidRPr="00026BDE">
        <w:rPr>
          <w:i/>
          <w:sz w:val="20"/>
          <w:szCs w:val="20"/>
        </w:rPr>
        <w:t>Medicago truncaula</w:t>
      </w:r>
      <w:r w:rsidRPr="00026BDE">
        <w:rPr>
          <w:sz w:val="20"/>
          <w:szCs w:val="20"/>
        </w:rPr>
        <w:t xml:space="preserve"> chromosome clone (Accession AC169513.3); max score: 53.8, identify: 79.37%, gaps: 1/63.</w:t>
      </w:r>
    </w:p>
    <w:p w:rsidR="00591E1D" w:rsidRPr="00026BDE" w:rsidRDefault="00591E1D" w:rsidP="00591E1D">
      <w:pPr>
        <w:spacing w:after="0"/>
        <w:ind w:left="270" w:hanging="270"/>
        <w:rPr>
          <w:sz w:val="20"/>
          <w:szCs w:val="20"/>
        </w:rPr>
      </w:pPr>
      <w:r w:rsidRPr="00026BDE">
        <w:rPr>
          <w:sz w:val="20"/>
          <w:szCs w:val="20"/>
          <w:highlight w:val="magenta"/>
        </w:rPr>
        <w:t xml:space="preserve">     </w:t>
      </w:r>
      <w:r w:rsidRPr="00026BDE">
        <w:rPr>
          <w:sz w:val="20"/>
          <w:szCs w:val="20"/>
        </w:rPr>
        <w:t xml:space="preserve"> Gene region that is somehow similar to Uncultured bacterium clone PF0117 from an environmental sample (Accession GU618012.1); max score 50.8, identity: 84%, gaps: 0/44.</w:t>
      </w:r>
    </w:p>
    <w:p w:rsidR="007B0DB2" w:rsidRDefault="00591E1D" w:rsidP="00591E1D">
      <w:r w:rsidRPr="00026BDE">
        <w:rPr>
          <w:sz w:val="20"/>
          <w:szCs w:val="20"/>
        </w:rPr>
        <w:t xml:space="preserve">*Sequences of </w:t>
      </w:r>
      <w:r w:rsidRPr="00026BDE">
        <w:rPr>
          <w:i/>
          <w:sz w:val="20"/>
          <w:szCs w:val="20"/>
        </w:rPr>
        <w:t>S. trutta</w:t>
      </w:r>
      <w:r w:rsidRPr="00026BDE">
        <w:rPr>
          <w:sz w:val="20"/>
          <w:szCs w:val="20"/>
        </w:rPr>
        <w:t xml:space="preserve"> and </w:t>
      </w:r>
      <w:r w:rsidRPr="00026BDE">
        <w:rPr>
          <w:i/>
          <w:sz w:val="20"/>
          <w:szCs w:val="20"/>
        </w:rPr>
        <w:t>S. alpinus</w:t>
      </w:r>
      <w:r w:rsidRPr="00026BDE">
        <w:rPr>
          <w:sz w:val="20"/>
          <w:szCs w:val="20"/>
        </w:rPr>
        <w:t xml:space="preserve"> are published in Valentini et al. (2016).</w:t>
      </w:r>
      <w:bookmarkStart w:id="0" w:name="_GoBack"/>
      <w:bookmarkEnd w:id="0"/>
    </w:p>
    <w:sectPr w:rsidR="007B0D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163"/>
    <w:rsid w:val="0016198D"/>
    <w:rsid w:val="003E54F6"/>
    <w:rsid w:val="00591E1D"/>
    <w:rsid w:val="00690163"/>
    <w:rsid w:val="007B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F6901"/>
  <w15:chartTrackingRefBased/>
  <w15:docId w15:val="{289ABDB2-6496-48B3-869E-B76EC0868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591E1D"/>
    <w:pPr>
      <w:ind w:left="720"/>
      <w:contextualSpacing/>
    </w:pPr>
    <w:rPr>
      <w:rFonts w:eastAsiaTheme="minorEastAsia"/>
      <w:lang w:val="sv-SE" w:eastAsia="zh-TW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91E1D"/>
    <w:rPr>
      <w:rFonts w:eastAsiaTheme="minorEastAsia"/>
      <w:lang w:val="sv-SE" w:eastAsia="zh-TW"/>
    </w:rPr>
  </w:style>
  <w:style w:type="character" w:customStyle="1" w:styleId="hlt">
    <w:name w:val="hlt"/>
    <w:basedOn w:val="DefaultParagraphFont"/>
    <w:rsid w:val="00591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771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2021-08-23T17:28:00Z</dcterms:created>
  <dcterms:modified xsi:type="dcterms:W3CDTF">2021-08-24T14:37:00Z</dcterms:modified>
</cp:coreProperties>
</file>