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C36" w:rsidRDefault="00FB3F1E" w:rsidP="00387BA4">
      <w:pPr>
        <w:spacing w:line="360" w:lineRule="auto"/>
        <w:jc w:val="center"/>
        <w:rPr>
          <w:rFonts w:ascii="Arial" w:hAnsi="Arial" w:cs="Arial"/>
          <w:b/>
          <w:sz w:val="32"/>
          <w:szCs w:val="24"/>
        </w:rPr>
      </w:pPr>
      <w:bookmarkStart w:id="0" w:name="_GoBack"/>
      <w:r>
        <w:rPr>
          <w:rFonts w:ascii="Arial" w:hAnsi="Arial" w:cs="Arial"/>
          <w:b/>
          <w:sz w:val="32"/>
          <w:szCs w:val="24"/>
        </w:rPr>
        <w:t>Supp</w:t>
      </w:r>
      <w:r w:rsidR="008C6BB0">
        <w:rPr>
          <w:rFonts w:ascii="Arial" w:hAnsi="Arial" w:cs="Arial"/>
          <w:b/>
          <w:sz w:val="32"/>
          <w:szCs w:val="24"/>
        </w:rPr>
        <w:t>lementary</w:t>
      </w:r>
      <w:r>
        <w:rPr>
          <w:rFonts w:ascii="Arial" w:hAnsi="Arial" w:cs="Arial"/>
          <w:b/>
          <w:sz w:val="32"/>
          <w:szCs w:val="24"/>
        </w:rPr>
        <w:t xml:space="preserve"> </w:t>
      </w:r>
      <w:r w:rsidR="008C6BB0">
        <w:rPr>
          <w:rFonts w:ascii="Arial" w:hAnsi="Arial" w:cs="Arial"/>
          <w:b/>
          <w:sz w:val="32"/>
          <w:szCs w:val="24"/>
        </w:rPr>
        <w:t>I</w:t>
      </w:r>
      <w:r>
        <w:rPr>
          <w:rFonts w:ascii="Arial" w:hAnsi="Arial" w:cs="Arial"/>
          <w:b/>
          <w:sz w:val="32"/>
          <w:szCs w:val="24"/>
        </w:rPr>
        <w:t>nformation</w:t>
      </w:r>
    </w:p>
    <w:p w:rsidR="008C7C36" w:rsidRDefault="00FB3F1E" w:rsidP="00387BA4">
      <w:pPr>
        <w:spacing w:line="360" w:lineRule="auto"/>
        <w:jc w:val="center"/>
        <w:rPr>
          <w:rFonts w:ascii="Arial" w:hAnsi="Arial" w:cs="Arial"/>
          <w:sz w:val="24"/>
          <w:szCs w:val="24"/>
        </w:rPr>
      </w:pPr>
      <w:r>
        <w:rPr>
          <w:rFonts w:ascii="Arial" w:hAnsi="Arial" w:cs="Arial"/>
          <w:sz w:val="24"/>
          <w:szCs w:val="24"/>
        </w:rPr>
        <w:t xml:space="preserve"> </w:t>
      </w:r>
      <w:r>
        <w:rPr>
          <w:rFonts w:ascii="Arial" w:hAnsi="Arial" w:cs="Arial"/>
          <w:noProof/>
          <w:sz w:val="24"/>
          <w:szCs w:val="24"/>
        </w:rPr>
        <w:drawing>
          <wp:inline distT="0" distB="0" distL="0" distR="0">
            <wp:extent cx="2002790" cy="1614805"/>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016961" cy="1626343"/>
                    </a:xfrm>
                    <a:prstGeom prst="rect">
                      <a:avLst/>
                    </a:prstGeom>
                    <a:noFill/>
                    <a:ln>
                      <a:noFill/>
                    </a:ln>
                  </pic:spPr>
                </pic:pic>
              </a:graphicData>
            </a:graphic>
          </wp:inline>
        </w:drawing>
      </w:r>
    </w:p>
    <w:p w:rsidR="008C7C36" w:rsidRDefault="008C7C36" w:rsidP="00387BA4">
      <w:pPr>
        <w:spacing w:line="360" w:lineRule="auto"/>
        <w:jc w:val="center"/>
        <w:rPr>
          <w:rFonts w:ascii="Arial" w:hAnsi="Arial" w:cs="Arial"/>
          <w:sz w:val="24"/>
          <w:szCs w:val="24"/>
        </w:rPr>
      </w:pPr>
    </w:p>
    <w:p w:rsidR="008C7C36" w:rsidRDefault="00B21252" w:rsidP="00387BA4">
      <w:pPr>
        <w:spacing w:line="360" w:lineRule="auto"/>
        <w:jc w:val="left"/>
        <w:rPr>
          <w:rFonts w:ascii="Arial" w:hAnsi="Arial" w:cs="Arial"/>
          <w:sz w:val="24"/>
          <w:szCs w:val="24"/>
        </w:rPr>
      </w:pPr>
      <w:r>
        <w:rPr>
          <w:rFonts w:ascii="Arial" w:hAnsi="Arial" w:cs="Arial"/>
          <w:b/>
          <w:color w:val="000000" w:themeColor="text1"/>
          <w:kern w:val="24"/>
          <w:sz w:val="24"/>
          <w:szCs w:val="24"/>
        </w:rPr>
        <w:t xml:space="preserve">Supplementary </w:t>
      </w:r>
      <w:r w:rsidR="00B84353" w:rsidRPr="00F75649">
        <w:rPr>
          <w:rFonts w:ascii="Arial" w:hAnsi="Arial" w:cs="Arial"/>
          <w:b/>
          <w:color w:val="000000" w:themeColor="text1"/>
          <w:kern w:val="24"/>
          <w:sz w:val="24"/>
          <w:szCs w:val="24"/>
        </w:rPr>
        <w:t>Fig.</w:t>
      </w:r>
      <w:r w:rsidR="00FB3F1E" w:rsidRPr="00F75649">
        <w:rPr>
          <w:rFonts w:ascii="Arial" w:hAnsi="Arial" w:cs="Arial"/>
          <w:b/>
          <w:color w:val="000000" w:themeColor="text1"/>
          <w:kern w:val="24"/>
          <w:sz w:val="24"/>
          <w:szCs w:val="24"/>
        </w:rPr>
        <w:t xml:space="preserve"> 1</w:t>
      </w:r>
      <w:r w:rsidR="00FB3F1E">
        <w:rPr>
          <w:rFonts w:ascii="Arial" w:hAnsi="Arial" w:cs="Arial"/>
          <w:color w:val="000000" w:themeColor="text1"/>
          <w:kern w:val="24"/>
          <w:sz w:val="24"/>
          <w:szCs w:val="24"/>
        </w:rPr>
        <w:t xml:space="preserve"> CV curves of a single MSC unit connected in parallel under bending and original states.</w:t>
      </w:r>
      <w:r w:rsidR="00FB3F1E">
        <w:rPr>
          <w:rFonts w:ascii="Arial" w:hAnsi="Arial" w:cs="Arial"/>
          <w:sz w:val="24"/>
          <w:szCs w:val="24"/>
        </w:rPr>
        <w:t xml:space="preserve"> </w:t>
      </w:r>
    </w:p>
    <w:p w:rsidR="008C7C36" w:rsidRDefault="00FB3F1E" w:rsidP="00387BA4">
      <w:pPr>
        <w:spacing w:line="360" w:lineRule="auto"/>
        <w:jc w:val="center"/>
        <w:rPr>
          <w:rFonts w:ascii="Arial" w:hAnsi="Arial" w:cs="Arial"/>
          <w:sz w:val="24"/>
          <w:szCs w:val="24"/>
        </w:rPr>
      </w:pPr>
      <w:r>
        <w:rPr>
          <w:rFonts w:ascii="Arial" w:hAnsi="Arial" w:cs="Arial"/>
          <w:noProof/>
          <w:sz w:val="24"/>
          <w:szCs w:val="24"/>
        </w:rPr>
        <w:drawing>
          <wp:inline distT="0" distB="0" distL="0" distR="0">
            <wp:extent cx="1809115" cy="1353185"/>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818345" cy="1360204"/>
                    </a:xfrm>
                    <a:prstGeom prst="rect">
                      <a:avLst/>
                    </a:prstGeom>
                    <a:noFill/>
                    <a:ln>
                      <a:noFill/>
                    </a:ln>
                  </pic:spPr>
                </pic:pic>
              </a:graphicData>
            </a:graphic>
          </wp:inline>
        </w:drawing>
      </w:r>
    </w:p>
    <w:p w:rsidR="008C7C36" w:rsidRDefault="00B21252" w:rsidP="00387BA4">
      <w:pPr>
        <w:spacing w:line="360" w:lineRule="auto"/>
        <w:jc w:val="left"/>
        <w:rPr>
          <w:rFonts w:ascii="Arial" w:hAnsi="Arial" w:cs="Arial"/>
          <w:sz w:val="24"/>
          <w:szCs w:val="24"/>
        </w:rPr>
      </w:pPr>
      <w:r>
        <w:rPr>
          <w:rFonts w:ascii="Arial" w:hAnsi="Arial" w:cs="Arial"/>
          <w:b/>
          <w:color w:val="000000" w:themeColor="text1"/>
          <w:kern w:val="24"/>
          <w:sz w:val="24"/>
          <w:szCs w:val="24"/>
        </w:rPr>
        <w:t xml:space="preserve">Supplementary </w:t>
      </w:r>
      <w:r w:rsidR="00B84353" w:rsidRPr="00F75649">
        <w:rPr>
          <w:rFonts w:ascii="Arial" w:hAnsi="Arial" w:cs="Arial"/>
          <w:b/>
          <w:color w:val="000000" w:themeColor="text1"/>
          <w:kern w:val="24"/>
          <w:sz w:val="24"/>
          <w:szCs w:val="24"/>
        </w:rPr>
        <w:t>Fig.</w:t>
      </w:r>
      <w:r>
        <w:rPr>
          <w:rFonts w:ascii="Arial" w:hAnsi="Arial" w:cs="Arial"/>
          <w:b/>
          <w:color w:val="000000" w:themeColor="text1"/>
          <w:kern w:val="24"/>
          <w:sz w:val="24"/>
          <w:szCs w:val="24"/>
        </w:rPr>
        <w:t xml:space="preserve"> </w:t>
      </w:r>
      <w:r w:rsidR="00FB3F1E" w:rsidRPr="00F75649">
        <w:rPr>
          <w:rFonts w:ascii="Arial" w:hAnsi="Arial" w:cs="Arial"/>
          <w:b/>
          <w:color w:val="000000" w:themeColor="text1"/>
          <w:kern w:val="24"/>
          <w:sz w:val="24"/>
          <w:szCs w:val="24"/>
        </w:rPr>
        <w:t>2</w:t>
      </w:r>
      <w:r w:rsidR="00FB3F1E" w:rsidRPr="004E753D">
        <w:rPr>
          <w:rFonts w:ascii="Arial" w:hAnsi="Arial" w:cs="Arial"/>
          <w:color w:val="000000" w:themeColor="text1"/>
          <w:kern w:val="24"/>
          <w:sz w:val="24"/>
          <w:szCs w:val="24"/>
        </w:rPr>
        <w:t xml:space="preserve"> </w:t>
      </w:r>
      <w:r w:rsidR="00FB3F1E">
        <w:rPr>
          <w:rFonts w:ascii="Arial" w:hAnsi="Arial" w:cs="Arial"/>
          <w:color w:val="000000" w:themeColor="text1"/>
          <w:kern w:val="24"/>
          <w:sz w:val="24"/>
          <w:szCs w:val="24"/>
        </w:rPr>
        <w:t>The S</w:t>
      </w:r>
      <w:r w:rsidR="00FB3F1E">
        <w:rPr>
          <w:rFonts w:ascii="Arial" w:hAnsi="Arial" w:cs="Arial"/>
          <w:kern w:val="0"/>
          <w:sz w:val="24"/>
          <w:szCs w:val="24"/>
        </w:rPr>
        <w:t>EM image of the interdigital electrodes of the MSCs in IWC-MSC</w:t>
      </w:r>
      <w:r w:rsidR="006A3364" w:rsidRPr="00EC21CA">
        <w:rPr>
          <w:rFonts w:ascii="Arial" w:hAnsi="Arial" w:cs="Arial"/>
          <w:kern w:val="0"/>
          <w:sz w:val="24"/>
          <w:szCs w:val="24"/>
        </w:rPr>
        <w:t>s</w:t>
      </w:r>
      <w:r w:rsidR="00FB3F1E" w:rsidRPr="00EC21CA">
        <w:rPr>
          <w:rFonts w:ascii="Arial" w:hAnsi="Arial" w:cs="Arial"/>
          <w:kern w:val="0"/>
          <w:sz w:val="24"/>
          <w:szCs w:val="24"/>
        </w:rPr>
        <w:t>.</w:t>
      </w:r>
      <w:r w:rsidR="00FB3F1E">
        <w:rPr>
          <w:rFonts w:ascii="Arial" w:hAnsi="Arial" w:cs="Arial"/>
          <w:sz w:val="24"/>
          <w:szCs w:val="24"/>
        </w:rPr>
        <w:t xml:space="preserve"> </w:t>
      </w:r>
    </w:p>
    <w:p w:rsidR="008C7C36" w:rsidRDefault="0076000E" w:rsidP="00387BA4">
      <w:pPr>
        <w:pStyle w:val="ab"/>
        <w:spacing w:before="0" w:beforeAutospacing="0" w:after="0" w:afterAutospacing="0" w:line="360" w:lineRule="auto"/>
        <w:jc w:val="center"/>
        <w:rPr>
          <w:rFonts w:ascii="Arial" w:eastAsiaTheme="minorEastAsia" w:hAnsi="Arial" w:cs="Arial"/>
          <w:color w:val="000000" w:themeColor="text1"/>
          <w:kern w:val="24"/>
        </w:rPr>
      </w:pPr>
      <w:r>
        <w:rPr>
          <w:noProof/>
        </w:rPr>
        <w:drawing>
          <wp:inline distT="0" distB="0" distL="0" distR="0" wp14:anchorId="39116AAB" wp14:editId="146EAB4C">
            <wp:extent cx="2141317" cy="181158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53490" cy="1821884"/>
                    </a:xfrm>
                    <a:prstGeom prst="rect">
                      <a:avLst/>
                    </a:prstGeom>
                  </pic:spPr>
                </pic:pic>
              </a:graphicData>
            </a:graphic>
          </wp:inline>
        </w:drawing>
      </w:r>
    </w:p>
    <w:p w:rsidR="008C7C36" w:rsidRDefault="00B21252" w:rsidP="00387BA4">
      <w:pPr>
        <w:pStyle w:val="ab"/>
        <w:spacing w:before="0" w:beforeAutospacing="0" w:after="0" w:afterAutospacing="0" w:line="360" w:lineRule="auto"/>
        <w:jc w:val="both"/>
        <w:rPr>
          <w:rFonts w:ascii="Arial" w:eastAsiaTheme="minorEastAsia" w:hAnsi="Arial" w:cs="Arial"/>
          <w:color w:val="000000" w:themeColor="text1"/>
          <w:kern w:val="24"/>
        </w:rPr>
      </w:pPr>
      <w:r>
        <w:rPr>
          <w:rFonts w:ascii="Arial" w:eastAsiaTheme="minorEastAsia" w:hAnsi="Arial" w:cs="Arial"/>
          <w:b/>
          <w:color w:val="000000" w:themeColor="text1"/>
          <w:kern w:val="24"/>
        </w:rPr>
        <w:t xml:space="preserve">Supplementary Fig. </w:t>
      </w:r>
      <w:r w:rsidR="00FB3F1E" w:rsidRPr="00F75649">
        <w:rPr>
          <w:rFonts w:ascii="Arial" w:eastAsiaTheme="minorEastAsia" w:hAnsi="Arial" w:cs="Arial"/>
          <w:b/>
          <w:color w:val="000000" w:themeColor="text1"/>
          <w:kern w:val="24"/>
        </w:rPr>
        <w:t>3</w:t>
      </w:r>
      <w:r w:rsidR="00FB3F1E">
        <w:rPr>
          <w:rFonts w:ascii="Arial" w:eastAsiaTheme="minorEastAsia" w:hAnsi="Arial" w:cs="Arial"/>
          <w:color w:val="000000" w:themeColor="text1"/>
          <w:kern w:val="24"/>
        </w:rPr>
        <w:t xml:space="preserve"> The Ny</w:t>
      </w:r>
      <w:r w:rsidR="007B232D">
        <w:rPr>
          <w:rFonts w:ascii="Arial" w:eastAsiaTheme="minorEastAsia" w:hAnsi="Arial" w:cs="Arial"/>
          <w:color w:val="000000" w:themeColor="text1"/>
          <w:kern w:val="24"/>
        </w:rPr>
        <w:t>quist plot of a single MSC unit; The inset is magnified details of the Nyquist plot.</w:t>
      </w:r>
    </w:p>
    <w:p w:rsidR="008C7C36" w:rsidRDefault="00FB3F1E" w:rsidP="00387BA4">
      <w:pPr>
        <w:pStyle w:val="ab"/>
        <w:spacing w:before="0" w:beforeAutospacing="0" w:after="0" w:afterAutospacing="0" w:line="360" w:lineRule="auto"/>
        <w:jc w:val="center"/>
        <w:rPr>
          <w:rFonts w:ascii="Arial" w:eastAsiaTheme="minorEastAsia" w:hAnsi="Arial" w:cs="Arial"/>
          <w:color w:val="000000" w:themeColor="text1"/>
          <w:kern w:val="24"/>
        </w:rPr>
      </w:pPr>
      <w:r>
        <w:lastRenderedPageBreak/>
        <w:t xml:space="preserve"> </w:t>
      </w:r>
      <w:r w:rsidR="001477DC">
        <w:rPr>
          <w:noProof/>
        </w:rPr>
        <w:drawing>
          <wp:inline distT="0" distB="0" distL="0" distR="0" wp14:anchorId="0BAD19FB" wp14:editId="63E42049">
            <wp:extent cx="5274310" cy="1923415"/>
            <wp:effectExtent l="0" t="0" r="254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923415"/>
                    </a:xfrm>
                    <a:prstGeom prst="rect">
                      <a:avLst/>
                    </a:prstGeom>
                  </pic:spPr>
                </pic:pic>
              </a:graphicData>
            </a:graphic>
          </wp:inline>
        </w:drawing>
      </w:r>
    </w:p>
    <w:p w:rsidR="008C7C36" w:rsidRPr="00154450" w:rsidRDefault="00B21252" w:rsidP="00387BA4">
      <w:pPr>
        <w:pStyle w:val="ab"/>
        <w:spacing w:before="0" w:beforeAutospacing="0" w:after="0" w:afterAutospacing="0" w:line="360" w:lineRule="auto"/>
        <w:jc w:val="both"/>
        <w:rPr>
          <w:rFonts w:ascii="Arial" w:hAnsi="Arial" w:cs="Arial"/>
        </w:rPr>
      </w:pPr>
      <w:r>
        <w:rPr>
          <w:rFonts w:ascii="Arial" w:eastAsiaTheme="minorEastAsia" w:hAnsi="Arial" w:cs="Arial"/>
          <w:b/>
          <w:color w:val="000000" w:themeColor="text1"/>
          <w:kern w:val="24"/>
        </w:rPr>
        <w:t xml:space="preserve">Supplementary Fig. </w:t>
      </w:r>
      <w:r w:rsidR="00FB3F1E" w:rsidRPr="00F75649">
        <w:rPr>
          <w:rFonts w:ascii="Arial" w:eastAsiaTheme="minorEastAsia" w:hAnsi="Arial" w:cs="Arial"/>
          <w:b/>
          <w:color w:val="000000" w:themeColor="text1"/>
          <w:kern w:val="24"/>
        </w:rPr>
        <w:t>4</w:t>
      </w:r>
      <w:r w:rsidR="00FB3F1E">
        <w:rPr>
          <w:rFonts w:ascii="Arial" w:eastAsiaTheme="minorEastAsia" w:hAnsi="Arial" w:cs="Arial"/>
          <w:color w:val="000000" w:themeColor="text1"/>
          <w:kern w:val="24"/>
        </w:rPr>
        <w:t xml:space="preserve"> </w:t>
      </w:r>
      <w:r w:rsidR="00FB3F1E">
        <w:rPr>
          <w:rFonts w:ascii="Arial" w:hAnsi="Arial" w:cs="Arial"/>
        </w:rPr>
        <w:t xml:space="preserve">SEM image of the cross-section view of the a) SMSCs and b) </w:t>
      </w:r>
      <w:r w:rsidR="003D66A7">
        <w:rPr>
          <w:rFonts w:ascii="Arial" w:hAnsi="Arial" w:cs="Arial"/>
        </w:rPr>
        <w:t>D</w:t>
      </w:r>
      <w:r w:rsidR="00FB3F1E">
        <w:rPr>
          <w:rFonts w:ascii="Arial" w:hAnsi="Arial" w:cs="Arial"/>
        </w:rPr>
        <w:t>MSCs.</w:t>
      </w:r>
    </w:p>
    <w:p w:rsidR="00255894" w:rsidRDefault="001477DC" w:rsidP="00387BA4">
      <w:pPr>
        <w:pStyle w:val="ab"/>
        <w:spacing w:before="0" w:beforeAutospacing="0" w:after="0" w:afterAutospacing="0" w:line="360" w:lineRule="auto"/>
        <w:jc w:val="both"/>
        <w:rPr>
          <w:rFonts w:ascii="Arial" w:hAnsi="Arial" w:cs="Arial"/>
        </w:rPr>
      </w:pPr>
      <w:r>
        <w:rPr>
          <w:noProof/>
        </w:rPr>
        <w:drawing>
          <wp:inline distT="0" distB="0" distL="0" distR="0" wp14:anchorId="03B2A832" wp14:editId="04CCAA39">
            <wp:extent cx="5274310" cy="1329690"/>
            <wp:effectExtent l="0" t="0" r="254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329690"/>
                    </a:xfrm>
                    <a:prstGeom prst="rect">
                      <a:avLst/>
                    </a:prstGeom>
                  </pic:spPr>
                </pic:pic>
              </a:graphicData>
            </a:graphic>
          </wp:inline>
        </w:drawing>
      </w:r>
    </w:p>
    <w:p w:rsidR="008C7C36" w:rsidRDefault="00B21252" w:rsidP="00387BA4">
      <w:pPr>
        <w:pStyle w:val="ab"/>
        <w:spacing w:before="0" w:beforeAutospacing="0" w:after="0" w:afterAutospacing="0" w:line="360" w:lineRule="auto"/>
        <w:jc w:val="both"/>
        <w:rPr>
          <w:rFonts w:ascii="Arial" w:eastAsiaTheme="minorEastAsia" w:hAnsi="Arial" w:cs="Arial"/>
          <w:color w:val="000000" w:themeColor="text1"/>
          <w:kern w:val="24"/>
        </w:rPr>
      </w:pPr>
      <w:r>
        <w:rPr>
          <w:rFonts w:ascii="Arial" w:eastAsiaTheme="minorEastAsia" w:hAnsi="Arial" w:cs="Arial"/>
          <w:b/>
          <w:color w:val="000000" w:themeColor="text1"/>
          <w:kern w:val="24"/>
        </w:rPr>
        <w:t xml:space="preserve">Supplementary Fig. </w:t>
      </w:r>
      <w:r w:rsidR="00FB3F1E" w:rsidRPr="00F75649">
        <w:rPr>
          <w:rFonts w:ascii="Arial" w:eastAsiaTheme="minorEastAsia" w:hAnsi="Arial" w:cs="Arial"/>
          <w:b/>
          <w:color w:val="000000" w:themeColor="text1"/>
          <w:kern w:val="24"/>
        </w:rPr>
        <w:t>5</w:t>
      </w:r>
      <w:r w:rsidR="00FB3F1E">
        <w:rPr>
          <w:rFonts w:ascii="Arial" w:eastAsiaTheme="minorEastAsia" w:hAnsi="Arial" w:cs="Arial"/>
          <w:color w:val="000000" w:themeColor="text1"/>
          <w:kern w:val="24"/>
        </w:rPr>
        <w:t xml:space="preserve"> Electrochemical performance of the overall IMSCs. a) CV curves measured at scan rates of 40-200 mV/s. b) The galvanostatic charging/discharging curves of MSCs under different current values. c) Cycling performance of IMSCs under scanning rate of 80 mV/s.</w:t>
      </w:r>
    </w:p>
    <w:p w:rsidR="008C7C36" w:rsidRDefault="00FB3F1E" w:rsidP="00387BA4">
      <w:pPr>
        <w:pStyle w:val="ab"/>
        <w:spacing w:before="0" w:beforeAutospacing="0" w:after="0" w:afterAutospacing="0" w:line="360" w:lineRule="auto"/>
        <w:jc w:val="center"/>
        <w:rPr>
          <w:rFonts w:ascii="Arial" w:eastAsiaTheme="minorEastAsia" w:hAnsi="Arial" w:cs="Arial"/>
          <w:color w:val="000000" w:themeColor="text1"/>
          <w:kern w:val="24"/>
        </w:rPr>
      </w:pPr>
      <w:r>
        <w:rPr>
          <w:noProof/>
        </w:rPr>
        <w:drawing>
          <wp:inline distT="0" distB="0" distL="0" distR="0">
            <wp:extent cx="2186940" cy="1753235"/>
            <wp:effectExtent l="0" t="0" r="381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2199485" cy="1763349"/>
                    </a:xfrm>
                    <a:prstGeom prst="rect">
                      <a:avLst/>
                    </a:prstGeom>
                  </pic:spPr>
                </pic:pic>
              </a:graphicData>
            </a:graphic>
          </wp:inline>
        </w:drawing>
      </w:r>
    </w:p>
    <w:p w:rsidR="008C7C36" w:rsidRPr="00413CAA" w:rsidRDefault="00B21252" w:rsidP="00413CAA">
      <w:pPr>
        <w:autoSpaceDE w:val="0"/>
        <w:autoSpaceDN w:val="0"/>
        <w:adjustRightInd w:val="0"/>
        <w:spacing w:line="360" w:lineRule="auto"/>
        <w:rPr>
          <w:rFonts w:ascii="Arial" w:hAnsi="Arial" w:cs="Arial"/>
          <w:color w:val="000000" w:themeColor="text1"/>
          <w:kern w:val="24"/>
          <w:sz w:val="24"/>
          <w:szCs w:val="24"/>
        </w:rPr>
      </w:pPr>
      <w:r>
        <w:rPr>
          <w:rFonts w:ascii="Arial" w:hAnsi="Arial" w:cs="Arial"/>
          <w:b/>
          <w:color w:val="000000" w:themeColor="text1"/>
          <w:kern w:val="24"/>
          <w:sz w:val="24"/>
          <w:szCs w:val="24"/>
        </w:rPr>
        <w:t xml:space="preserve">Supplementary Fig. </w:t>
      </w:r>
      <w:r w:rsidR="00FB3F1E" w:rsidRPr="00F75649">
        <w:rPr>
          <w:rFonts w:ascii="Arial" w:hAnsi="Arial" w:cs="Arial"/>
          <w:b/>
          <w:color w:val="000000" w:themeColor="text1"/>
          <w:kern w:val="24"/>
          <w:sz w:val="24"/>
          <w:szCs w:val="24"/>
        </w:rPr>
        <w:t>6</w:t>
      </w:r>
      <w:r w:rsidR="00FB3F1E" w:rsidRPr="00255894">
        <w:rPr>
          <w:rFonts w:ascii="Arial" w:hAnsi="Arial" w:cs="Arial"/>
          <w:color w:val="000000" w:themeColor="text1"/>
          <w:kern w:val="24"/>
          <w:sz w:val="24"/>
          <w:szCs w:val="24"/>
        </w:rPr>
        <w:t xml:space="preserve"> Contribution ratio of the capacitive-controlled charge under the scanning rate at 150 mV/s. This graph is calculated by</w:t>
      </w:r>
      <m:oMath>
        <m:r>
          <m:rPr>
            <m:sty m:val="p"/>
          </m:rPr>
          <w:rPr>
            <w:rFonts w:ascii="Cambria Math" w:hAnsi="Cambria Math" w:cs="Arial"/>
            <w:color w:val="000000" w:themeColor="text1"/>
            <w:kern w:val="24"/>
            <w:sz w:val="24"/>
            <w:szCs w:val="24"/>
          </w:rPr>
          <m:t xml:space="preserve"> i=</m:t>
        </m:r>
        <m:sSub>
          <m:sSubPr>
            <m:ctrlPr>
              <w:rPr>
                <w:rFonts w:ascii="Cambria Math" w:hAnsi="Cambria Math" w:cs="Arial"/>
                <w:color w:val="000000" w:themeColor="text1"/>
                <w:kern w:val="24"/>
                <w:sz w:val="24"/>
                <w:szCs w:val="24"/>
              </w:rPr>
            </m:ctrlPr>
          </m:sSubPr>
          <m:e>
            <m:r>
              <w:rPr>
                <w:rFonts w:ascii="Cambria Math" w:hAnsi="Cambria Math" w:cs="Arial"/>
                <w:color w:val="000000" w:themeColor="text1"/>
                <w:kern w:val="24"/>
                <w:sz w:val="24"/>
                <w:szCs w:val="24"/>
              </w:rPr>
              <m:t>k</m:t>
            </m:r>
          </m:e>
          <m:sub>
            <m:r>
              <m:rPr>
                <m:sty m:val="p"/>
              </m:rPr>
              <w:rPr>
                <w:rFonts w:ascii="Cambria Math" w:hAnsi="Cambria Math" w:cs="Arial"/>
                <w:color w:val="000000" w:themeColor="text1"/>
                <w:kern w:val="24"/>
                <w:sz w:val="24"/>
                <w:szCs w:val="24"/>
              </w:rPr>
              <m:t>1</m:t>
            </m:r>
          </m:sub>
        </m:sSub>
        <m:r>
          <w:rPr>
            <w:rFonts w:ascii="Cambria Math" w:hAnsi="Cambria Math" w:cs="Arial"/>
            <w:color w:val="000000" w:themeColor="text1"/>
            <w:kern w:val="24"/>
            <w:sz w:val="24"/>
            <w:szCs w:val="24"/>
          </w:rPr>
          <m:t>v</m:t>
        </m:r>
      </m:oMath>
      <w:r w:rsidR="00FB3F1E" w:rsidRPr="00255894">
        <w:rPr>
          <w:rFonts w:ascii="Arial" w:hAnsi="Arial" w:cs="Arial"/>
          <w:color w:val="000000" w:themeColor="text1"/>
          <w:kern w:val="24"/>
          <w:sz w:val="24"/>
          <w:szCs w:val="24"/>
        </w:rPr>
        <w:t>+</w:t>
      </w:r>
      <m:oMath>
        <m:sSub>
          <m:sSubPr>
            <m:ctrlPr>
              <w:rPr>
                <w:rFonts w:ascii="Cambria Math" w:hAnsi="Cambria Math" w:cs="Arial"/>
                <w:color w:val="000000" w:themeColor="text1"/>
                <w:kern w:val="24"/>
                <w:sz w:val="24"/>
                <w:szCs w:val="24"/>
              </w:rPr>
            </m:ctrlPr>
          </m:sSubPr>
          <m:e>
            <m:r>
              <w:rPr>
                <w:rFonts w:ascii="Cambria Math" w:hAnsi="Cambria Math" w:cs="Arial"/>
                <w:color w:val="000000" w:themeColor="text1"/>
                <w:kern w:val="24"/>
                <w:sz w:val="24"/>
                <w:szCs w:val="24"/>
              </w:rPr>
              <m:t>k</m:t>
            </m:r>
          </m:e>
          <m:sub>
            <m:r>
              <m:rPr>
                <m:sty m:val="p"/>
              </m:rPr>
              <w:rPr>
                <w:rFonts w:ascii="Cambria Math" w:hAnsi="Cambria Math" w:cs="Arial"/>
                <w:color w:val="000000" w:themeColor="text1"/>
                <w:kern w:val="24"/>
                <w:sz w:val="24"/>
                <w:szCs w:val="24"/>
              </w:rPr>
              <m:t>2</m:t>
            </m:r>
          </m:sub>
        </m:sSub>
        <m:sSup>
          <m:sSupPr>
            <m:ctrlPr>
              <w:rPr>
                <w:rFonts w:ascii="Cambria Math" w:hAnsi="Cambria Math" w:cs="Arial"/>
                <w:color w:val="000000" w:themeColor="text1"/>
                <w:kern w:val="24"/>
                <w:sz w:val="24"/>
                <w:szCs w:val="24"/>
              </w:rPr>
            </m:ctrlPr>
          </m:sSupPr>
          <m:e>
            <m:r>
              <w:rPr>
                <w:rFonts w:ascii="Cambria Math" w:hAnsi="Cambria Math" w:cs="Arial"/>
                <w:color w:val="000000" w:themeColor="text1"/>
                <w:kern w:val="24"/>
                <w:sz w:val="24"/>
                <w:szCs w:val="24"/>
              </w:rPr>
              <m:t>v</m:t>
            </m:r>
          </m:e>
          <m:sup>
            <m:f>
              <m:fPr>
                <m:ctrlPr>
                  <w:rPr>
                    <w:rFonts w:ascii="Cambria Math" w:hAnsi="Cambria Math" w:cs="Arial"/>
                    <w:color w:val="000000" w:themeColor="text1"/>
                    <w:kern w:val="24"/>
                    <w:sz w:val="24"/>
                    <w:szCs w:val="24"/>
                  </w:rPr>
                </m:ctrlPr>
              </m:fPr>
              <m:num>
                <m:r>
                  <m:rPr>
                    <m:sty m:val="p"/>
                  </m:rPr>
                  <w:rPr>
                    <w:rFonts w:ascii="Cambria Math" w:hAnsi="Cambria Math" w:cs="Arial"/>
                    <w:color w:val="000000" w:themeColor="text1"/>
                    <w:kern w:val="24"/>
                    <w:sz w:val="24"/>
                    <w:szCs w:val="24"/>
                  </w:rPr>
                  <m:t>1</m:t>
                </m:r>
              </m:num>
              <m:den>
                <m:r>
                  <m:rPr>
                    <m:sty m:val="p"/>
                  </m:rPr>
                  <w:rPr>
                    <w:rFonts w:ascii="Cambria Math" w:hAnsi="Cambria Math" w:cs="Arial"/>
                    <w:color w:val="000000" w:themeColor="text1"/>
                    <w:kern w:val="24"/>
                    <w:sz w:val="24"/>
                    <w:szCs w:val="24"/>
                  </w:rPr>
                  <m:t>2</m:t>
                </m:r>
              </m:den>
            </m:f>
          </m:sup>
        </m:sSup>
      </m:oMath>
      <w:r w:rsidR="00FB3F1E" w:rsidRPr="00255894">
        <w:rPr>
          <w:rFonts w:ascii="Arial" w:hAnsi="Arial" w:cs="Arial"/>
          <w:color w:val="000000" w:themeColor="text1"/>
          <w:kern w:val="24"/>
          <w:sz w:val="24"/>
          <w:szCs w:val="24"/>
        </w:rPr>
        <w:t xml:space="preserve"> and </w:t>
      </w:r>
      <m:oMath>
        <m:r>
          <m:rPr>
            <m:sty m:val="p"/>
          </m:rPr>
          <w:rPr>
            <w:rFonts w:ascii="Cambria Math" w:hAnsi="Cambria Math" w:cs="Arial"/>
            <w:color w:val="000000" w:themeColor="text1"/>
            <w:kern w:val="24"/>
            <w:sz w:val="24"/>
            <w:szCs w:val="24"/>
          </w:rPr>
          <m:t>i=a</m:t>
        </m:r>
        <m:sSup>
          <m:sSupPr>
            <m:ctrlPr>
              <w:rPr>
                <w:rFonts w:ascii="Cambria Math" w:hAnsi="Cambria Math" w:cs="Arial"/>
                <w:color w:val="000000" w:themeColor="text1"/>
                <w:kern w:val="24"/>
                <w:sz w:val="24"/>
                <w:szCs w:val="24"/>
              </w:rPr>
            </m:ctrlPr>
          </m:sSupPr>
          <m:e>
            <m:r>
              <w:rPr>
                <w:rFonts w:ascii="Cambria Math" w:hAnsi="Cambria Math" w:cs="Arial"/>
                <w:color w:val="000000" w:themeColor="text1"/>
                <w:kern w:val="24"/>
                <w:sz w:val="24"/>
                <w:szCs w:val="24"/>
              </w:rPr>
              <m:t>v</m:t>
            </m:r>
          </m:e>
          <m:sup>
            <m:r>
              <w:rPr>
                <w:rFonts w:ascii="Cambria Math" w:hAnsi="Cambria Math" w:cs="Arial"/>
                <w:color w:val="000000" w:themeColor="text1"/>
                <w:kern w:val="24"/>
                <w:sz w:val="24"/>
                <w:szCs w:val="24"/>
              </w:rPr>
              <m:t>b</m:t>
            </m:r>
          </m:sup>
        </m:sSup>
      </m:oMath>
      <w:r w:rsidR="00FB3F1E" w:rsidRPr="00255894">
        <w:rPr>
          <w:rFonts w:ascii="Arial" w:hAnsi="Arial" w:cs="Arial"/>
          <w:color w:val="000000" w:themeColor="text1"/>
          <w:kern w:val="24"/>
          <w:sz w:val="24"/>
          <w:szCs w:val="24"/>
        </w:rPr>
        <w:t xml:space="preserve">, where </w:t>
      </w:r>
      <m:oMath>
        <m:sSub>
          <m:sSubPr>
            <m:ctrlPr>
              <w:rPr>
                <w:rFonts w:ascii="Cambria Math" w:hAnsi="Cambria Math" w:cs="Arial"/>
                <w:color w:val="000000" w:themeColor="text1"/>
                <w:kern w:val="24"/>
                <w:sz w:val="24"/>
                <w:szCs w:val="24"/>
              </w:rPr>
            </m:ctrlPr>
          </m:sSubPr>
          <m:e>
            <m:r>
              <w:rPr>
                <w:rFonts w:ascii="Cambria Math" w:hAnsi="Cambria Math" w:cs="Arial"/>
                <w:color w:val="000000" w:themeColor="text1"/>
                <w:kern w:val="24"/>
                <w:sz w:val="24"/>
                <w:szCs w:val="24"/>
              </w:rPr>
              <m:t>k</m:t>
            </m:r>
          </m:e>
          <m:sub>
            <m:r>
              <m:rPr>
                <m:sty m:val="p"/>
              </m:rPr>
              <w:rPr>
                <w:rFonts w:ascii="Cambria Math" w:hAnsi="Cambria Math" w:cs="Arial"/>
                <w:color w:val="000000" w:themeColor="text1"/>
                <w:kern w:val="24"/>
                <w:sz w:val="24"/>
                <w:szCs w:val="24"/>
              </w:rPr>
              <m:t>1</m:t>
            </m:r>
          </m:sub>
        </m:sSub>
        <m:r>
          <w:rPr>
            <w:rFonts w:ascii="Cambria Math" w:hAnsi="Cambria Math" w:cs="Arial"/>
            <w:color w:val="000000" w:themeColor="text1"/>
            <w:kern w:val="24"/>
            <w:sz w:val="24"/>
            <w:szCs w:val="24"/>
          </w:rPr>
          <m:t>v</m:t>
        </m:r>
      </m:oMath>
      <w:r w:rsidR="00FB3F1E" w:rsidRPr="00255894">
        <w:rPr>
          <w:rFonts w:ascii="Arial" w:hAnsi="Arial" w:cs="Arial"/>
          <w:color w:val="000000" w:themeColor="text1"/>
          <w:kern w:val="24"/>
          <w:sz w:val="24"/>
          <w:szCs w:val="24"/>
        </w:rPr>
        <w:t xml:space="preserve"> and </w:t>
      </w:r>
      <m:oMath>
        <m:sSub>
          <m:sSubPr>
            <m:ctrlPr>
              <w:rPr>
                <w:rFonts w:ascii="Cambria Math" w:hAnsi="Cambria Math" w:cs="Arial"/>
                <w:color w:val="000000" w:themeColor="text1"/>
                <w:kern w:val="24"/>
                <w:sz w:val="24"/>
                <w:szCs w:val="24"/>
              </w:rPr>
            </m:ctrlPr>
          </m:sSubPr>
          <m:e>
            <m:r>
              <w:rPr>
                <w:rFonts w:ascii="Cambria Math" w:hAnsi="Cambria Math" w:cs="Arial"/>
                <w:color w:val="000000" w:themeColor="text1"/>
                <w:kern w:val="24"/>
                <w:sz w:val="24"/>
                <w:szCs w:val="24"/>
              </w:rPr>
              <m:t>k</m:t>
            </m:r>
          </m:e>
          <m:sub>
            <m:r>
              <m:rPr>
                <m:sty m:val="p"/>
              </m:rPr>
              <w:rPr>
                <w:rFonts w:ascii="Cambria Math" w:hAnsi="Cambria Math" w:cs="Arial"/>
                <w:color w:val="000000" w:themeColor="text1"/>
                <w:kern w:val="24"/>
                <w:sz w:val="24"/>
                <w:szCs w:val="24"/>
              </w:rPr>
              <m:t>2</m:t>
            </m:r>
          </m:sub>
        </m:sSub>
        <m:sSup>
          <m:sSupPr>
            <m:ctrlPr>
              <w:rPr>
                <w:rFonts w:ascii="Cambria Math" w:hAnsi="Cambria Math" w:cs="Arial"/>
                <w:color w:val="000000" w:themeColor="text1"/>
                <w:kern w:val="24"/>
                <w:sz w:val="24"/>
                <w:szCs w:val="24"/>
              </w:rPr>
            </m:ctrlPr>
          </m:sSupPr>
          <m:e>
            <m:r>
              <w:rPr>
                <w:rFonts w:ascii="Cambria Math" w:hAnsi="Cambria Math" w:cs="Arial"/>
                <w:color w:val="000000" w:themeColor="text1"/>
                <w:kern w:val="24"/>
                <w:sz w:val="24"/>
                <w:szCs w:val="24"/>
              </w:rPr>
              <m:t>v</m:t>
            </m:r>
          </m:e>
          <m:sup>
            <m:f>
              <m:fPr>
                <m:ctrlPr>
                  <w:rPr>
                    <w:rFonts w:ascii="Cambria Math" w:hAnsi="Cambria Math" w:cs="Arial"/>
                    <w:color w:val="000000" w:themeColor="text1"/>
                    <w:kern w:val="24"/>
                    <w:sz w:val="24"/>
                    <w:szCs w:val="24"/>
                  </w:rPr>
                </m:ctrlPr>
              </m:fPr>
              <m:num>
                <m:r>
                  <m:rPr>
                    <m:sty m:val="p"/>
                  </m:rPr>
                  <w:rPr>
                    <w:rFonts w:ascii="Cambria Math" w:hAnsi="Cambria Math" w:cs="Arial"/>
                    <w:color w:val="000000" w:themeColor="text1"/>
                    <w:kern w:val="24"/>
                    <w:sz w:val="24"/>
                    <w:szCs w:val="24"/>
                  </w:rPr>
                  <m:t>1</m:t>
                </m:r>
              </m:num>
              <m:den>
                <m:r>
                  <m:rPr>
                    <m:sty m:val="p"/>
                  </m:rPr>
                  <w:rPr>
                    <w:rFonts w:ascii="Cambria Math" w:hAnsi="Cambria Math" w:cs="Arial"/>
                    <w:color w:val="000000" w:themeColor="text1"/>
                    <w:kern w:val="24"/>
                    <w:sz w:val="24"/>
                    <w:szCs w:val="24"/>
                  </w:rPr>
                  <m:t>2</m:t>
                </m:r>
              </m:den>
            </m:f>
          </m:sup>
        </m:sSup>
      </m:oMath>
      <w:r w:rsidR="00FB3F1E" w:rsidRPr="00255894">
        <w:rPr>
          <w:rFonts w:ascii="Arial" w:hAnsi="Arial" w:cs="Arial"/>
          <w:color w:val="000000" w:themeColor="text1"/>
          <w:kern w:val="24"/>
          <w:sz w:val="24"/>
          <w:szCs w:val="24"/>
        </w:rPr>
        <w:t xml:space="preserve"> are capacitive and diffusion-controlled contributions of the current, and </w:t>
      </w:r>
      <m:oMath>
        <m:r>
          <w:rPr>
            <w:rFonts w:ascii="Cambria Math" w:hAnsi="Cambria Math" w:cs="Arial"/>
            <w:color w:val="000000" w:themeColor="text1"/>
            <w:kern w:val="24"/>
            <w:sz w:val="24"/>
            <w:szCs w:val="24"/>
          </w:rPr>
          <m:t>i</m:t>
        </m:r>
      </m:oMath>
      <w:r w:rsidR="00FB3F1E" w:rsidRPr="00255894">
        <w:rPr>
          <w:rFonts w:ascii="Arial" w:hAnsi="Arial" w:cs="Arial"/>
          <w:color w:val="000000" w:themeColor="text1"/>
          <w:kern w:val="24"/>
          <w:sz w:val="24"/>
          <w:szCs w:val="24"/>
        </w:rPr>
        <w:t xml:space="preserve"> is the current, </w:t>
      </w:r>
      <m:oMath>
        <m:r>
          <w:rPr>
            <w:rFonts w:ascii="Cambria Math" w:hAnsi="Cambria Math" w:cs="Arial"/>
            <w:color w:val="000000" w:themeColor="text1"/>
            <w:kern w:val="24"/>
            <w:sz w:val="24"/>
            <w:szCs w:val="24"/>
          </w:rPr>
          <m:t>v</m:t>
        </m:r>
      </m:oMath>
      <w:r w:rsidR="00FB3F1E" w:rsidRPr="00255894">
        <w:rPr>
          <w:rFonts w:ascii="Arial" w:hAnsi="Arial" w:cs="Arial"/>
          <w:color w:val="000000" w:themeColor="text1"/>
          <w:kern w:val="24"/>
          <w:sz w:val="24"/>
          <w:szCs w:val="24"/>
        </w:rPr>
        <w:t xml:space="preserve"> is the scanning rate, a and </w:t>
      </w:r>
      <w:r w:rsidR="00FB3F1E" w:rsidRPr="00255894">
        <w:rPr>
          <w:rFonts w:ascii="Arial" w:hAnsi="Arial" w:cs="Arial"/>
          <w:color w:val="000000" w:themeColor="text1"/>
          <w:kern w:val="24"/>
          <w:sz w:val="24"/>
          <w:szCs w:val="24"/>
        </w:rPr>
        <w:lastRenderedPageBreak/>
        <w:t>b are adjustable parameters.</w:t>
      </w:r>
      <w:r w:rsidR="00FB3F1E" w:rsidRPr="00255894">
        <w:rPr>
          <w:rFonts w:ascii="Arial" w:hAnsi="Arial" w:cs="Arial"/>
          <w:color w:val="000000" w:themeColor="text1"/>
          <w:kern w:val="24"/>
          <w:sz w:val="24"/>
          <w:szCs w:val="24"/>
          <w:vertAlign w:val="superscript"/>
        </w:rPr>
        <w:fldChar w:fldCharType="begin"/>
      </w:r>
      <w:r w:rsidR="00C7029E">
        <w:rPr>
          <w:rFonts w:ascii="Arial" w:hAnsi="Arial" w:cs="Arial"/>
          <w:color w:val="000000" w:themeColor="text1"/>
          <w:kern w:val="24"/>
          <w:sz w:val="24"/>
          <w:szCs w:val="24"/>
          <w:vertAlign w:val="superscript"/>
        </w:rPr>
        <w:instrText xml:space="preserve"> ADDIN EN.CITE &lt;EndNote&gt;&lt;Cite&gt;&lt;Author&gt;Liu&lt;/Author&gt;&lt;RecNum&gt;460&lt;/RecNum&gt;&lt;DisplayText&gt;&lt;style face="superscript"&gt;1&lt;/style&gt;&lt;/DisplayText&gt;&lt;record&gt;&lt;rec-number&gt;460&lt;/rec-number&gt;&lt;foreign-keys&gt;&lt;key app="EN" db-id="re20520x8wddrqe0zeox90s6dvppr0xe0zpa" timestamp="1596800865"&gt;460&lt;/key&gt;&lt;/foreign-keys&gt;&lt;ref-type name="Journal Article"&gt;17&lt;/ref-type&gt;&lt;contributors&gt;&lt;authors&gt;&lt;author&gt;Liu, Qianwen&lt;/author&gt;&lt;author&gt;Zhang, Guofeng&lt;/author&gt;&lt;author&gt;Chen, Nan&lt;/author&gt;&lt;author&gt;Feng, Xixi&lt;/author&gt;&lt;author&gt;Wang, Chengzhi&lt;/author&gt;&lt;author&gt;Wang, Jiaqi&lt;/author&gt;&lt;author&gt;Jin, Xuting&lt;/author&gt;&lt;author&gt;Qu, Liangti&lt;/author&gt;&lt;/authors&gt;&lt;/contributors&gt;&lt;titles&gt;&lt;title&gt;The first flexible dual-ion microbattery demonstrates superior capacity and ultrahigh energy density: small and powerful&lt;/title&gt;&lt;secondary-title&gt;Advanced Functional Materials&lt;/secondary-title&gt;&lt;/titles&gt;&lt;periodical&gt;&lt;full-title&gt;Advanced Functional Materials&lt;/full-title&gt;&lt;abbr-1&gt;Adv. Funct. Mater.&lt;/abbr-1&gt;&lt;/periodical&gt;&lt;pages&gt;2002086&lt;/pages&gt;&lt;volume&gt;30&lt;/volume&gt;&lt;dates&gt;&lt;/dates&gt;&lt;isbn&gt;1616-301X&lt;/isbn&gt;&lt;urls&gt;&lt;related-urls&gt;&lt;url&gt;https://onlinelibrary.wiley.com/doi/abs/10.1002/adfm.202002086&lt;/url&gt;&lt;/related-urls&gt;&lt;/urls&gt;&lt;electronic-resource-num&gt;10.1002/adfm.202002086&lt;/electronic-resource-num&gt;&lt;/record&gt;&lt;/Cite&gt;&lt;/EndNote&gt;</w:instrText>
      </w:r>
      <w:r w:rsidR="00FB3F1E" w:rsidRPr="00255894">
        <w:rPr>
          <w:rFonts w:ascii="Arial" w:hAnsi="Arial" w:cs="Arial"/>
          <w:color w:val="000000" w:themeColor="text1"/>
          <w:kern w:val="24"/>
          <w:sz w:val="24"/>
          <w:szCs w:val="24"/>
          <w:vertAlign w:val="superscript"/>
        </w:rPr>
        <w:fldChar w:fldCharType="separate"/>
      </w:r>
      <w:r w:rsidR="00FB3F1E" w:rsidRPr="00255894">
        <w:rPr>
          <w:rFonts w:ascii="Arial" w:hAnsi="Arial" w:cs="Arial"/>
          <w:noProof/>
          <w:color w:val="000000" w:themeColor="text1"/>
          <w:kern w:val="24"/>
          <w:sz w:val="24"/>
          <w:szCs w:val="24"/>
          <w:vertAlign w:val="superscript"/>
        </w:rPr>
        <w:t>1</w:t>
      </w:r>
      <w:r w:rsidR="00FB3F1E" w:rsidRPr="00255894">
        <w:rPr>
          <w:rFonts w:ascii="Arial" w:hAnsi="Arial" w:cs="Arial"/>
          <w:color w:val="000000" w:themeColor="text1"/>
          <w:kern w:val="24"/>
          <w:sz w:val="24"/>
          <w:szCs w:val="24"/>
          <w:vertAlign w:val="superscript"/>
        </w:rPr>
        <w:fldChar w:fldCharType="end"/>
      </w:r>
      <w:r w:rsidR="00FB3F1E" w:rsidRPr="00255894">
        <w:rPr>
          <w:rFonts w:ascii="Arial" w:hAnsi="Arial" w:cs="Arial"/>
          <w:color w:val="000000" w:themeColor="text1"/>
          <w:kern w:val="24"/>
          <w:sz w:val="24"/>
          <w:szCs w:val="24"/>
        </w:rPr>
        <w:t xml:space="preserve"> </w:t>
      </w:r>
    </w:p>
    <w:p w:rsidR="008C7C36" w:rsidRDefault="00413CAA" w:rsidP="00387BA4">
      <w:pPr>
        <w:pStyle w:val="ab"/>
        <w:spacing w:before="0" w:beforeAutospacing="0" w:after="0" w:afterAutospacing="0" w:line="360" w:lineRule="auto"/>
        <w:jc w:val="center"/>
        <w:rPr>
          <w:rFonts w:ascii="Arial" w:eastAsiaTheme="minorEastAsia" w:hAnsi="Arial" w:cs="Arial"/>
          <w:color w:val="000000" w:themeColor="text1"/>
          <w:kern w:val="24"/>
        </w:rPr>
      </w:pPr>
      <w:r>
        <w:rPr>
          <w:noProof/>
        </w:rPr>
        <w:drawing>
          <wp:inline distT="0" distB="0" distL="0" distR="0" wp14:anchorId="08A7D1CD" wp14:editId="3352BCF5">
            <wp:extent cx="5274310" cy="362458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624580"/>
                    </a:xfrm>
                    <a:prstGeom prst="rect">
                      <a:avLst/>
                    </a:prstGeom>
                  </pic:spPr>
                </pic:pic>
              </a:graphicData>
            </a:graphic>
          </wp:inline>
        </w:drawing>
      </w:r>
    </w:p>
    <w:p w:rsidR="008C7C36" w:rsidRDefault="00B21252" w:rsidP="00387BA4">
      <w:pPr>
        <w:widowControl/>
        <w:spacing w:line="360" w:lineRule="auto"/>
        <w:rPr>
          <w:rFonts w:ascii="Arial" w:hAnsi="Arial" w:cs="Arial"/>
          <w:color w:val="000000" w:themeColor="text1"/>
          <w:kern w:val="24"/>
          <w:sz w:val="24"/>
          <w:szCs w:val="24"/>
        </w:rPr>
      </w:pPr>
      <w:r>
        <w:rPr>
          <w:rFonts w:ascii="Arial" w:hAnsi="Arial" w:cs="Arial"/>
          <w:b/>
          <w:color w:val="000000" w:themeColor="text1"/>
          <w:kern w:val="24"/>
          <w:sz w:val="24"/>
          <w:szCs w:val="24"/>
        </w:rPr>
        <w:t xml:space="preserve">Supplementary Fig. </w:t>
      </w:r>
      <w:r w:rsidR="00FB3F1E" w:rsidRPr="00F75649">
        <w:rPr>
          <w:rFonts w:ascii="Arial" w:hAnsi="Arial" w:cs="Arial"/>
          <w:b/>
          <w:color w:val="000000" w:themeColor="text1"/>
          <w:kern w:val="24"/>
          <w:sz w:val="24"/>
          <w:szCs w:val="24"/>
        </w:rPr>
        <w:t>7</w:t>
      </w:r>
      <w:r w:rsidR="00FB3F1E">
        <w:rPr>
          <w:rFonts w:ascii="Arial" w:hAnsi="Arial" w:cs="Arial"/>
          <w:color w:val="000000" w:themeColor="text1"/>
          <w:kern w:val="24"/>
          <w:sz w:val="24"/>
          <w:szCs w:val="24"/>
        </w:rPr>
        <w:t xml:space="preserve"> </w:t>
      </w:r>
      <w:r w:rsidR="00CC0E8B">
        <w:rPr>
          <w:rFonts w:ascii="Arial" w:hAnsi="Arial" w:cs="Arial"/>
          <w:color w:val="000000" w:themeColor="text1"/>
          <w:kern w:val="24"/>
          <w:sz w:val="24"/>
          <w:szCs w:val="24"/>
        </w:rPr>
        <w:t>Parameters investigation of WCC</w:t>
      </w:r>
      <w:r w:rsidR="006D403B">
        <w:rPr>
          <w:rFonts w:ascii="Arial" w:hAnsi="Arial" w:cs="Arial"/>
          <w:color w:val="000000" w:themeColor="text1"/>
          <w:kern w:val="24"/>
          <w:sz w:val="24"/>
          <w:szCs w:val="24"/>
        </w:rPr>
        <w:t xml:space="preserve"> in IWC-MSCs</w:t>
      </w:r>
      <w:r w:rsidR="00CC0E8B">
        <w:rPr>
          <w:rFonts w:ascii="Arial" w:hAnsi="Arial" w:cs="Arial"/>
          <w:color w:val="000000" w:themeColor="text1"/>
          <w:kern w:val="24"/>
          <w:sz w:val="24"/>
          <w:szCs w:val="24"/>
        </w:rPr>
        <w:t xml:space="preserve">. </w:t>
      </w:r>
      <w:r w:rsidR="00FB3F1E">
        <w:rPr>
          <w:rFonts w:ascii="Arial" w:hAnsi="Arial" w:cs="Arial"/>
          <w:color w:val="000000" w:themeColor="text1"/>
          <w:kern w:val="24"/>
          <w:sz w:val="24"/>
          <w:szCs w:val="24"/>
        </w:rPr>
        <w:t>a) A schematic of the WCC (orange color) in IWC-</w:t>
      </w:r>
      <w:r w:rsidR="00DF27BE">
        <w:rPr>
          <w:rFonts w:ascii="Arial" w:hAnsi="Arial" w:cs="Arial"/>
          <w:color w:val="000000" w:themeColor="text1"/>
          <w:kern w:val="24"/>
          <w:sz w:val="24"/>
          <w:szCs w:val="24"/>
        </w:rPr>
        <w:t>MSCs</w:t>
      </w:r>
      <w:r w:rsidR="00FB3F1E">
        <w:rPr>
          <w:rFonts w:ascii="Arial" w:hAnsi="Arial" w:cs="Arial"/>
          <w:color w:val="000000" w:themeColor="text1"/>
          <w:kern w:val="24"/>
          <w:sz w:val="24"/>
          <w:szCs w:val="24"/>
        </w:rPr>
        <w:t>. In fact, the whole IWC-</w:t>
      </w:r>
      <w:r w:rsidR="00DF27BE">
        <w:rPr>
          <w:rFonts w:ascii="Arial" w:hAnsi="Arial" w:cs="Arial"/>
          <w:color w:val="000000" w:themeColor="text1"/>
          <w:kern w:val="24"/>
          <w:sz w:val="24"/>
          <w:szCs w:val="24"/>
        </w:rPr>
        <w:t xml:space="preserve">MSCs </w:t>
      </w:r>
      <w:r w:rsidR="00FB3F1E">
        <w:rPr>
          <w:rFonts w:ascii="Arial" w:hAnsi="Arial" w:cs="Arial"/>
          <w:color w:val="000000" w:themeColor="text1"/>
          <w:kern w:val="24"/>
          <w:sz w:val="24"/>
          <w:szCs w:val="24"/>
        </w:rPr>
        <w:t xml:space="preserve">functioning as a receiver. b) Sensing voltage signals of the WCC with various gap and c) the distance between the WCC and transmitter. d) Sensing current signals of WCC in the optimal state (0.8 mm gap and 1.0 cm distance). </w:t>
      </w:r>
    </w:p>
    <w:p w:rsidR="00D969B5" w:rsidRDefault="001D13AA" w:rsidP="00387BA4">
      <w:pPr>
        <w:widowControl/>
        <w:spacing w:line="360" w:lineRule="auto"/>
        <w:jc w:val="center"/>
        <w:rPr>
          <w:rFonts w:ascii="Arial" w:hAnsi="Arial" w:cs="Arial"/>
          <w:color w:val="000000" w:themeColor="text1"/>
          <w:kern w:val="24"/>
          <w:sz w:val="24"/>
          <w:szCs w:val="24"/>
        </w:rPr>
      </w:pPr>
      <w:r>
        <w:rPr>
          <w:noProof/>
        </w:rPr>
        <w:drawing>
          <wp:inline distT="0" distB="0" distL="0" distR="0" wp14:anchorId="6B5A40A3" wp14:editId="621DBC7E">
            <wp:extent cx="4733079" cy="2887372"/>
            <wp:effectExtent l="0" t="0" r="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38782" cy="2890851"/>
                    </a:xfrm>
                    <a:prstGeom prst="rect">
                      <a:avLst/>
                    </a:prstGeom>
                  </pic:spPr>
                </pic:pic>
              </a:graphicData>
            </a:graphic>
          </wp:inline>
        </w:drawing>
      </w:r>
    </w:p>
    <w:p w:rsidR="00DF5826" w:rsidRDefault="00B21252" w:rsidP="00387BA4">
      <w:pPr>
        <w:widowControl/>
        <w:spacing w:line="360" w:lineRule="auto"/>
        <w:rPr>
          <w:rFonts w:ascii="Arial" w:hAnsi="Arial" w:cs="Arial"/>
          <w:color w:val="000000" w:themeColor="text1"/>
          <w:kern w:val="24"/>
          <w:sz w:val="24"/>
          <w:szCs w:val="24"/>
        </w:rPr>
      </w:pPr>
      <w:r>
        <w:rPr>
          <w:rFonts w:ascii="Arial" w:hAnsi="Arial" w:cs="Arial"/>
          <w:b/>
          <w:color w:val="000000" w:themeColor="text1"/>
          <w:kern w:val="24"/>
          <w:sz w:val="24"/>
          <w:szCs w:val="24"/>
        </w:rPr>
        <w:lastRenderedPageBreak/>
        <w:t xml:space="preserve">Supplementary Fig. </w:t>
      </w:r>
      <w:r w:rsidR="00DF5826" w:rsidRPr="00F75649">
        <w:rPr>
          <w:rFonts w:ascii="Arial" w:hAnsi="Arial" w:cs="Arial"/>
          <w:b/>
          <w:color w:val="000000" w:themeColor="text1"/>
          <w:kern w:val="24"/>
          <w:sz w:val="24"/>
          <w:szCs w:val="24"/>
        </w:rPr>
        <w:t>8</w:t>
      </w:r>
      <w:r w:rsidR="00DF5826">
        <w:rPr>
          <w:rFonts w:ascii="Arial" w:hAnsi="Arial" w:cs="Arial"/>
          <w:color w:val="000000" w:themeColor="text1"/>
          <w:kern w:val="24"/>
          <w:sz w:val="24"/>
          <w:szCs w:val="24"/>
        </w:rPr>
        <w:t xml:space="preserve"> a)</w:t>
      </w:r>
      <w:r w:rsidR="005D2555">
        <w:rPr>
          <w:rFonts w:ascii="Arial" w:hAnsi="Arial" w:cs="Arial"/>
          <w:color w:val="000000" w:themeColor="text1"/>
          <w:kern w:val="24"/>
          <w:sz w:val="24"/>
          <w:szCs w:val="24"/>
        </w:rPr>
        <w:t xml:space="preserve"> </w:t>
      </w:r>
      <w:r w:rsidR="00DF5826">
        <w:rPr>
          <w:rFonts w:ascii="Arial" w:hAnsi="Arial" w:cs="Arial"/>
          <w:color w:val="000000" w:themeColor="text1"/>
          <w:kern w:val="24"/>
          <w:sz w:val="24"/>
          <w:szCs w:val="24"/>
        </w:rPr>
        <w:t xml:space="preserve">The alternative voltage and </w:t>
      </w:r>
      <w:r w:rsidR="00541DB8">
        <w:rPr>
          <w:rFonts w:ascii="Arial" w:hAnsi="Arial" w:cs="Arial"/>
          <w:color w:val="000000" w:themeColor="text1"/>
          <w:kern w:val="24"/>
          <w:sz w:val="24"/>
          <w:szCs w:val="24"/>
        </w:rPr>
        <w:t xml:space="preserve">b) </w:t>
      </w:r>
      <w:r w:rsidR="00DF5826">
        <w:rPr>
          <w:rFonts w:ascii="Arial" w:hAnsi="Arial" w:cs="Arial"/>
          <w:color w:val="000000" w:themeColor="text1"/>
          <w:kern w:val="24"/>
          <w:sz w:val="24"/>
          <w:szCs w:val="24"/>
        </w:rPr>
        <w:t>current of the transmitting coil of transmitter, which is 0.9V and 33.</w:t>
      </w:r>
      <w:r w:rsidR="00C773F1">
        <w:rPr>
          <w:rFonts w:ascii="Arial" w:hAnsi="Arial" w:cs="Arial"/>
          <w:color w:val="000000" w:themeColor="text1"/>
          <w:kern w:val="24"/>
          <w:sz w:val="24"/>
          <w:szCs w:val="24"/>
        </w:rPr>
        <w:t xml:space="preserve">8 </w:t>
      </w:r>
      <w:r w:rsidR="00DF5826">
        <w:rPr>
          <w:rFonts w:ascii="Arial" w:hAnsi="Arial" w:cs="Arial"/>
          <w:color w:val="000000" w:themeColor="text1"/>
          <w:kern w:val="24"/>
          <w:sz w:val="24"/>
          <w:szCs w:val="24"/>
        </w:rPr>
        <w:t>mA respectively.</w:t>
      </w:r>
      <w:r w:rsidR="00541DB8">
        <w:rPr>
          <w:rFonts w:ascii="Arial" w:hAnsi="Arial" w:cs="Arial"/>
          <w:color w:val="000000" w:themeColor="text1"/>
          <w:kern w:val="24"/>
          <w:sz w:val="24"/>
          <w:szCs w:val="24"/>
        </w:rPr>
        <w:t xml:space="preserve"> </w:t>
      </w:r>
    </w:p>
    <w:p w:rsidR="00541DB8" w:rsidRDefault="00302877" w:rsidP="00387BA4">
      <w:pPr>
        <w:widowControl/>
        <w:spacing w:line="360" w:lineRule="auto"/>
        <w:ind w:firstLineChars="200" w:firstLine="480"/>
        <w:rPr>
          <w:rFonts w:ascii="Arial" w:hAnsi="Arial" w:cs="Arial"/>
          <w:color w:val="000000" w:themeColor="text1"/>
          <w:kern w:val="24"/>
          <w:sz w:val="24"/>
          <w:szCs w:val="24"/>
        </w:rPr>
      </w:pPr>
      <w:r>
        <w:rPr>
          <w:rFonts w:ascii="Arial" w:hAnsi="Arial" w:cs="Arial" w:hint="eastAsia"/>
          <w:color w:val="000000" w:themeColor="text1"/>
          <w:kern w:val="24"/>
          <w:sz w:val="24"/>
          <w:szCs w:val="24"/>
        </w:rPr>
        <w:t>T</w:t>
      </w:r>
      <w:r>
        <w:rPr>
          <w:rFonts w:ascii="Arial" w:hAnsi="Arial" w:cs="Arial"/>
          <w:color w:val="000000" w:themeColor="text1"/>
          <w:kern w:val="24"/>
          <w:sz w:val="24"/>
          <w:szCs w:val="24"/>
        </w:rPr>
        <w:t>he transmitting efficiency is calculated as following:</w:t>
      </w:r>
    </w:p>
    <w:p w:rsidR="00302877" w:rsidRPr="00461CD9" w:rsidRDefault="00C8676E" w:rsidP="00387BA4">
      <w:pPr>
        <w:widowControl/>
        <w:spacing w:line="360" w:lineRule="auto"/>
        <w:jc w:val="center"/>
        <w:rPr>
          <w:rFonts w:ascii="Arial" w:hAnsi="Arial" w:cs="Arial"/>
          <w:color w:val="000000" w:themeColor="text1"/>
          <w:kern w:val="24"/>
          <w:sz w:val="24"/>
          <w:szCs w:val="24"/>
        </w:rPr>
      </w:pPr>
      <m:oMath>
        <m:r>
          <m:rPr>
            <m:sty m:val="p"/>
          </m:rPr>
          <w:rPr>
            <w:rFonts w:ascii="Cambria Math" w:hAnsi="Cambria Math" w:cs="Arial"/>
            <w:color w:val="000000" w:themeColor="text1"/>
            <w:kern w:val="24"/>
            <w:sz w:val="24"/>
            <w:szCs w:val="24"/>
          </w:rPr>
          <m:t>ƞ=</m:t>
        </m:r>
        <m:f>
          <m:fPr>
            <m:ctrlPr>
              <w:rPr>
                <w:rFonts w:ascii="Cambria Math" w:hAnsi="Cambria Math" w:cs="Arial"/>
                <w:color w:val="000000" w:themeColor="text1"/>
                <w:kern w:val="24"/>
                <w:sz w:val="24"/>
                <w:szCs w:val="24"/>
              </w:rPr>
            </m:ctrlPr>
          </m:fPr>
          <m:num>
            <m:sSub>
              <m:sSubPr>
                <m:ctrlPr>
                  <w:rPr>
                    <w:rFonts w:ascii="Cambria Math" w:hAnsi="Cambria Math" w:cs="Arial"/>
                    <w:i/>
                    <w:color w:val="000000" w:themeColor="text1"/>
                    <w:kern w:val="24"/>
                    <w:sz w:val="24"/>
                    <w:szCs w:val="24"/>
                  </w:rPr>
                </m:ctrlPr>
              </m:sSubPr>
              <m:e>
                <m:r>
                  <w:rPr>
                    <w:rFonts w:ascii="Cambria Math" w:hAnsi="Cambria Math" w:cs="Arial"/>
                    <w:color w:val="000000" w:themeColor="text1"/>
                    <w:kern w:val="24"/>
                    <w:sz w:val="24"/>
                    <w:szCs w:val="24"/>
                  </w:rPr>
                  <m:t>E</m:t>
                </m:r>
              </m:e>
              <m:sub>
                <m:r>
                  <w:rPr>
                    <w:rFonts w:ascii="Cambria Math" w:hAnsi="Cambria Math" w:cs="Arial"/>
                    <w:color w:val="000000" w:themeColor="text1"/>
                    <w:kern w:val="24"/>
                    <w:sz w:val="24"/>
                    <w:szCs w:val="24"/>
                  </w:rPr>
                  <m:t>r</m:t>
                </m:r>
              </m:sub>
            </m:sSub>
          </m:num>
          <m:den>
            <m:sSub>
              <m:sSubPr>
                <m:ctrlPr>
                  <w:rPr>
                    <w:rFonts w:ascii="Cambria Math" w:hAnsi="Cambria Math" w:cs="Arial"/>
                    <w:i/>
                    <w:color w:val="000000" w:themeColor="text1"/>
                    <w:kern w:val="24"/>
                    <w:sz w:val="24"/>
                    <w:szCs w:val="24"/>
                  </w:rPr>
                </m:ctrlPr>
              </m:sSubPr>
              <m:e>
                <m:r>
                  <w:rPr>
                    <w:rFonts w:ascii="Cambria Math" w:hAnsi="Cambria Math" w:cs="Arial"/>
                    <w:color w:val="000000" w:themeColor="text1"/>
                    <w:kern w:val="24"/>
                    <w:sz w:val="24"/>
                    <w:szCs w:val="24"/>
                  </w:rPr>
                  <m:t>E</m:t>
                </m:r>
              </m:e>
              <m:sub>
                <m:r>
                  <w:rPr>
                    <w:rFonts w:ascii="Cambria Math" w:hAnsi="Cambria Math" w:cs="Arial"/>
                    <w:color w:val="000000" w:themeColor="text1"/>
                    <w:kern w:val="24"/>
                    <w:sz w:val="24"/>
                    <w:szCs w:val="24"/>
                  </w:rPr>
                  <m:t>t</m:t>
                </m:r>
              </m:sub>
            </m:sSub>
          </m:den>
        </m:f>
        <m:r>
          <w:rPr>
            <w:rFonts w:ascii="Cambria Math" w:hAnsi="Cambria Math" w:cs="Arial"/>
            <w:color w:val="000000" w:themeColor="text1"/>
            <w:kern w:val="24"/>
            <w:sz w:val="24"/>
            <w:szCs w:val="24"/>
          </w:rPr>
          <m:t>*100%</m:t>
        </m:r>
      </m:oMath>
      <w:r w:rsidR="006E6166">
        <w:rPr>
          <w:rFonts w:ascii="Arial" w:hAnsi="Arial" w:cs="Arial" w:hint="eastAsia"/>
          <w:color w:val="000000" w:themeColor="text1"/>
          <w:kern w:val="24"/>
          <w:sz w:val="24"/>
          <w:szCs w:val="24"/>
        </w:rPr>
        <w:t xml:space="preserve"> </w:t>
      </w:r>
      <w:r w:rsidR="006E6166">
        <w:rPr>
          <w:rFonts w:ascii="Arial" w:hAnsi="Arial" w:cs="Arial"/>
          <w:color w:val="000000" w:themeColor="text1"/>
          <w:kern w:val="24"/>
          <w:sz w:val="24"/>
          <w:szCs w:val="24"/>
        </w:rPr>
        <w:t xml:space="preserve"> (1)</w:t>
      </w:r>
    </w:p>
    <w:p w:rsidR="00461CD9" w:rsidRPr="00461CD9" w:rsidRDefault="00461CD9" w:rsidP="00387BA4">
      <w:pPr>
        <w:widowControl/>
        <w:spacing w:line="360" w:lineRule="auto"/>
        <w:jc w:val="center"/>
        <w:rPr>
          <w:rFonts w:ascii="Arial" w:hAnsi="Arial" w:cs="Arial"/>
          <w:color w:val="000000" w:themeColor="text1"/>
          <w:kern w:val="24"/>
          <w:sz w:val="24"/>
          <w:szCs w:val="24"/>
        </w:rPr>
      </w:pPr>
      <m:oMath>
        <m:r>
          <m:rPr>
            <m:sty m:val="p"/>
          </m:rPr>
          <w:rPr>
            <w:rFonts w:ascii="Cambria Math" w:hAnsi="Cambria Math" w:cs="Arial"/>
            <w:color w:val="000000" w:themeColor="text1"/>
            <w:kern w:val="24"/>
            <w:sz w:val="24"/>
            <w:szCs w:val="24"/>
          </w:rPr>
          <m:t>E=P*t</m:t>
        </m:r>
      </m:oMath>
      <w:r w:rsidR="006E6166">
        <w:rPr>
          <w:rFonts w:ascii="Arial" w:hAnsi="Arial" w:cs="Arial" w:hint="eastAsia"/>
          <w:color w:val="000000" w:themeColor="text1"/>
          <w:kern w:val="24"/>
          <w:sz w:val="24"/>
          <w:szCs w:val="24"/>
        </w:rPr>
        <w:t xml:space="preserve"> </w:t>
      </w:r>
      <w:r w:rsidR="006E6166">
        <w:rPr>
          <w:rFonts w:ascii="Arial" w:hAnsi="Arial" w:cs="Arial"/>
          <w:color w:val="000000" w:themeColor="text1"/>
          <w:kern w:val="24"/>
          <w:sz w:val="24"/>
          <w:szCs w:val="24"/>
        </w:rPr>
        <w:t xml:space="preserve"> (2)</w:t>
      </w:r>
    </w:p>
    <w:p w:rsidR="00461CD9" w:rsidRPr="00461CD9" w:rsidRDefault="00461CD9" w:rsidP="00387BA4">
      <w:pPr>
        <w:widowControl/>
        <w:spacing w:line="360" w:lineRule="auto"/>
        <w:jc w:val="center"/>
        <w:rPr>
          <w:rFonts w:ascii="Arial" w:hAnsi="Arial" w:cs="Arial"/>
          <w:color w:val="000000" w:themeColor="text1"/>
          <w:kern w:val="24"/>
          <w:sz w:val="24"/>
          <w:szCs w:val="24"/>
        </w:rPr>
      </w:pPr>
      <m:oMath>
        <m:r>
          <m:rPr>
            <m:sty m:val="p"/>
          </m:rPr>
          <w:rPr>
            <w:rFonts w:ascii="Cambria Math" w:hAnsi="Cambria Math" w:cs="Arial"/>
            <w:color w:val="000000" w:themeColor="text1"/>
            <w:kern w:val="24"/>
            <w:sz w:val="24"/>
            <w:szCs w:val="24"/>
          </w:rPr>
          <m:t>P=U*I</m:t>
        </m:r>
      </m:oMath>
      <w:r w:rsidR="006E6166">
        <w:rPr>
          <w:rFonts w:ascii="Arial" w:hAnsi="Arial" w:cs="Arial" w:hint="eastAsia"/>
          <w:color w:val="000000" w:themeColor="text1"/>
          <w:kern w:val="24"/>
          <w:sz w:val="24"/>
          <w:szCs w:val="24"/>
        </w:rPr>
        <w:t xml:space="preserve"> </w:t>
      </w:r>
      <w:r w:rsidR="006E6166">
        <w:rPr>
          <w:rFonts w:ascii="Arial" w:hAnsi="Arial" w:cs="Arial"/>
          <w:color w:val="000000" w:themeColor="text1"/>
          <w:kern w:val="24"/>
          <w:sz w:val="24"/>
          <w:szCs w:val="24"/>
        </w:rPr>
        <w:t xml:space="preserve"> (3)</w:t>
      </w:r>
    </w:p>
    <w:p w:rsidR="00461CD9" w:rsidRDefault="00461CD9" w:rsidP="00387BA4">
      <w:pPr>
        <w:widowControl/>
        <w:spacing w:line="360" w:lineRule="auto"/>
        <w:rPr>
          <w:rFonts w:ascii="Arial" w:hAnsi="Arial" w:cs="Arial"/>
          <w:color w:val="000000" w:themeColor="text1"/>
          <w:kern w:val="24"/>
          <w:sz w:val="24"/>
          <w:szCs w:val="24"/>
        </w:rPr>
      </w:pPr>
      <w:r>
        <w:rPr>
          <w:rFonts w:ascii="Arial" w:hAnsi="Arial" w:cs="Arial" w:hint="eastAsia"/>
          <w:color w:val="000000" w:themeColor="text1"/>
          <w:kern w:val="24"/>
          <w:sz w:val="24"/>
          <w:szCs w:val="24"/>
        </w:rPr>
        <w:t>w</w:t>
      </w:r>
      <w:r>
        <w:rPr>
          <w:rFonts w:ascii="Arial" w:hAnsi="Arial" w:cs="Arial"/>
          <w:color w:val="000000" w:themeColor="text1"/>
          <w:kern w:val="24"/>
          <w:sz w:val="24"/>
          <w:szCs w:val="24"/>
        </w:rPr>
        <w:t xml:space="preserve">here the </w:t>
      </w:r>
      <m:oMath>
        <m:sSub>
          <m:sSubPr>
            <m:ctrlPr>
              <w:rPr>
                <w:rFonts w:ascii="Cambria Math" w:hAnsi="Cambria Math" w:cs="Arial"/>
                <w:color w:val="000000" w:themeColor="text1"/>
                <w:kern w:val="24"/>
                <w:sz w:val="24"/>
                <w:szCs w:val="24"/>
              </w:rPr>
            </m:ctrlPr>
          </m:sSubPr>
          <m:e>
            <m:r>
              <w:rPr>
                <w:rFonts w:ascii="Cambria Math" w:hAnsi="Cambria Math" w:cs="Arial"/>
                <w:color w:val="000000" w:themeColor="text1"/>
                <w:kern w:val="24"/>
                <w:sz w:val="24"/>
                <w:szCs w:val="24"/>
              </w:rPr>
              <m:t>E</m:t>
            </m:r>
          </m:e>
          <m:sub>
            <m:r>
              <w:rPr>
                <w:rFonts w:ascii="Cambria Math" w:hAnsi="Cambria Math" w:cs="Arial"/>
                <w:color w:val="000000" w:themeColor="text1"/>
                <w:kern w:val="24"/>
                <w:sz w:val="24"/>
                <w:szCs w:val="24"/>
              </w:rPr>
              <m:t>r</m:t>
            </m:r>
          </m:sub>
        </m:sSub>
      </m:oMath>
      <w:r>
        <w:rPr>
          <w:rFonts w:ascii="Arial" w:hAnsi="Arial" w:cs="Arial"/>
          <w:color w:val="000000" w:themeColor="text1"/>
          <w:kern w:val="24"/>
          <w:sz w:val="24"/>
          <w:szCs w:val="24"/>
        </w:rPr>
        <w:t xml:space="preserve"> and </w:t>
      </w:r>
      <m:oMath>
        <m:sSub>
          <m:sSubPr>
            <m:ctrlPr>
              <w:rPr>
                <w:rFonts w:ascii="Cambria Math" w:hAnsi="Cambria Math" w:cs="Arial"/>
                <w:color w:val="000000" w:themeColor="text1"/>
                <w:kern w:val="24"/>
                <w:sz w:val="24"/>
                <w:szCs w:val="24"/>
              </w:rPr>
            </m:ctrlPr>
          </m:sSubPr>
          <m:e>
            <m:r>
              <w:rPr>
                <w:rFonts w:ascii="Cambria Math" w:hAnsi="Cambria Math" w:cs="Arial"/>
                <w:color w:val="000000" w:themeColor="text1"/>
                <w:kern w:val="24"/>
                <w:sz w:val="24"/>
                <w:szCs w:val="24"/>
              </w:rPr>
              <m:t>E</m:t>
            </m:r>
          </m:e>
          <m:sub>
            <m:r>
              <w:rPr>
                <w:rFonts w:ascii="Cambria Math" w:hAnsi="Cambria Math" w:cs="Arial"/>
                <w:color w:val="000000" w:themeColor="text1"/>
                <w:kern w:val="24"/>
                <w:sz w:val="24"/>
                <w:szCs w:val="24"/>
              </w:rPr>
              <m:t>t</m:t>
            </m:r>
          </m:sub>
        </m:sSub>
        <m:r>
          <w:rPr>
            <w:rFonts w:ascii="Cambria Math" w:hAnsi="Cambria Math" w:cs="Arial"/>
            <w:color w:val="000000" w:themeColor="text1"/>
            <w:kern w:val="24"/>
            <w:sz w:val="24"/>
            <w:szCs w:val="24"/>
          </w:rPr>
          <m:t xml:space="preserve"> </m:t>
        </m:r>
      </m:oMath>
      <w:r>
        <w:rPr>
          <w:rFonts w:ascii="Arial" w:hAnsi="Arial" w:cs="Arial"/>
          <w:color w:val="000000" w:themeColor="text1"/>
          <w:kern w:val="24"/>
          <w:sz w:val="24"/>
          <w:szCs w:val="24"/>
        </w:rPr>
        <w:t>is the received and transmitted energy,</w:t>
      </w:r>
      <w:r w:rsidR="0040750A">
        <w:rPr>
          <w:rFonts w:ascii="Arial" w:hAnsi="Arial" w:cs="Arial"/>
          <w:color w:val="000000" w:themeColor="text1"/>
          <w:kern w:val="24"/>
          <w:sz w:val="24"/>
          <w:szCs w:val="24"/>
        </w:rPr>
        <w:t xml:space="preserve"> </w:t>
      </w:r>
      <w:r w:rsidR="0040750A">
        <w:rPr>
          <w:rFonts w:ascii="Arial" w:hAnsi="Arial" w:cs="Arial" w:hint="eastAsia"/>
          <w:color w:val="000000" w:themeColor="text1"/>
          <w:kern w:val="24"/>
          <w:sz w:val="24"/>
          <w:szCs w:val="24"/>
        </w:rPr>
        <w:t>re</w:t>
      </w:r>
      <w:r w:rsidR="0040750A">
        <w:rPr>
          <w:rFonts w:ascii="Arial" w:hAnsi="Arial" w:cs="Arial"/>
          <w:color w:val="000000" w:themeColor="text1"/>
          <w:kern w:val="24"/>
          <w:sz w:val="24"/>
          <w:szCs w:val="24"/>
        </w:rPr>
        <w:t>spectively; P is the electrical power; t is the wireless charging time; U is the voltage and I is the current.</w:t>
      </w:r>
      <w:r w:rsidR="00362E4E">
        <w:rPr>
          <w:rFonts w:ascii="Arial" w:hAnsi="Arial" w:cs="Arial"/>
          <w:color w:val="000000" w:themeColor="text1"/>
          <w:kern w:val="24"/>
          <w:sz w:val="24"/>
          <w:szCs w:val="24"/>
        </w:rPr>
        <w:t xml:space="preserve"> The receiving current and voltage </w:t>
      </w:r>
      <w:r w:rsidR="00880DD1">
        <w:rPr>
          <w:rFonts w:ascii="Arial" w:hAnsi="Arial" w:cs="Arial"/>
          <w:color w:val="000000" w:themeColor="text1"/>
          <w:kern w:val="24"/>
          <w:sz w:val="24"/>
          <w:szCs w:val="24"/>
        </w:rPr>
        <w:t>are</w:t>
      </w:r>
      <w:r w:rsidR="00362E4E">
        <w:rPr>
          <w:rFonts w:ascii="Arial" w:hAnsi="Arial" w:cs="Arial"/>
          <w:color w:val="000000" w:themeColor="text1"/>
          <w:kern w:val="24"/>
          <w:sz w:val="24"/>
          <w:szCs w:val="24"/>
        </w:rPr>
        <w:t xml:space="preserve"> the optimum value</w:t>
      </w:r>
      <w:r w:rsidR="00880DD1">
        <w:rPr>
          <w:rFonts w:ascii="Arial" w:hAnsi="Arial" w:cs="Arial"/>
          <w:color w:val="000000" w:themeColor="text1"/>
          <w:kern w:val="24"/>
          <w:sz w:val="24"/>
          <w:szCs w:val="24"/>
        </w:rPr>
        <w:t>s</w:t>
      </w:r>
      <w:r w:rsidR="00362E4E">
        <w:rPr>
          <w:rFonts w:ascii="Arial" w:hAnsi="Arial" w:cs="Arial"/>
          <w:color w:val="000000" w:themeColor="text1"/>
          <w:kern w:val="24"/>
          <w:sz w:val="24"/>
          <w:szCs w:val="24"/>
        </w:rPr>
        <w:t xml:space="preserve"> (2.</w:t>
      </w:r>
      <w:r w:rsidR="00C773F1">
        <w:rPr>
          <w:rFonts w:ascii="Arial" w:hAnsi="Arial" w:cs="Arial"/>
          <w:color w:val="000000" w:themeColor="text1"/>
          <w:kern w:val="24"/>
          <w:sz w:val="24"/>
          <w:szCs w:val="24"/>
        </w:rPr>
        <w:t>8mA</w:t>
      </w:r>
      <w:r w:rsidR="00362E4E">
        <w:rPr>
          <w:rFonts w:ascii="Arial" w:hAnsi="Arial" w:cs="Arial"/>
          <w:color w:val="000000" w:themeColor="text1"/>
          <w:kern w:val="24"/>
          <w:sz w:val="24"/>
          <w:szCs w:val="24"/>
        </w:rPr>
        <w:t>; 5.</w:t>
      </w:r>
      <w:r w:rsidR="00CC45D8">
        <w:rPr>
          <w:rFonts w:ascii="Arial" w:hAnsi="Arial" w:cs="Arial"/>
          <w:color w:val="000000" w:themeColor="text1"/>
          <w:kern w:val="24"/>
          <w:sz w:val="24"/>
          <w:szCs w:val="24"/>
        </w:rPr>
        <w:t>8</w:t>
      </w:r>
      <w:r w:rsidR="00362E4E">
        <w:rPr>
          <w:rFonts w:ascii="Arial" w:hAnsi="Arial" w:cs="Arial"/>
          <w:color w:val="000000" w:themeColor="text1"/>
          <w:kern w:val="24"/>
          <w:sz w:val="24"/>
          <w:szCs w:val="24"/>
        </w:rPr>
        <w:t xml:space="preserve">V) of the WCC in </w:t>
      </w:r>
      <w:r w:rsidR="00B21252">
        <w:rPr>
          <w:rFonts w:ascii="Arial" w:hAnsi="Arial" w:cs="Arial"/>
          <w:color w:val="000000" w:themeColor="text1"/>
          <w:kern w:val="24"/>
          <w:sz w:val="24"/>
          <w:szCs w:val="24"/>
        </w:rPr>
        <w:t xml:space="preserve">Supplementary Fig. </w:t>
      </w:r>
      <w:r w:rsidR="00362E4E">
        <w:rPr>
          <w:rFonts w:ascii="Arial" w:hAnsi="Arial" w:cs="Arial"/>
          <w:color w:val="000000" w:themeColor="text1"/>
          <w:kern w:val="24"/>
          <w:sz w:val="24"/>
          <w:szCs w:val="24"/>
        </w:rPr>
        <w:t xml:space="preserve">7. </w:t>
      </w:r>
      <w:r w:rsidR="00A10C8A">
        <w:rPr>
          <w:rFonts w:ascii="Arial" w:hAnsi="Arial" w:cs="Arial"/>
          <w:color w:val="000000" w:themeColor="text1"/>
          <w:kern w:val="24"/>
          <w:sz w:val="24"/>
          <w:szCs w:val="24"/>
        </w:rPr>
        <w:t>In consequence,</w:t>
      </w:r>
      <w:r w:rsidR="00384BAE">
        <w:rPr>
          <w:rFonts w:ascii="Arial" w:hAnsi="Arial" w:cs="Arial"/>
          <w:color w:val="000000" w:themeColor="text1"/>
          <w:kern w:val="24"/>
          <w:sz w:val="24"/>
          <w:szCs w:val="24"/>
        </w:rPr>
        <w:t xml:space="preserve"> the transmitting efficiency of the wireless charging system is </w:t>
      </w:r>
      <w:r w:rsidR="00E65EA0">
        <w:rPr>
          <w:rFonts w:ascii="Arial" w:hAnsi="Arial" w:cs="Arial"/>
          <w:color w:val="000000" w:themeColor="text1"/>
          <w:kern w:val="24"/>
          <w:sz w:val="24"/>
          <w:szCs w:val="24"/>
        </w:rPr>
        <w:t>52.</w:t>
      </w:r>
      <w:r w:rsidR="00C773F1">
        <w:rPr>
          <w:rFonts w:ascii="Arial" w:hAnsi="Arial" w:cs="Arial"/>
          <w:color w:val="000000" w:themeColor="text1"/>
          <w:kern w:val="24"/>
          <w:sz w:val="24"/>
          <w:szCs w:val="24"/>
        </w:rPr>
        <w:t>8</w:t>
      </w:r>
      <w:r w:rsidR="00E65EA0">
        <w:rPr>
          <w:rFonts w:ascii="Arial" w:hAnsi="Arial" w:cs="Arial"/>
          <w:color w:val="000000" w:themeColor="text1"/>
          <w:kern w:val="24"/>
          <w:sz w:val="24"/>
          <w:szCs w:val="24"/>
        </w:rPr>
        <w:t>%.</w:t>
      </w:r>
    </w:p>
    <w:p w:rsidR="008C7C36" w:rsidRDefault="00FB3F1E" w:rsidP="00387BA4">
      <w:pPr>
        <w:spacing w:line="360" w:lineRule="auto"/>
        <w:jc w:val="center"/>
        <w:rPr>
          <w:rFonts w:ascii="Arial" w:hAnsi="Arial" w:cs="Arial"/>
          <w:sz w:val="24"/>
          <w:szCs w:val="24"/>
        </w:rPr>
      </w:pPr>
      <w:r>
        <w:rPr>
          <w:rFonts w:ascii="Arial" w:hAnsi="Arial" w:cs="Arial"/>
          <w:noProof/>
        </w:rPr>
        <w:drawing>
          <wp:inline distT="0" distB="0" distL="0" distR="0">
            <wp:extent cx="2473960" cy="1842135"/>
            <wp:effectExtent l="0" t="0" r="2540" b="571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2480814" cy="1847020"/>
                    </a:xfrm>
                    <a:prstGeom prst="rect">
                      <a:avLst/>
                    </a:prstGeom>
                  </pic:spPr>
                </pic:pic>
              </a:graphicData>
            </a:graphic>
          </wp:inline>
        </w:drawing>
      </w:r>
    </w:p>
    <w:p w:rsidR="008C7C36" w:rsidRDefault="00B21252" w:rsidP="00387BA4">
      <w:pPr>
        <w:pStyle w:val="ab"/>
        <w:spacing w:before="0" w:beforeAutospacing="0" w:after="0" w:afterAutospacing="0" w:line="360" w:lineRule="auto"/>
        <w:jc w:val="both"/>
        <w:rPr>
          <w:rFonts w:ascii="Arial" w:eastAsiaTheme="minorEastAsia" w:hAnsi="Arial" w:cs="Arial"/>
          <w:color w:val="000000" w:themeColor="text1"/>
          <w:kern w:val="24"/>
        </w:rPr>
      </w:pPr>
      <w:r>
        <w:rPr>
          <w:rFonts w:ascii="Arial" w:eastAsiaTheme="minorEastAsia" w:hAnsi="Arial" w:cs="Arial"/>
          <w:b/>
          <w:color w:val="000000" w:themeColor="text1"/>
          <w:kern w:val="24"/>
        </w:rPr>
        <w:t xml:space="preserve">Supplementary Fig. </w:t>
      </w:r>
      <w:r w:rsidR="00871D80" w:rsidRPr="00F75649">
        <w:rPr>
          <w:rFonts w:ascii="Arial" w:eastAsiaTheme="minorEastAsia" w:hAnsi="Arial" w:cs="Arial"/>
          <w:b/>
          <w:color w:val="000000" w:themeColor="text1"/>
          <w:kern w:val="24"/>
        </w:rPr>
        <w:t>9</w:t>
      </w:r>
      <w:r w:rsidR="00871D80">
        <w:rPr>
          <w:rFonts w:ascii="Arial" w:eastAsiaTheme="minorEastAsia" w:hAnsi="Arial" w:cs="Arial"/>
          <w:color w:val="000000" w:themeColor="text1"/>
          <w:kern w:val="24"/>
        </w:rPr>
        <w:t xml:space="preserve"> </w:t>
      </w:r>
      <w:r w:rsidR="00FB3F1E">
        <w:rPr>
          <w:rFonts w:ascii="Arial" w:eastAsiaTheme="minorEastAsia" w:hAnsi="Arial" w:cs="Arial"/>
          <w:color w:val="000000" w:themeColor="text1"/>
          <w:kern w:val="24"/>
        </w:rPr>
        <w:t>Receiving potential signals of the optimal WCC covered with AC layer and without AC layer placed in magnetic field.</w:t>
      </w:r>
    </w:p>
    <w:p w:rsidR="008C7C36" w:rsidRPr="00CA054C" w:rsidRDefault="00D73E91" w:rsidP="00387BA4">
      <w:pPr>
        <w:spacing w:line="360" w:lineRule="auto"/>
        <w:rPr>
          <w:rFonts w:ascii="Arial" w:hAnsi="Arial" w:cs="Arial"/>
          <w:sz w:val="24"/>
          <w:szCs w:val="24"/>
        </w:rPr>
      </w:pPr>
      <w:r>
        <w:rPr>
          <w:noProof/>
        </w:rPr>
        <w:drawing>
          <wp:inline distT="0" distB="0" distL="0" distR="0" wp14:anchorId="5316073C" wp14:editId="7E9BC1BE">
            <wp:extent cx="5274310" cy="14979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497965"/>
                    </a:xfrm>
                    <a:prstGeom prst="rect">
                      <a:avLst/>
                    </a:prstGeom>
                  </pic:spPr>
                </pic:pic>
              </a:graphicData>
            </a:graphic>
          </wp:inline>
        </w:drawing>
      </w:r>
    </w:p>
    <w:p w:rsidR="008C7C36" w:rsidRDefault="00B21252" w:rsidP="00387BA4">
      <w:pPr>
        <w:spacing w:afterLines="50" w:after="156" w:line="360" w:lineRule="auto"/>
        <w:rPr>
          <w:rFonts w:ascii="Arial" w:hAnsi="Arial" w:cs="Arial"/>
          <w:sz w:val="24"/>
          <w:szCs w:val="24"/>
        </w:rPr>
      </w:pPr>
      <w:r>
        <w:rPr>
          <w:rFonts w:ascii="Arial" w:hAnsi="Arial" w:cs="Arial"/>
          <w:b/>
          <w:sz w:val="24"/>
          <w:szCs w:val="24"/>
        </w:rPr>
        <w:t xml:space="preserve">Supplementary Fig. </w:t>
      </w:r>
      <w:r w:rsidR="00871D80" w:rsidRPr="00F75649">
        <w:rPr>
          <w:rFonts w:ascii="Arial" w:hAnsi="Arial" w:cs="Arial"/>
          <w:b/>
          <w:sz w:val="24"/>
          <w:szCs w:val="24"/>
        </w:rPr>
        <w:t>10</w:t>
      </w:r>
      <w:r w:rsidR="00871D80">
        <w:rPr>
          <w:rFonts w:ascii="Arial" w:hAnsi="Arial" w:cs="Arial"/>
          <w:sz w:val="24"/>
          <w:szCs w:val="24"/>
        </w:rPr>
        <w:t xml:space="preserve"> </w:t>
      </w:r>
      <w:r w:rsidR="00FB3F1E">
        <w:rPr>
          <w:rFonts w:ascii="Arial" w:hAnsi="Arial" w:cs="Arial"/>
          <w:sz w:val="24"/>
          <w:szCs w:val="24"/>
        </w:rPr>
        <w:t>The inductance performance of WCC. a) Real impedance. b) Phase. c) Calculated inductance and imaginary impedance (inset).</w:t>
      </w:r>
    </w:p>
    <w:p w:rsidR="008C7C36" w:rsidRDefault="00FB3F1E" w:rsidP="00387BA4">
      <w:pPr>
        <w:spacing w:afterLines="50" w:after="156" w:line="360" w:lineRule="auto"/>
        <w:ind w:firstLineChars="200" w:firstLine="480"/>
        <w:rPr>
          <w:rFonts w:ascii="Arial" w:hAnsi="Arial" w:cs="Arial"/>
          <w:sz w:val="24"/>
          <w:szCs w:val="24"/>
        </w:rPr>
      </w:pPr>
      <w:r>
        <w:rPr>
          <w:rFonts w:ascii="Arial" w:hAnsi="Arial" w:cs="Arial"/>
          <w:sz w:val="24"/>
          <w:szCs w:val="24"/>
        </w:rPr>
        <w:t xml:space="preserve">The frequency of the wireless charging coil was measured from 1 kHz to </w:t>
      </w:r>
      <w:r w:rsidR="00E04595">
        <w:rPr>
          <w:rFonts w:ascii="Arial" w:hAnsi="Arial" w:cs="Arial"/>
          <w:sz w:val="24"/>
          <w:szCs w:val="24"/>
        </w:rPr>
        <w:lastRenderedPageBreak/>
        <w:t>600 kHz</w:t>
      </w:r>
      <w:r>
        <w:rPr>
          <w:rFonts w:ascii="Arial" w:hAnsi="Arial" w:cs="Arial"/>
          <w:sz w:val="24"/>
          <w:szCs w:val="24"/>
        </w:rPr>
        <w:t xml:space="preserve">, and the real impedance, phase, imaginary impedance and inductance were obtained in </w:t>
      </w:r>
      <w:r w:rsidR="00B21252">
        <w:rPr>
          <w:rFonts w:ascii="Arial" w:hAnsi="Arial" w:cs="Arial"/>
          <w:sz w:val="24"/>
          <w:szCs w:val="24"/>
        </w:rPr>
        <w:t xml:space="preserve">Supplementary Fig. </w:t>
      </w:r>
      <w:r w:rsidR="00871D80">
        <w:rPr>
          <w:rFonts w:ascii="Arial" w:hAnsi="Arial" w:cs="Arial"/>
          <w:sz w:val="24"/>
          <w:szCs w:val="24"/>
        </w:rPr>
        <w:t>10</w:t>
      </w:r>
      <w:r>
        <w:rPr>
          <w:rFonts w:ascii="Arial" w:hAnsi="Arial" w:cs="Arial"/>
          <w:sz w:val="24"/>
          <w:szCs w:val="24"/>
        </w:rPr>
        <w:t>a-</w:t>
      </w:r>
      <w:r w:rsidR="00871D80">
        <w:rPr>
          <w:rFonts w:ascii="Arial" w:hAnsi="Arial" w:cs="Arial"/>
          <w:sz w:val="24"/>
          <w:szCs w:val="24"/>
        </w:rPr>
        <w:t>10c</w:t>
      </w:r>
      <w:r>
        <w:rPr>
          <w:rFonts w:ascii="Arial" w:hAnsi="Arial" w:cs="Arial"/>
          <w:sz w:val="24"/>
          <w:szCs w:val="24"/>
        </w:rPr>
        <w:t xml:space="preserve">, respectively. In Fig </w:t>
      </w:r>
      <w:r w:rsidR="00871D80">
        <w:rPr>
          <w:rFonts w:ascii="Arial" w:hAnsi="Arial" w:cs="Arial"/>
          <w:sz w:val="24"/>
          <w:szCs w:val="24"/>
        </w:rPr>
        <w:t>S10</w:t>
      </w:r>
      <w:r>
        <w:rPr>
          <w:rFonts w:ascii="Arial" w:hAnsi="Arial" w:cs="Arial"/>
          <w:sz w:val="24"/>
          <w:szCs w:val="24"/>
        </w:rPr>
        <w:t xml:space="preserve">a, the real impedance within the whole frequency band has a small variation range, demonstrating the coil resistance and direct current loss are stable within the measurement range without causing fluctuations in transmission efficiency. It is because the antenna is made of graphite, whose conductivity is based on π electrons between layers contributing less frequency affection. Compared with graphite WCC, the commercial antenna </w:t>
      </w:r>
      <w:proofErr w:type="gramStart"/>
      <w:r>
        <w:rPr>
          <w:rFonts w:ascii="Arial" w:hAnsi="Arial" w:cs="Arial"/>
          <w:sz w:val="24"/>
          <w:szCs w:val="24"/>
        </w:rPr>
        <w:t>are</w:t>
      </w:r>
      <w:proofErr w:type="gramEnd"/>
      <w:r>
        <w:rPr>
          <w:rFonts w:ascii="Arial" w:hAnsi="Arial" w:cs="Arial"/>
          <w:sz w:val="24"/>
          <w:szCs w:val="24"/>
        </w:rPr>
        <w:t xml:space="preserve"> usually made of metal, whose free electrons has a skin effect. When </w:t>
      </w:r>
      <w:r>
        <w:rPr>
          <w:rFonts w:ascii="Arial" w:hAnsi="Arial" w:cs="Arial" w:hint="eastAsia"/>
          <w:sz w:val="24"/>
          <w:szCs w:val="24"/>
        </w:rPr>
        <w:t>the frequency gets higher</w:t>
      </w:r>
      <w:r>
        <w:rPr>
          <w:rFonts w:ascii="Arial" w:hAnsi="Arial" w:cs="Arial"/>
          <w:sz w:val="24"/>
          <w:szCs w:val="24"/>
        </w:rPr>
        <w:t xml:space="preserve">, the free electrons tend to accumulate together resulting in </w:t>
      </w:r>
      <w:r>
        <w:rPr>
          <w:rFonts w:ascii="Arial" w:hAnsi="Arial" w:cs="Arial" w:hint="eastAsia"/>
          <w:sz w:val="24"/>
          <w:szCs w:val="24"/>
        </w:rPr>
        <w:t>lower</w:t>
      </w:r>
      <w:r>
        <w:rPr>
          <w:rFonts w:ascii="Arial" w:hAnsi="Arial" w:cs="Arial"/>
          <w:sz w:val="24"/>
          <w:szCs w:val="24"/>
        </w:rPr>
        <w:t xml:space="preserve"> conductivity. The inductance of the WCC in </w:t>
      </w:r>
      <w:r w:rsidR="00B21252">
        <w:rPr>
          <w:rFonts w:ascii="Arial" w:hAnsi="Arial" w:cs="Arial"/>
          <w:sz w:val="24"/>
          <w:szCs w:val="24"/>
        </w:rPr>
        <w:t xml:space="preserve">Supplementary Fig. </w:t>
      </w:r>
      <w:r w:rsidR="00871D80">
        <w:rPr>
          <w:rFonts w:ascii="Arial" w:hAnsi="Arial" w:cs="Arial"/>
          <w:sz w:val="24"/>
          <w:szCs w:val="24"/>
        </w:rPr>
        <w:t>10</w:t>
      </w:r>
      <w:r>
        <w:rPr>
          <w:rFonts w:ascii="Arial" w:hAnsi="Arial" w:cs="Arial"/>
          <w:sz w:val="24"/>
          <w:szCs w:val="24"/>
        </w:rPr>
        <w:t>c was obtained according to the imaginary impedance shown inset by using the formula:</w:t>
      </w:r>
    </w:p>
    <w:p w:rsidR="008C7C36" w:rsidRDefault="00FB3F1E" w:rsidP="00387BA4">
      <w:pPr>
        <w:spacing w:afterLines="50" w:after="156" w:line="360" w:lineRule="auto"/>
        <w:rPr>
          <w:rFonts w:ascii="Arial" w:hAnsi="Arial" w:cs="Arial"/>
          <w:sz w:val="24"/>
          <w:szCs w:val="24"/>
        </w:rPr>
      </w:pPr>
      <m:oMathPara>
        <m:oMath>
          <m:r>
            <w:rPr>
              <w:rFonts w:ascii="Cambria Math" w:hAnsi="Cambria Math" w:cs="Arial"/>
              <w:sz w:val="24"/>
              <w:szCs w:val="24"/>
            </w:rPr>
            <m:t>L</m:t>
          </m:r>
          <m:d>
            <m:dPr>
              <m:ctrlPr>
                <w:rPr>
                  <w:rFonts w:ascii="Cambria Math" w:hAnsi="Cambria Math" w:cs="Arial"/>
                  <w:i/>
                  <w:sz w:val="24"/>
                  <w:szCs w:val="24"/>
                </w:rPr>
              </m:ctrlPr>
            </m:dPr>
            <m:e>
              <m:r>
                <w:rPr>
                  <w:rFonts w:ascii="Cambria Math" w:hAnsi="Cambria Math" w:cs="Arial"/>
                  <w:sz w:val="24"/>
                  <w:szCs w:val="24"/>
                </w:rPr>
                <m:t>H</m:t>
              </m:r>
            </m:e>
          </m:d>
          <m: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rPr>
                <m:t>Z''(</m:t>
              </m:r>
              <m:r>
                <m:rPr>
                  <m:sty m:val="p"/>
                </m:rPr>
                <w:rPr>
                  <w:rFonts w:ascii="Cambria Math" w:hAnsi="Cambria Math" w:cs="Arial"/>
                  <w:sz w:val="24"/>
                  <w:szCs w:val="24"/>
                </w:rPr>
                <m:t>Ω</m:t>
              </m:r>
              <m:r>
                <w:rPr>
                  <w:rFonts w:ascii="Cambria Math" w:hAnsi="Cambria Math" w:cs="Arial"/>
                  <w:sz w:val="24"/>
                  <w:szCs w:val="24"/>
                </w:rPr>
                <m:t>)</m:t>
              </m:r>
            </m:num>
            <m:den>
              <m:r>
                <w:rPr>
                  <w:rFonts w:ascii="Cambria Math" w:hAnsi="Cambria Math" w:cs="Arial"/>
                  <w:sz w:val="24"/>
                  <w:szCs w:val="24"/>
                </w:rPr>
                <m:t>2</m:t>
              </m:r>
              <m:r>
                <m:rPr>
                  <m:sty m:val="p"/>
                </m:rPr>
                <w:rPr>
                  <w:rFonts w:ascii="Cambria Math" w:hAnsi="Cambria Math" w:cs="Arial"/>
                  <w:sz w:val="24"/>
                  <w:szCs w:val="24"/>
                </w:rPr>
                <m:t>πf(Hz)</m:t>
              </m:r>
            </m:den>
          </m:f>
        </m:oMath>
      </m:oMathPara>
    </w:p>
    <w:p w:rsidR="008C7C36" w:rsidRDefault="00FB3F1E" w:rsidP="00387BA4">
      <w:pPr>
        <w:spacing w:afterLines="50" w:after="156" w:line="360" w:lineRule="auto"/>
        <w:rPr>
          <w:rFonts w:ascii="Arial" w:hAnsi="Arial" w:cs="Arial"/>
          <w:sz w:val="24"/>
          <w:szCs w:val="24"/>
        </w:rPr>
      </w:pPr>
      <w:r>
        <w:rPr>
          <w:rFonts w:ascii="Arial" w:hAnsi="Arial" w:cs="Arial"/>
          <w:sz w:val="24"/>
          <w:szCs w:val="24"/>
        </w:rPr>
        <w:t xml:space="preserve">where L is the inductance of the WCC; Z" is the imaginary impedance of the WCC; f is the measured frequency. </w:t>
      </w:r>
    </w:p>
    <w:p w:rsidR="008C7C36" w:rsidRDefault="00FB3F1E" w:rsidP="00387BA4">
      <w:pPr>
        <w:spacing w:afterLines="50" w:after="156" w:line="360" w:lineRule="auto"/>
        <w:ind w:firstLineChars="200" w:firstLine="480"/>
        <w:rPr>
          <w:rFonts w:ascii="Arial" w:hAnsi="Arial" w:cs="Arial"/>
          <w:sz w:val="24"/>
          <w:szCs w:val="24"/>
        </w:rPr>
      </w:pPr>
      <w:r>
        <w:rPr>
          <w:rFonts w:ascii="Arial" w:hAnsi="Arial" w:cs="Arial"/>
          <w:sz w:val="24"/>
          <w:szCs w:val="24"/>
        </w:rPr>
        <w:t xml:space="preserve">Besides, by comparing </w:t>
      </w:r>
      <w:r w:rsidR="00B21252">
        <w:rPr>
          <w:rFonts w:ascii="Arial" w:hAnsi="Arial" w:cs="Arial"/>
          <w:sz w:val="24"/>
          <w:szCs w:val="24"/>
        </w:rPr>
        <w:t xml:space="preserve">Supplementary Fig. </w:t>
      </w:r>
      <w:r w:rsidR="00871D80">
        <w:rPr>
          <w:rFonts w:ascii="Arial" w:hAnsi="Arial" w:cs="Arial"/>
          <w:sz w:val="24"/>
          <w:szCs w:val="24"/>
        </w:rPr>
        <w:t>10</w:t>
      </w:r>
      <w:r>
        <w:rPr>
          <w:rFonts w:ascii="Arial" w:hAnsi="Arial" w:cs="Arial"/>
          <w:sz w:val="24"/>
          <w:szCs w:val="24"/>
        </w:rPr>
        <w:t xml:space="preserve">b and </w:t>
      </w:r>
      <w:r w:rsidR="00B21252">
        <w:rPr>
          <w:rFonts w:ascii="Arial" w:hAnsi="Arial" w:cs="Arial"/>
          <w:sz w:val="24"/>
          <w:szCs w:val="24"/>
        </w:rPr>
        <w:t xml:space="preserve">Supplementary Fig. </w:t>
      </w:r>
      <w:r w:rsidR="00871D80">
        <w:rPr>
          <w:rFonts w:ascii="Arial" w:hAnsi="Arial" w:cs="Arial"/>
          <w:sz w:val="24"/>
          <w:szCs w:val="24"/>
        </w:rPr>
        <w:t>10</w:t>
      </w:r>
      <w:r>
        <w:rPr>
          <w:rFonts w:ascii="Arial" w:hAnsi="Arial" w:cs="Arial"/>
          <w:sz w:val="24"/>
          <w:szCs w:val="24"/>
        </w:rPr>
        <w:t xml:space="preserve">c, both of the phase and inductance have experienced a steep decline near </w:t>
      </w:r>
      <w:r w:rsidR="005508FD">
        <w:rPr>
          <w:rFonts w:ascii="Arial" w:hAnsi="Arial" w:cs="Arial"/>
          <w:sz w:val="24"/>
          <w:szCs w:val="24"/>
        </w:rPr>
        <w:t>14</w:t>
      </w:r>
      <w:r w:rsidR="00AA0FF3">
        <w:rPr>
          <w:rFonts w:ascii="Arial" w:hAnsi="Arial" w:cs="Arial"/>
          <w:sz w:val="24"/>
          <w:szCs w:val="24"/>
        </w:rPr>
        <w:t>0</w:t>
      </w:r>
      <w:r w:rsidR="005508FD">
        <w:rPr>
          <w:rFonts w:ascii="Arial" w:hAnsi="Arial" w:cs="Arial"/>
          <w:sz w:val="24"/>
          <w:szCs w:val="24"/>
        </w:rPr>
        <w:t xml:space="preserve"> </w:t>
      </w:r>
      <w:r>
        <w:rPr>
          <w:rFonts w:ascii="Arial" w:hAnsi="Arial" w:cs="Arial"/>
          <w:sz w:val="24"/>
          <w:szCs w:val="24"/>
        </w:rPr>
        <w:t>kHz, so it can be inferred that</w:t>
      </w:r>
      <w:r>
        <w:rPr>
          <w:rFonts w:ascii="Arial" w:hAnsi="Arial" w:cs="Arial"/>
          <w:bCs/>
          <w:sz w:val="24"/>
          <w:szCs w:val="24"/>
        </w:rPr>
        <w:t xml:space="preserve"> the first resonant frequency</w:t>
      </w:r>
      <w:r>
        <w:rPr>
          <w:rFonts w:ascii="Arial" w:hAnsi="Arial" w:cs="Arial"/>
          <w:sz w:val="24"/>
          <w:szCs w:val="24"/>
        </w:rPr>
        <w:t xml:space="preserve"> of the coil is </w:t>
      </w:r>
      <w:r w:rsidR="005508FD">
        <w:rPr>
          <w:rFonts w:ascii="Arial" w:hAnsi="Arial" w:cs="Arial"/>
          <w:sz w:val="24"/>
          <w:szCs w:val="24"/>
        </w:rPr>
        <w:t>14</w:t>
      </w:r>
      <w:r w:rsidR="00AA0FF3">
        <w:rPr>
          <w:rFonts w:ascii="Arial" w:hAnsi="Arial" w:cs="Arial"/>
          <w:sz w:val="24"/>
          <w:szCs w:val="24"/>
        </w:rPr>
        <w:t>0</w:t>
      </w:r>
      <w:r w:rsidR="005508FD">
        <w:rPr>
          <w:rFonts w:ascii="Arial" w:hAnsi="Arial" w:cs="Arial"/>
          <w:sz w:val="24"/>
          <w:szCs w:val="24"/>
        </w:rPr>
        <w:t xml:space="preserve"> </w:t>
      </w:r>
      <w:r>
        <w:rPr>
          <w:rFonts w:ascii="Arial" w:hAnsi="Arial" w:cs="Arial"/>
          <w:sz w:val="24"/>
          <w:szCs w:val="24"/>
        </w:rPr>
        <w:t xml:space="preserve">kHz. </w:t>
      </w:r>
    </w:p>
    <w:p w:rsidR="008C7C36" w:rsidRDefault="000B5CC0" w:rsidP="00387BA4">
      <w:pPr>
        <w:spacing w:line="360" w:lineRule="auto"/>
        <w:jc w:val="center"/>
        <w:rPr>
          <w:rFonts w:ascii="Arial" w:hAnsi="Arial" w:cs="Arial"/>
          <w:sz w:val="24"/>
          <w:szCs w:val="24"/>
        </w:rPr>
      </w:pPr>
      <w:r>
        <w:rPr>
          <w:noProof/>
        </w:rPr>
        <w:lastRenderedPageBreak/>
        <w:drawing>
          <wp:inline distT="0" distB="0" distL="0" distR="0" wp14:anchorId="397DB77C" wp14:editId="4B81AD12">
            <wp:extent cx="5274310" cy="263715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637155"/>
                    </a:xfrm>
                    <a:prstGeom prst="rect">
                      <a:avLst/>
                    </a:prstGeom>
                  </pic:spPr>
                </pic:pic>
              </a:graphicData>
            </a:graphic>
          </wp:inline>
        </w:drawing>
      </w:r>
    </w:p>
    <w:p w:rsidR="00927281" w:rsidRPr="00387BA4" w:rsidRDefault="00B21252" w:rsidP="00387BA4">
      <w:pPr>
        <w:pStyle w:val="ab"/>
        <w:spacing w:before="0" w:beforeAutospacing="0" w:after="0" w:afterAutospacing="0" w:line="360" w:lineRule="auto"/>
        <w:jc w:val="both"/>
        <w:rPr>
          <w:rFonts w:ascii="Arial" w:eastAsiaTheme="minorEastAsia" w:hAnsi="Arial" w:cs="Arial"/>
          <w:color w:val="000000" w:themeColor="text1"/>
          <w:kern w:val="24"/>
        </w:rPr>
      </w:pPr>
      <w:bookmarkStart w:id="1" w:name="OLE_LINK1"/>
      <w:r>
        <w:rPr>
          <w:rFonts w:ascii="Arial" w:eastAsiaTheme="minorEastAsia" w:hAnsi="Arial" w:cs="Arial"/>
          <w:b/>
          <w:color w:val="000000" w:themeColor="text1"/>
          <w:kern w:val="24"/>
        </w:rPr>
        <w:t xml:space="preserve">Supplementary Fig. </w:t>
      </w:r>
      <w:r w:rsidR="009F5815" w:rsidRPr="00F75649">
        <w:rPr>
          <w:rFonts w:ascii="Arial" w:eastAsiaTheme="minorEastAsia" w:hAnsi="Arial" w:cs="Arial"/>
          <w:b/>
          <w:color w:val="000000" w:themeColor="text1"/>
          <w:kern w:val="24"/>
        </w:rPr>
        <w:t>11</w:t>
      </w:r>
      <w:r w:rsidR="009F5815">
        <w:rPr>
          <w:rFonts w:ascii="Arial" w:eastAsiaTheme="minorEastAsia" w:hAnsi="Arial" w:cs="Arial"/>
          <w:color w:val="000000" w:themeColor="text1"/>
          <w:kern w:val="24"/>
        </w:rPr>
        <w:t xml:space="preserve"> </w:t>
      </w:r>
      <w:r w:rsidR="00FB3F1E">
        <w:rPr>
          <w:rFonts w:ascii="Arial" w:eastAsiaTheme="minorEastAsia" w:hAnsi="Arial" w:cs="Arial"/>
          <w:color w:val="000000" w:themeColor="text1"/>
          <w:kern w:val="24"/>
        </w:rPr>
        <w:t>a) The transmitter system with a one-centimeter-high plastic platform (sometimes can remove away). The main transmitter coil is a square coil made by square-shaped copper wire. This transmitting system is charged by 10 V direct-current power source. b) The image of a red LED lit by SMSC of IWC-</w:t>
      </w:r>
      <w:r w:rsidR="007A795F">
        <w:rPr>
          <w:rFonts w:ascii="Arial" w:eastAsiaTheme="minorEastAsia" w:hAnsi="Arial" w:cs="Arial"/>
          <w:color w:val="000000" w:themeColor="text1"/>
          <w:kern w:val="24"/>
        </w:rPr>
        <w:t>S</w:t>
      </w:r>
      <w:r w:rsidR="00FB3F1E">
        <w:rPr>
          <w:rFonts w:ascii="Arial" w:eastAsiaTheme="minorEastAsia" w:hAnsi="Arial" w:cs="Arial"/>
          <w:color w:val="000000" w:themeColor="text1"/>
          <w:kern w:val="24"/>
        </w:rPr>
        <w:t>MSCs after wireless charging for 2 minutes. The circuit diagram are consulted to the website (https://www.instructables.com/id/Easy-Wireless-LEDs) and references.</w:t>
      </w:r>
      <w:r w:rsidR="00FB3F1E">
        <w:rPr>
          <w:rFonts w:ascii="Arial" w:eastAsiaTheme="minorEastAsia" w:hAnsi="Arial" w:cs="Arial"/>
          <w:color w:val="000000" w:themeColor="text1"/>
          <w:kern w:val="24"/>
        </w:rPr>
        <w:fldChar w:fldCharType="begin"/>
      </w:r>
      <w:r w:rsidR="00FB3F1E">
        <w:rPr>
          <w:rFonts w:ascii="Arial" w:eastAsiaTheme="minorEastAsia" w:hAnsi="Arial" w:cs="Arial"/>
          <w:color w:val="000000" w:themeColor="text1"/>
          <w:kern w:val="24"/>
        </w:rPr>
        <w:instrText xml:space="preserve"> ADDIN EN.CITE &lt;EndNote&gt;&lt;Cite&gt;&lt;Author&gt;Yin&lt;/Author&gt;&lt;Year&gt;2018&lt;/Year&gt;&lt;RecNum&gt;269&lt;/RecNum&gt;&lt;DisplayText&gt;&lt;style face="superscript"&gt;2&lt;/style&gt;&lt;/DisplayText&gt;&lt;record&gt;&lt;rec-number&gt;269&lt;/rec-number&gt;&lt;foreign-keys&gt;&lt;key app="EN" db-id="re20520x8wddrqe0zeox90s6dvppr0xe0zpa" timestamp="1575547925"&gt;269&lt;/key&gt;&lt;/foreign-keys&gt;&lt;ref-type name="Journal Article"&gt;17&lt;/ref-type&gt;&lt;contributors&gt;&lt;authors&gt;&lt;author&gt;Yin, Zhe&lt;/author&gt;&lt;author&gt;Jian, Muqiang&lt;/author&gt;&lt;author&gt;Wang, Chunya&lt;/author&gt;&lt;author&gt;Xia, Kailun&lt;/author&gt;&lt;author&gt;Liu, Zhehong&lt;/author&gt;&lt;author&gt;Wang, Qi&lt;/author&gt;&lt;author&gt;Zhang, Mingchao&lt;/author&gt;&lt;author&gt;Wang, Huimin&lt;/author&gt;&lt;author&gt;Liang, Xiaoping&lt;/author&gt;&lt;author&gt;Liang, Xiao&lt;/author&gt;&lt;/authors&gt;&lt;/contributors&gt;&lt;titles&gt;&lt;title&gt;Splash-resistant and light-weight silk-sheathed wires for textile electronics&lt;/title&gt;&lt;secondary-title&gt;Nano letters&lt;/secondary-title&gt;&lt;/titles&gt;&lt;periodical&gt;&lt;full-title&gt;Nano Letters&lt;/full-title&gt;&lt;abbr-1&gt;Nano Lett.&lt;/abbr-1&gt;&lt;/periodical&gt;&lt;pages&gt;7085-7091&lt;/pages&gt;&lt;volume&gt;18&lt;/volume&gt;&lt;number&gt;11&lt;/number&gt;&lt;dates&gt;&lt;year&gt;2018&lt;/year&gt;&lt;/dates&gt;&lt;isbn&gt;1530-6984&lt;/isbn&gt;&lt;urls&gt;&lt;/urls&gt;&lt;/record&gt;&lt;/Cite&gt;&lt;/EndNote&gt;</w:instrText>
      </w:r>
      <w:r w:rsidR="00FB3F1E">
        <w:rPr>
          <w:rFonts w:ascii="Arial" w:eastAsiaTheme="minorEastAsia" w:hAnsi="Arial" w:cs="Arial"/>
          <w:color w:val="000000" w:themeColor="text1"/>
          <w:kern w:val="24"/>
        </w:rPr>
        <w:fldChar w:fldCharType="separate"/>
      </w:r>
      <w:r w:rsidR="00FB3F1E">
        <w:rPr>
          <w:rFonts w:ascii="Arial" w:eastAsiaTheme="minorEastAsia" w:hAnsi="Arial" w:cs="Arial"/>
          <w:color w:val="000000" w:themeColor="text1"/>
          <w:kern w:val="24"/>
          <w:vertAlign w:val="superscript"/>
        </w:rPr>
        <w:t>2</w:t>
      </w:r>
      <w:r w:rsidR="00FB3F1E">
        <w:rPr>
          <w:rFonts w:ascii="Arial" w:eastAsiaTheme="minorEastAsia" w:hAnsi="Arial" w:cs="Arial"/>
          <w:color w:val="000000" w:themeColor="text1"/>
          <w:kern w:val="24"/>
        </w:rPr>
        <w:fldChar w:fldCharType="end"/>
      </w:r>
      <w:bookmarkEnd w:id="1"/>
    </w:p>
    <w:p w:rsidR="00A83A3E" w:rsidRDefault="00557FCC" w:rsidP="00387BA4">
      <w:pPr>
        <w:pStyle w:val="ab"/>
        <w:spacing w:before="0" w:beforeAutospacing="0" w:after="0" w:afterAutospacing="0" w:line="360" w:lineRule="auto"/>
        <w:jc w:val="center"/>
        <w:rPr>
          <w:rFonts w:ascii="Arial" w:eastAsiaTheme="minorEastAsia" w:hAnsi="Arial" w:cs="Arial"/>
          <w:color w:val="000000" w:themeColor="text1"/>
          <w:kern w:val="24"/>
        </w:rPr>
      </w:pPr>
      <w:r>
        <w:rPr>
          <w:noProof/>
        </w:rPr>
        <w:drawing>
          <wp:inline distT="0" distB="0" distL="0" distR="0" wp14:anchorId="60DA08A2" wp14:editId="7105F72F">
            <wp:extent cx="5274310" cy="2113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113280"/>
                    </a:xfrm>
                    <a:prstGeom prst="rect">
                      <a:avLst/>
                    </a:prstGeom>
                  </pic:spPr>
                </pic:pic>
              </a:graphicData>
            </a:graphic>
          </wp:inline>
        </w:drawing>
      </w:r>
    </w:p>
    <w:p w:rsidR="00A83A3E" w:rsidRDefault="00B21252" w:rsidP="00387BA4">
      <w:pPr>
        <w:pStyle w:val="ab"/>
        <w:spacing w:before="0" w:beforeAutospacing="0" w:after="0" w:afterAutospacing="0" w:line="360" w:lineRule="auto"/>
        <w:jc w:val="both"/>
        <w:rPr>
          <w:rFonts w:ascii="Arial" w:eastAsiaTheme="minorEastAsia" w:hAnsi="Arial" w:cs="Arial"/>
          <w:color w:val="000000" w:themeColor="text1"/>
          <w:kern w:val="24"/>
        </w:rPr>
      </w:pPr>
      <w:r>
        <w:rPr>
          <w:rFonts w:ascii="Arial" w:eastAsiaTheme="minorEastAsia" w:hAnsi="Arial" w:cs="Arial"/>
          <w:b/>
          <w:color w:val="000000" w:themeColor="text1"/>
          <w:kern w:val="24"/>
        </w:rPr>
        <w:t xml:space="preserve">Supplementary Fig. </w:t>
      </w:r>
      <w:r w:rsidR="00A83A3E" w:rsidRPr="00C86CA1">
        <w:rPr>
          <w:rFonts w:ascii="Arial" w:eastAsiaTheme="minorEastAsia" w:hAnsi="Arial" w:cs="Arial"/>
          <w:b/>
          <w:color w:val="000000" w:themeColor="text1"/>
          <w:kern w:val="24"/>
        </w:rPr>
        <w:t>1</w:t>
      </w:r>
      <w:r w:rsidR="00F75649" w:rsidRPr="00C86CA1">
        <w:rPr>
          <w:rFonts w:ascii="Arial" w:eastAsiaTheme="minorEastAsia" w:hAnsi="Arial" w:cs="Arial"/>
          <w:b/>
          <w:color w:val="000000" w:themeColor="text1"/>
          <w:kern w:val="24"/>
        </w:rPr>
        <w:t>2</w:t>
      </w:r>
      <w:r w:rsidR="00A83A3E">
        <w:rPr>
          <w:rFonts w:ascii="Arial" w:eastAsiaTheme="minorEastAsia" w:hAnsi="Arial" w:cs="Arial"/>
          <w:color w:val="000000" w:themeColor="text1"/>
          <w:kern w:val="24"/>
        </w:rPr>
        <w:t xml:space="preserve"> a) The received rectified current in </w:t>
      </w:r>
      <w:r w:rsidR="00A16C06">
        <w:rPr>
          <w:rFonts w:ascii="Arial" w:eastAsiaTheme="minorEastAsia" w:hAnsi="Arial" w:cs="Arial"/>
          <w:color w:val="000000" w:themeColor="text1"/>
          <w:kern w:val="24"/>
        </w:rPr>
        <w:t>S</w:t>
      </w:r>
      <w:r w:rsidR="00A83A3E">
        <w:rPr>
          <w:rFonts w:ascii="Arial" w:eastAsiaTheme="minorEastAsia" w:hAnsi="Arial" w:cs="Arial"/>
          <w:color w:val="000000" w:themeColor="text1"/>
          <w:kern w:val="24"/>
        </w:rPr>
        <w:t xml:space="preserve">MSCs under wireless charging </w:t>
      </w:r>
      <w:r w:rsidR="00A83A3E">
        <w:rPr>
          <w:rFonts w:ascii="Arial" w:eastAsiaTheme="minorEastAsia" w:hAnsi="Arial" w:cs="Arial" w:hint="eastAsia"/>
          <w:color w:val="000000" w:themeColor="text1"/>
          <w:kern w:val="24"/>
        </w:rPr>
        <w:t>and</w:t>
      </w:r>
      <w:r w:rsidR="00A83A3E">
        <w:rPr>
          <w:rFonts w:ascii="Arial" w:eastAsiaTheme="minorEastAsia" w:hAnsi="Arial" w:cs="Arial"/>
          <w:color w:val="000000" w:themeColor="text1"/>
          <w:kern w:val="24"/>
        </w:rPr>
        <w:t xml:space="preserve"> b) the corresponding quantity of electric charges accumulated in </w:t>
      </w:r>
      <w:r w:rsidR="00A16C06">
        <w:rPr>
          <w:rFonts w:ascii="Arial" w:eastAsiaTheme="minorEastAsia" w:hAnsi="Arial" w:cs="Arial"/>
          <w:color w:val="000000" w:themeColor="text1"/>
          <w:kern w:val="24"/>
        </w:rPr>
        <w:t>S</w:t>
      </w:r>
      <w:r w:rsidR="00A83A3E">
        <w:rPr>
          <w:rFonts w:ascii="Arial" w:eastAsiaTheme="minorEastAsia" w:hAnsi="Arial" w:cs="Arial"/>
          <w:color w:val="000000" w:themeColor="text1"/>
          <w:kern w:val="24"/>
        </w:rPr>
        <w:t>MSCs.</w:t>
      </w:r>
    </w:p>
    <w:p w:rsidR="00C7029E" w:rsidRDefault="00C7029E" w:rsidP="00387BA4">
      <w:pPr>
        <w:pStyle w:val="ab"/>
        <w:spacing w:before="0" w:beforeAutospacing="0" w:after="0" w:afterAutospacing="0" w:line="360" w:lineRule="auto"/>
        <w:jc w:val="both"/>
        <w:rPr>
          <w:rFonts w:ascii="Arial" w:eastAsiaTheme="minorEastAsia" w:hAnsi="Arial" w:cs="Arial"/>
          <w:color w:val="000000" w:themeColor="text1"/>
          <w:kern w:val="24"/>
          <w:sz w:val="28"/>
        </w:rPr>
      </w:pPr>
    </w:p>
    <w:p w:rsidR="00250A22" w:rsidRDefault="00250A22" w:rsidP="00387BA4">
      <w:pPr>
        <w:widowControl/>
        <w:spacing w:line="360" w:lineRule="auto"/>
        <w:jc w:val="left"/>
        <w:rPr>
          <w:rFonts w:ascii="Arial" w:hAnsi="Arial" w:cs="Arial"/>
          <w:color w:val="000000" w:themeColor="text1"/>
          <w:kern w:val="24"/>
          <w:sz w:val="28"/>
          <w:szCs w:val="24"/>
        </w:rPr>
      </w:pPr>
      <w:r>
        <w:rPr>
          <w:rFonts w:ascii="Arial" w:hAnsi="Arial" w:cs="Arial"/>
          <w:color w:val="000000" w:themeColor="text1"/>
          <w:kern w:val="24"/>
          <w:sz w:val="28"/>
        </w:rPr>
        <w:br w:type="page"/>
      </w:r>
    </w:p>
    <w:p w:rsidR="008C7C36" w:rsidRPr="00052F30" w:rsidRDefault="007B7EC7" w:rsidP="00A75E5F">
      <w:pPr>
        <w:pStyle w:val="ab"/>
        <w:spacing w:before="0" w:beforeAutospacing="0" w:after="0" w:afterAutospacing="0" w:line="360" w:lineRule="auto"/>
        <w:jc w:val="both"/>
        <w:rPr>
          <w:rFonts w:ascii="Arial" w:hAnsi="Arial" w:cs="Arial"/>
        </w:rPr>
      </w:pPr>
      <w:r w:rsidRPr="00052F30">
        <w:rPr>
          <w:rFonts w:ascii="Arial" w:eastAsiaTheme="minorEastAsia" w:hAnsi="Arial" w:cs="Arial"/>
          <w:b/>
          <w:color w:val="000000" w:themeColor="text1"/>
          <w:kern w:val="24"/>
        </w:rPr>
        <w:lastRenderedPageBreak/>
        <w:t xml:space="preserve">Supplementary Table </w:t>
      </w:r>
      <w:r w:rsidR="00FB3F1E" w:rsidRPr="00052F30">
        <w:rPr>
          <w:rFonts w:ascii="Arial" w:eastAsiaTheme="minorEastAsia" w:hAnsi="Arial" w:cs="Arial"/>
          <w:b/>
          <w:color w:val="000000" w:themeColor="text1"/>
          <w:kern w:val="24"/>
        </w:rPr>
        <w:t>1</w:t>
      </w:r>
      <w:r w:rsidR="00FB3F1E" w:rsidRPr="00052F30">
        <w:rPr>
          <w:rFonts w:ascii="Arial" w:eastAsiaTheme="minorEastAsia" w:hAnsi="Arial" w:cs="Arial"/>
          <w:color w:val="000000" w:themeColor="text1"/>
          <w:kern w:val="24"/>
        </w:rPr>
        <w:t xml:space="preserve"> Comparison of the areal capacitance of planar micro-supercapacitors</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418"/>
        <w:gridCol w:w="3402"/>
        <w:gridCol w:w="709"/>
        <w:gridCol w:w="1984"/>
        <w:gridCol w:w="793"/>
      </w:tblGrid>
      <w:tr w:rsidR="00CF36A5" w:rsidRPr="00052F30" w:rsidTr="000E288B">
        <w:trPr>
          <w:trHeight w:hRule="exact" w:val="917"/>
          <w:jc w:val="center"/>
        </w:trPr>
        <w:tc>
          <w:tcPr>
            <w:tcW w:w="1418" w:type="dxa"/>
            <w:tcBorders>
              <w:top w:val="single" w:sz="4" w:space="0" w:color="auto"/>
              <w:bottom w:val="single" w:sz="4" w:space="0" w:color="auto"/>
            </w:tcBorders>
            <w:vAlign w:val="center"/>
          </w:tcPr>
          <w:p w:rsidR="00D86643" w:rsidRPr="001D5F24" w:rsidRDefault="00D86643" w:rsidP="00A06AE9">
            <w:pPr>
              <w:widowControl/>
              <w:jc w:val="center"/>
              <w:rPr>
                <w:rFonts w:ascii="Arial" w:eastAsia="DengXian" w:hAnsi="Arial" w:cs="Arial"/>
                <w:color w:val="000000"/>
                <w:kern w:val="0"/>
                <w:sz w:val="24"/>
                <w:szCs w:val="24"/>
              </w:rPr>
            </w:pPr>
            <w:r w:rsidRPr="001D5F24">
              <w:rPr>
                <w:rFonts w:ascii="Arial" w:eastAsia="DengXian" w:hAnsi="Arial" w:cs="Arial"/>
                <w:color w:val="000000"/>
                <w:kern w:val="0"/>
                <w:sz w:val="24"/>
                <w:szCs w:val="24"/>
              </w:rPr>
              <w:t>MSC type</w:t>
            </w:r>
          </w:p>
        </w:tc>
        <w:tc>
          <w:tcPr>
            <w:tcW w:w="3402" w:type="dxa"/>
            <w:tcBorders>
              <w:top w:val="single" w:sz="4" w:space="0" w:color="auto"/>
              <w:bottom w:val="single" w:sz="4" w:space="0" w:color="auto"/>
            </w:tcBorders>
            <w:shd w:val="clear" w:color="auto" w:fill="auto"/>
            <w:noWrap/>
            <w:vAlign w:val="center"/>
          </w:tcPr>
          <w:p w:rsidR="00D86643" w:rsidRPr="00232EF5" w:rsidRDefault="00D86643" w:rsidP="000E288B">
            <w:pPr>
              <w:widowControl/>
              <w:jc w:val="center"/>
              <w:rPr>
                <w:rFonts w:ascii="Arial" w:eastAsia="DengXian" w:hAnsi="Arial" w:cs="Arial"/>
                <w:color w:val="000000"/>
                <w:kern w:val="0"/>
                <w:sz w:val="24"/>
                <w:szCs w:val="24"/>
              </w:rPr>
            </w:pPr>
            <w:r w:rsidRPr="001D5F24">
              <w:rPr>
                <w:rFonts w:ascii="Arial" w:eastAsia="DengXian" w:hAnsi="Arial" w:cs="Arial"/>
                <w:color w:val="000000"/>
                <w:kern w:val="0"/>
                <w:sz w:val="24"/>
                <w:szCs w:val="24"/>
              </w:rPr>
              <w:t>Electrode materials</w:t>
            </w:r>
          </w:p>
        </w:tc>
        <w:tc>
          <w:tcPr>
            <w:tcW w:w="2693" w:type="dxa"/>
            <w:gridSpan w:val="2"/>
            <w:tcBorders>
              <w:top w:val="single" w:sz="4" w:space="0" w:color="auto"/>
              <w:bottom w:val="single" w:sz="4" w:space="0" w:color="auto"/>
            </w:tcBorders>
            <w:shd w:val="clear" w:color="auto" w:fill="auto"/>
            <w:noWrap/>
            <w:vAlign w:val="center"/>
          </w:tcPr>
          <w:p w:rsidR="001D5F24" w:rsidRPr="00232EF5" w:rsidRDefault="00D86643" w:rsidP="00A06AE9">
            <w:pPr>
              <w:widowControl/>
              <w:jc w:val="center"/>
              <w:rPr>
                <w:rFonts w:ascii="Arial" w:eastAsia="DengXian" w:hAnsi="Arial" w:cs="Arial"/>
                <w:color w:val="000000"/>
                <w:kern w:val="0"/>
                <w:sz w:val="24"/>
                <w:szCs w:val="24"/>
              </w:rPr>
            </w:pPr>
            <w:r w:rsidRPr="00232EF5">
              <w:rPr>
                <w:rFonts w:ascii="Arial" w:eastAsia="DengXian" w:hAnsi="Arial" w:cs="Arial"/>
                <w:color w:val="000000"/>
                <w:kern w:val="0"/>
                <w:sz w:val="24"/>
                <w:szCs w:val="24"/>
              </w:rPr>
              <w:t>Areal capacitance</w:t>
            </w:r>
          </w:p>
          <w:p w:rsidR="00D86643" w:rsidRPr="00CF36A5" w:rsidRDefault="00D86643" w:rsidP="00A06AE9">
            <w:pPr>
              <w:widowControl/>
              <w:jc w:val="center"/>
              <w:rPr>
                <w:rFonts w:ascii="Arial" w:eastAsia="DengXian" w:hAnsi="Arial" w:cs="Arial"/>
                <w:color w:val="000000"/>
                <w:kern w:val="0"/>
                <w:sz w:val="24"/>
                <w:szCs w:val="24"/>
              </w:rPr>
            </w:pPr>
            <w:r w:rsidRPr="00CF36A5">
              <w:rPr>
                <w:rFonts w:ascii="Arial" w:eastAsia="DengXian" w:hAnsi="Arial" w:cs="Arial"/>
                <w:color w:val="000000"/>
                <w:kern w:val="0"/>
                <w:sz w:val="24"/>
                <w:szCs w:val="24"/>
              </w:rPr>
              <w:t xml:space="preserve"> (mF cm</w:t>
            </w:r>
            <w:r w:rsidRPr="00CF36A5">
              <w:rPr>
                <w:rFonts w:ascii="Arial" w:eastAsia="DengXian" w:hAnsi="Arial" w:cs="Arial"/>
                <w:color w:val="000000"/>
                <w:kern w:val="0"/>
                <w:sz w:val="24"/>
                <w:szCs w:val="24"/>
                <w:vertAlign w:val="superscript"/>
              </w:rPr>
              <w:t>-2</w:t>
            </w:r>
            <w:r w:rsidRPr="00CF36A5">
              <w:rPr>
                <w:rFonts w:ascii="Arial" w:eastAsia="DengXian" w:hAnsi="Arial" w:cs="Arial"/>
                <w:color w:val="000000"/>
                <w:kern w:val="0"/>
                <w:sz w:val="24"/>
                <w:szCs w:val="24"/>
              </w:rPr>
              <w:t>)</w:t>
            </w:r>
          </w:p>
        </w:tc>
        <w:tc>
          <w:tcPr>
            <w:tcW w:w="793" w:type="dxa"/>
            <w:tcBorders>
              <w:top w:val="single" w:sz="4" w:space="0" w:color="auto"/>
              <w:bottom w:val="single" w:sz="4" w:space="0" w:color="auto"/>
            </w:tcBorders>
            <w:shd w:val="clear" w:color="auto" w:fill="auto"/>
            <w:noWrap/>
            <w:vAlign w:val="center"/>
          </w:tcPr>
          <w:p w:rsidR="00D86643" w:rsidRPr="00CF36A5" w:rsidRDefault="00A635EB" w:rsidP="00A06AE9">
            <w:pPr>
              <w:widowControl/>
              <w:jc w:val="center"/>
              <w:rPr>
                <w:rFonts w:ascii="Arial" w:eastAsia="DengXian" w:hAnsi="Arial" w:cs="Arial"/>
                <w:color w:val="000000"/>
                <w:kern w:val="0"/>
                <w:sz w:val="24"/>
                <w:szCs w:val="24"/>
              </w:rPr>
            </w:pPr>
            <w:r w:rsidRPr="00CF36A5">
              <w:rPr>
                <w:rFonts w:ascii="Arial" w:eastAsia="DengXian" w:hAnsi="Arial" w:cs="Arial"/>
                <w:color w:val="000000"/>
                <w:kern w:val="0"/>
                <w:sz w:val="24"/>
                <w:szCs w:val="24"/>
              </w:rPr>
              <w:t>Ref</w:t>
            </w:r>
          </w:p>
        </w:tc>
      </w:tr>
      <w:tr w:rsidR="00CF36A5" w:rsidRPr="00052F30" w:rsidTr="000E288B">
        <w:trPr>
          <w:trHeight w:hRule="exact" w:val="454"/>
          <w:jc w:val="center"/>
        </w:trPr>
        <w:tc>
          <w:tcPr>
            <w:tcW w:w="1418" w:type="dxa"/>
            <w:vMerge w:val="restart"/>
            <w:tcBorders>
              <w:top w:val="single" w:sz="4" w:space="0" w:color="auto"/>
            </w:tcBorders>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Symmetric MSC</w:t>
            </w:r>
          </w:p>
        </w:tc>
        <w:tc>
          <w:tcPr>
            <w:tcW w:w="4111" w:type="dxa"/>
            <w:gridSpan w:val="2"/>
            <w:tcBorders>
              <w:top w:val="single" w:sz="4" w:space="0" w:color="auto"/>
            </w:tcBorders>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proofErr w:type="gramStart"/>
            <w:r w:rsidRPr="000E288B">
              <w:rPr>
                <w:rFonts w:ascii="Arial" w:eastAsia="DengXian" w:hAnsi="Arial" w:cs="Arial"/>
                <w:color w:val="000000"/>
                <w:kern w:val="0"/>
                <w:sz w:val="22"/>
                <w:szCs w:val="24"/>
              </w:rPr>
              <w:t>Co(</w:t>
            </w:r>
            <w:proofErr w:type="gramEnd"/>
            <w:r w:rsidRPr="000E288B">
              <w:rPr>
                <w:rFonts w:ascii="Arial" w:eastAsia="DengXian" w:hAnsi="Arial" w:cs="Arial"/>
                <w:color w:val="000000"/>
                <w:kern w:val="0"/>
                <w:sz w:val="22"/>
                <w:szCs w:val="24"/>
              </w:rPr>
              <w:t>OH)</w:t>
            </w:r>
            <w:r w:rsidRPr="000E288B">
              <w:rPr>
                <w:rFonts w:ascii="Arial" w:eastAsia="DengXian" w:hAnsi="Arial" w:cs="Arial"/>
                <w:color w:val="000000"/>
                <w:kern w:val="0"/>
                <w:sz w:val="22"/>
                <w:szCs w:val="24"/>
                <w:vertAlign w:val="subscript"/>
              </w:rPr>
              <w:t>2</w:t>
            </w:r>
            <w:r w:rsidRPr="000E288B">
              <w:rPr>
                <w:rFonts w:ascii="Arial" w:eastAsia="DengXian" w:hAnsi="Arial" w:cs="Arial"/>
                <w:color w:val="000000"/>
                <w:kern w:val="0"/>
                <w:sz w:val="22"/>
                <w:szCs w:val="24"/>
              </w:rPr>
              <w:t>/Pt micro-pillar array</w:t>
            </w:r>
          </w:p>
        </w:tc>
        <w:tc>
          <w:tcPr>
            <w:tcW w:w="1984" w:type="dxa"/>
            <w:tcBorders>
              <w:top w:val="single" w:sz="4" w:space="0" w:color="auto"/>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237</w:t>
            </w:r>
          </w:p>
        </w:tc>
        <w:tc>
          <w:tcPr>
            <w:tcW w:w="793" w:type="dxa"/>
            <w:tcBorders>
              <w:top w:val="single" w:sz="4" w:space="0" w:color="auto"/>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&lt;EndNote&gt;&lt;Cite&gt;&lt;Author&gt;Tian&lt;/Author&gt;&lt;Year&gt;2015&lt;/Year&gt;&lt;RecNum&gt;270&lt;/RecNum&gt;&lt;DisplayText&gt;&lt;style face="superscript"&gt;3&lt;/style&gt;&lt;/DisplayText&gt;&lt;record&gt;&lt;rec-number&gt;270&lt;/rec-number&gt;&lt;foreign-keys&gt;&lt;key app="EN" db-id="re20520x8wddrqe0zeox90s6dvppr0xe0zpa" timestamp="1576760229"&gt;270&lt;/key&gt;&lt;/foreign-keys&gt;&lt;ref-type name="Journal Article"&gt;17&lt;/ref-type&gt;&lt;contributors&gt;&lt;authors&gt;&lt;author&gt;Tian, Xiaocong&lt;/author&gt;&lt;author&gt;Shi, Mengzhu&lt;/author&gt;&lt;author&gt;Xu, Xu&lt;/author&gt;&lt;author&gt;Yan, Mengyu&lt;/author&gt;&lt;author&gt;Xu, Lin&lt;/author&gt;&lt;author&gt;Minhas</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Khan, Aamir&lt;/author&gt;&lt;author&gt;Han, Chunhua&lt;/author&gt;&lt;author&gt;He, Liang&lt;/author&gt;&lt;author&gt;Mai, Liqiang&lt;/author&gt;&lt;/authors&gt;&lt;/contributors&gt;&lt;titles&gt;&lt;title&gt;Arbitrary shape engineerable spiral micropseudocapacitors with ultrahigh energy and power densities&lt;/title&gt;&lt;secondary-title&gt;Advanced Materials&lt;/secondary-title&gt;&lt;/titles&gt;&lt;periodical&gt;&lt;full-title&gt;Advanced Materials&lt;/full-title&gt;&lt;abbr-1&gt;Adv. Mater.&lt;/abbr-1&gt;&lt;/periodical&gt;&lt;pages&gt;7476-7482&lt;/pages&gt;&lt;volume&gt;27&lt;/volume&gt;&lt;number&gt;45&lt;/number&gt;&lt;dates&gt;&lt;year&gt;2015&lt;/year&gt;&lt;/dates&gt;&lt;isbn&gt;0935-9648&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color w:val="000000"/>
                <w:kern w:val="0"/>
                <w:sz w:val="22"/>
                <w:szCs w:val="24"/>
                <w:vertAlign w:val="superscript"/>
              </w:rPr>
              <w:t>3</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Carbide-derived carbon/Au film</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36</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&lt;EndNote&gt;&lt;Cite&gt;&lt;Author&gt;Chmiola&lt;/Author&gt;&lt;Year&gt;2010&lt;/Year&gt;&lt;RecNum&gt;271&lt;/RecNum&gt;&lt;DisplayText&gt;&lt;style face="superscript"&gt;4&lt;/style&gt;&lt;/DisplayText&gt;&lt;record&gt;&lt;rec-number&gt;271&lt;/rec-number&gt;&lt;foreign-keys&gt;&lt;key app="EN" db-id="re20520x8wddrqe0zeox90s6dvppr0xe0zpa" timestamp="1576760350"&gt;271&lt;/key&gt;&lt;/foreign-keys&gt;&lt;ref-type name="Journal Article"&gt;17&lt;/ref-type&gt;&lt;contributors&gt;&lt;authors&gt;&lt;author&gt;Chmiola, John&lt;/author&gt;&lt;author&gt;Largeot, Celine&lt;/author&gt;&lt;author&gt;Taberna, Pierre-Louis&lt;/author&gt;&lt;author&gt;Simon, Patrice&lt;/author&gt;&lt;author&gt;Gogotsi, Yury&lt;/author&gt;&lt;/authors&gt;&lt;/contributors&gt;&lt;titles&gt;&lt;title&gt;Monolithic carbide-derived carbon films for micro-supercapacitors&lt;/title&gt;&lt;secondary-title&gt;Science&lt;/secondary-title&gt;&lt;/titles&gt;&lt;periodical&gt;&lt;full-title&gt;Science&lt;/full-title&gt;&lt;abbr-1&gt;Science&lt;/abbr-1&gt;&lt;/periodical&gt;&lt;pages&gt;480-483&lt;/pages&gt;&lt;volume&gt;328&lt;/volume&gt;&lt;number&gt;5977&lt;/number&gt;&lt;dates&gt;&lt;year&gt;2010&lt;/year&gt;&lt;/dates&gt;&lt;isbn&gt;0036-8075&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color w:val="000000"/>
                <w:kern w:val="0"/>
                <w:sz w:val="22"/>
                <w:szCs w:val="24"/>
                <w:vertAlign w:val="superscript"/>
              </w:rPr>
              <w:t>4</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PANI nanowire</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25.67</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&lt;EndNote&gt;&lt;Cite&gt;&lt;Author&gt;Wang&lt;/Author&gt;&lt;Year&gt;2011&lt;/Year&gt;&lt;RecNum&gt;272&lt;/RecNum&gt;&lt;DisplayText&gt;&lt;style face="superscript"&gt;5&lt;/style&gt;&lt;/DisplayText&gt;&lt;record&gt;&lt;rec-number&gt;272&lt;/rec-number&gt;&lt;foreign-keys&gt;&lt;key app="EN" db-id="re20520x8wddrqe0zeox90s6dvppr0xe0zpa" timestamp="1576760440"&gt;272&lt;/key&gt;&lt;/foreign-keys&gt;&lt;ref-type name="Journal Article"&gt;17&lt;/ref-type&gt;&lt;contributors&gt;&lt;authors&gt;&lt;author&gt;Wang, Kai&lt;/author&gt;&lt;author&gt;Zou, Wenjun&lt;/author&gt;&lt;author&gt;Quan, Baogang&lt;/author&gt;&lt;author&gt;Yu, Aifang&lt;/author&gt;&lt;author&gt;Wu, Haiping&lt;/author&gt;&lt;author&gt;Jiang, Peng&lt;/author&gt;&lt;author&gt;Wei, Zhixiang&lt;/author&gt;&lt;/authors&gt;&lt;/contributors&gt;&lt;titles&gt;&lt;title&gt;An all</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solid</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state flexible micro</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supercapacitor on a chip&lt;/title&gt;&lt;secondary-title&gt;Advanced Energy Materials&lt;/secondary-title&gt;&lt;/titles&gt;&lt;periodical&gt;&lt;full-title&gt;Advanced Energy Materials&lt;/full-title&gt;&lt;abbr-1&gt;Adv. Ener. Mater.&lt;/abbr-1&gt;&lt;/periodical&gt;&lt;pages&gt;1068-1072&lt;/pages&gt;&lt;volume&gt;1&lt;/volume&gt;&lt;number&gt;6&lt;/number&gt;&lt;dates&gt;&lt;year&gt;2011&lt;/year&gt;&lt;/dates&gt;&lt;isbn&gt;1614-6832&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color w:val="000000"/>
                <w:kern w:val="0"/>
                <w:sz w:val="22"/>
                <w:szCs w:val="24"/>
                <w:vertAlign w:val="superscript"/>
              </w:rPr>
              <w:t>5</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shd w:val="clear" w:color="auto" w:fill="auto"/>
            <w:vAlign w:val="center"/>
          </w:tcPr>
          <w:p w:rsidR="00087539" w:rsidRPr="000E288B" w:rsidRDefault="00087539" w:rsidP="00A06AE9">
            <w:pPr>
              <w:widowControl/>
              <w:jc w:val="left"/>
              <w:rPr>
                <w:rFonts w:ascii="Arial" w:eastAsia="DengXian" w:hAnsi="Arial" w:cs="Arial"/>
                <w:color w:val="000000"/>
                <w:kern w:val="0"/>
                <w:sz w:val="22"/>
                <w:szCs w:val="24"/>
              </w:rPr>
            </w:pPr>
            <w:proofErr w:type="spellStart"/>
            <w:r w:rsidRPr="000E288B">
              <w:rPr>
                <w:rFonts w:ascii="Arial" w:eastAsia="DengXian" w:hAnsi="Arial" w:cs="Arial"/>
                <w:color w:val="000000"/>
                <w:kern w:val="0"/>
                <w:sz w:val="22"/>
                <w:szCs w:val="24"/>
              </w:rPr>
              <w:t>CoO</w:t>
            </w:r>
            <w:proofErr w:type="spellEnd"/>
            <w:r w:rsidRPr="000E288B">
              <w:rPr>
                <w:rFonts w:ascii="Arial" w:eastAsia="DengXian" w:hAnsi="Arial" w:cs="Arial"/>
                <w:color w:val="000000"/>
                <w:kern w:val="0"/>
                <w:sz w:val="22"/>
                <w:szCs w:val="24"/>
              </w:rPr>
              <w:t>/CNT nanocomposite</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50</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&lt;EndNote&gt;&lt;Cite&gt;&lt;Author&gt;Zhu&lt;/Author&gt;&lt;Year&gt;2014&lt;/Year&gt;&lt;RecNum&gt;274&lt;/RecNum&gt;&lt;DisplayText&gt;&lt;style face="superscript"&gt;6&lt;/style&gt;&lt;/DisplayText&gt;&lt;record&gt;&lt;rec-number&gt;274&lt;/rec-number&gt;&lt;foreign-keys&gt;&lt;key app="EN" db-id="re20520x8wddrqe0zeox90s6dvppr0xe0zpa" timestamp="1576760662"&gt;274&lt;/key&gt;&lt;/foreign-keys&gt;&lt;ref-type name="Journal Article"&gt;17&lt;/ref-type&gt;&lt;contributors&gt;&lt;authors&gt;&lt;author&gt;Zhu, Yun Guang&lt;/author&gt;&lt;author&gt;Wang, Ye&lt;/author&gt;&lt;author&gt;Shi, Yumeng&lt;/author&gt;&lt;author&gt;Wong, Jen It&lt;/author&gt;&lt;author&gt;Yang, Hui Ying&lt;/author&gt;&lt;/authors&gt;&lt;/contributors&gt;&lt;titles&gt;&lt;title&gt;CoO nanoflowers woven by CNT network for high energy density flexible micro-supercapacitor&lt;/title&gt;&lt;secondary-title&gt;Nano Energy&lt;/secondary-title&gt;&lt;/titles&gt;&lt;periodical&gt;&lt;full-title&gt;Nano Energy&lt;/full-title&gt;&lt;abbr-1&gt;Nano Energy&lt;/abbr-1&gt;&lt;/periodical&gt;&lt;pages&gt;46-54&lt;/pages&gt;&lt;volume&gt;3&lt;/volume&gt;&lt;dates&gt;&lt;year&gt;2014&lt;/year&gt;&lt;/dates&gt;&lt;isbn&gt;2211-2855&lt;/isbn&gt;&lt;urls&gt;&lt;/urls&gt;&lt;/record&gt;&lt;/Cite&gt;&lt;/EndNote&gt;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6</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shd w:val="clear" w:color="auto" w:fill="auto"/>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Laser-scribed graphene/MnO</w:t>
            </w:r>
            <w:r w:rsidRPr="000E288B">
              <w:rPr>
                <w:rFonts w:ascii="Arial" w:eastAsia="DengXian" w:hAnsi="Arial" w:cs="Arial"/>
                <w:color w:val="000000"/>
                <w:kern w:val="0"/>
                <w:sz w:val="22"/>
                <w:szCs w:val="24"/>
                <w:vertAlign w:val="subscript"/>
              </w:rPr>
              <w:t>2</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160</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&lt;EndNote&gt;&lt;Cite&gt;&lt;Author&gt;Hwang&lt;/Author&gt;&lt;Year&gt;2015&lt;/Year&gt;&lt;RecNum&gt;275&lt;/RecNum&gt;&lt;DisplayText&gt;&lt;style face="superscript"&gt;7&lt;/style&gt;&lt;/DisplayText&gt;&lt;record&gt;&lt;rec-number&gt;275&lt;/rec-number&gt;&lt;foreign-keys&gt;&lt;key app="EN" db-id="re20520x8wddrqe0zeox90s6dvppr0xe0zpa" timestamp="1576760767"&gt;275&lt;/key&gt;&lt;/foreign-keys&gt;&lt;ref-type name="Journal Article"&gt;17&lt;/ref-type&gt;&lt;contributors&gt;&lt;authors&gt;&lt;author&gt;Hwang, Jee Y&lt;/author&gt;&lt;author&gt;El-Kady, Maher F&lt;/author&gt;&lt;author&gt;Wang, Yue&lt;/author&gt;&lt;author&gt;Wang, Lisa&lt;/author&gt;&lt;author&gt;Shao, Yuanlong&lt;/author&gt;&lt;author&gt;Marsh, Kristofer&lt;/author&gt;&lt;author&gt;Ko, Jang M&lt;/author&gt;&lt;author&gt;Kaner, Richard B&lt;/author&gt;&lt;/authors&gt;&lt;/contributors&gt;&lt;titles&gt;&lt;title&gt;&lt;style face="normal" font="default" size="100%"&gt;Direct preparation and processing of graphene/RuO&lt;/style&gt;&lt;style face="subscript" font="default" size="100%"&gt;2&lt;/style&gt;&lt;style face="normal" font="default" size="100%"&gt; nanocomposite electrodes for high-performance capacitive energy storage&lt;/style&gt;&lt;/title&gt;&lt;secondary-title&gt;Nano Energy&lt;/secondary-title&gt;&lt;/titles&gt;&lt;periodical&gt;&lt;full-title&gt;Nano Energy&lt;/full-title&gt;&lt;abbr-1&gt;Nano Energy&lt;/abbr-1&gt;&lt;/periodical&gt;&lt;pages&gt;57-70&lt;/pages&gt;&lt;volume&gt;18&lt;/volume&gt;&lt;dates&gt;&lt;year&gt;2015&lt;/year&gt;&lt;/dates&gt;&lt;isbn&gt;2211-2855&lt;/isbn&gt;&lt;urls&gt;&lt;/urls&gt;&lt;/record&gt;&lt;/Cite&gt;&lt;/EndNote&gt;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7</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MnO</w:t>
            </w:r>
            <w:r w:rsidRPr="000E288B">
              <w:rPr>
                <w:rFonts w:ascii="Arial" w:eastAsia="DengXian" w:hAnsi="Arial" w:cs="Arial"/>
                <w:color w:val="000000"/>
                <w:kern w:val="0"/>
                <w:sz w:val="22"/>
                <w:szCs w:val="24"/>
                <w:vertAlign w:val="subscript"/>
              </w:rPr>
              <w:t>2</w:t>
            </w:r>
            <w:r w:rsidRPr="000E288B">
              <w:rPr>
                <w:rFonts w:ascii="Arial" w:eastAsia="DengXian" w:hAnsi="Arial" w:cs="Arial"/>
                <w:color w:val="000000"/>
                <w:kern w:val="0"/>
                <w:sz w:val="22"/>
                <w:szCs w:val="24"/>
              </w:rPr>
              <w:t>/Au 3D structure</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69.15</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&lt;EndNote&gt;&lt;Cite&gt;&lt;Author&gt;Li&lt;/Author&gt;&lt;Year&gt;2016&lt;/Year&gt;&lt;RecNum&gt;276&lt;/RecNum&gt;&lt;DisplayText&gt;&lt;style face="superscript"&gt;8&lt;/style&gt;&lt;/DisplayText&gt;&lt;record&gt;&lt;rec-number&gt;276&lt;/rec-number&gt;&lt;foreign-keys&gt;&lt;key app="EN" db-id="re20520x8wddrqe0zeox90s6dvppr0xe0zpa" timestamp="1576760824"&gt;276&lt;/key&gt;&lt;/foreign-keys&gt;&lt;ref-type name="Journal Article"&gt;17&lt;/ref-type&gt;&lt;contributors&gt;&lt;authors&gt;&lt;author&gt;Li, Ying</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Qi&lt;/author&gt;&lt;author&gt;Shi, Xiang</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Mei&lt;/author&gt;&lt;author&gt;Lang, Xing</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You&lt;/author&gt;&lt;author&gt;Wen, Zi&lt;/author&gt;&lt;author&gt;Li, Jian</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Chen&lt;/author&gt;&lt;author&gt;Jiang, Qing&lt;/author&gt;&lt;/authors&gt;&lt;/contributors&gt;&lt;titles&gt;&lt;title&gt;&lt;style face="normal" font="default" size="100%"&gt;Remarkable improvements in volumetric energy and power of 3D MnO&lt;/style&gt;&lt;style face="subscript" font="default" size="100%"&gt;2&lt;/style&gt;&lt;style face="normal" font="default" size="100%"&gt; microsupercapacitors by tuning crystallographic structures&lt;/style&gt;&lt;/title&gt;&lt;secondary-title&gt;Advanced Functional Materials&lt;/secondary-title&gt;&lt;/titles&gt;&lt;periodical&gt;&lt;full-title&gt;Advanced Functional Materials&lt;/full-title&gt;&lt;abbr-1&gt;Adv. Funct. Mater.&lt;/abbr-1&gt;&lt;/periodical&gt;&lt;pages&gt;1830-1839&lt;/pages&gt;&lt;volume&gt;26&lt;/volume&gt;&lt;number&gt;11&lt;/number&gt;&lt;dates&gt;&lt;year&gt;2016&lt;/year&gt;&lt;/dates&gt;&lt;isbn&gt;1616-301X&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8</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restart"/>
            <w:tcBorders>
              <w:top w:val="single" w:sz="4" w:space="0" w:color="auto"/>
            </w:tcBorders>
            <w:vAlign w:val="center"/>
          </w:tcPr>
          <w:p w:rsidR="00A06AE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Symmetric MSC</w:t>
            </w:r>
          </w:p>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—carbon-based electrodes</w:t>
            </w:r>
          </w:p>
        </w:tc>
        <w:tc>
          <w:tcPr>
            <w:tcW w:w="4111" w:type="dxa"/>
            <w:gridSpan w:val="2"/>
            <w:tcBorders>
              <w:top w:val="single" w:sz="4" w:space="0" w:color="auto"/>
              <w:bottom w:val="nil"/>
            </w:tcBorders>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Graphene flake/PEDOT layer</w:t>
            </w:r>
          </w:p>
        </w:tc>
        <w:tc>
          <w:tcPr>
            <w:tcW w:w="1984" w:type="dxa"/>
            <w:tcBorders>
              <w:top w:val="single" w:sz="4" w:space="0" w:color="auto"/>
              <w:bottom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15.3</w:t>
            </w:r>
          </w:p>
        </w:tc>
        <w:tc>
          <w:tcPr>
            <w:tcW w:w="793" w:type="dxa"/>
            <w:tcBorders>
              <w:top w:val="single" w:sz="4" w:space="0" w:color="auto"/>
              <w:bottom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&lt;EndNote&gt;&lt;Cite&gt;&lt;Author&gt;Lee&lt;/Author&gt;&lt;Year&gt;2017&lt;/Year&gt;&lt;RecNum&gt;273&lt;/RecNum&gt;&lt;DisplayText&gt;&lt;style face="superscript"&gt;9&lt;/style&gt;&lt;/DisplayText&gt;&lt;record&gt;&lt;rec-number&gt;273&lt;/rec-number&gt;&lt;foreign-keys&gt;&lt;key app="EN" db-id="re20520x8wddrqe0zeox90s6dvppr0xe0zpa" timestamp="1576760607"&gt;273&lt;/key&gt;&lt;/foreign-keys&gt;&lt;ref-type name="Journal Article"&gt;17&lt;/ref-type&gt;&lt;contributors&gt;&lt;authors&gt;&lt;author&gt;Lee, Hee Uk&lt;/author&gt;&lt;author&gt;Kim, Seung Wook&lt;/author&gt;&lt;/authors&gt;&lt;/contributors&gt;&lt;titles&gt;&lt;title&gt;Pen lithography for flexible microsupercapacitors with layer-by-layer assembled graphene flake/PEDOT nanocomposite electrodes&lt;/title&gt;&lt;secondary-title&gt;Journal of Materials Chemistry A&lt;/secondary-title&gt;&lt;/titles&gt;&lt;periodical&gt;&lt;full-title&gt;Journal of Materials Chemistry A&lt;/full-title&gt;&lt;abbr-1&gt;J. Mater. Chem. A&lt;/abbr-1&gt;&lt;/periodical&gt;&lt;pages&gt;13581-13590&lt;/pages&gt;&lt;volume&gt;5&lt;/volume&gt;&lt;number&gt;26&lt;/number&gt;&lt;dates&gt;&lt;year&gt;2017&lt;/year&gt;&lt;/dates&gt;&lt;urls&gt;&lt;/urls&gt;&lt;/record&gt;&lt;/Cite&gt;&lt;/EndNote&gt;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9</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tcBorders>
              <w:top w:val="nil"/>
            </w:tcBorders>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Laser-scribed graphene</w:t>
            </w:r>
          </w:p>
        </w:tc>
        <w:tc>
          <w:tcPr>
            <w:tcW w:w="1984" w:type="dxa"/>
            <w:tcBorders>
              <w:top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2.28</w:t>
            </w:r>
          </w:p>
        </w:tc>
        <w:tc>
          <w:tcPr>
            <w:tcW w:w="793" w:type="dxa"/>
            <w:tcBorders>
              <w:top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&lt;EndNote&gt;&lt;Cite&gt;&lt;Author&gt;El-Kady&lt;/Author&gt;&lt;Year&gt;2013&lt;/Year&gt;&lt;RecNum&gt;277&lt;/RecNum&gt;&lt;DisplayText&gt;&lt;style face="superscript"&gt;10&lt;/style&gt;&lt;/DisplayText&gt;&lt;record&gt;&lt;rec-number&gt;277&lt;/rec-number&gt;&lt;foreign-keys&gt;&lt;key app="EN" db-id="re20520x8wddrqe0zeox90s6dvppr0xe0zpa" timestamp="1576760894"&gt;277&lt;/key&gt;&lt;/foreign-keys&gt;&lt;ref-type name="Journal Article"&gt;17&lt;/ref-type&gt;&lt;contributors&gt;&lt;authors&gt;&lt;author&gt;El-Kady, Maher F&lt;/author&gt;&lt;author&gt;Kaner, Richard B&lt;/author&gt;&lt;/authors&gt;&lt;/contributors&gt;&lt;titles&gt;&lt;title&gt;Scalable fabrication of high-power graphene micro-supercapacitors for flexible and on-chip energy storage&lt;/title&gt;&lt;secondary-title&gt;Nature communications&lt;/secondary-title&gt;&lt;/titles&gt;&lt;periodical&gt;&lt;full-title&gt;Nature Communications&lt;/full-title&gt;&lt;abbr-1&gt;Nat. Commun.&lt;/abbr-1&gt;&lt;/periodical&gt;&lt;pages&gt;1475&lt;/pages&gt;&lt;volume&gt;4&lt;/volume&gt;&lt;dates&gt;&lt;year&gt;2013&lt;/year&gt;&lt;/dates&gt;&lt;isbn&gt;2041-1723&lt;/isbn&gt;&lt;urls&gt;&lt;/urls&gt;&lt;/record&gt;&lt;/Cite&gt;&lt;/EndNote&gt;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10</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Multiple-layer CNTs</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4.69</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&lt;EndNote&gt;&lt;Cite&gt;&lt;Author&gt;Yu&lt;/Author&gt;&lt;Year&gt;2017&lt;/Year&gt;&lt;RecNum&gt;278&lt;/RecNum&gt;&lt;DisplayText&gt;&lt;style face="superscript"&gt;11&lt;/style&gt;&lt;/DisplayText&gt;&lt;record&gt;&lt;rec-number&gt;278&lt;/rec-number&gt;&lt;foreign-keys&gt;&lt;key app="EN" db-id="re20520x8wddrqe0zeox90s6dvppr0xe0zpa" timestamp="1576760934"&gt;278&lt;/key&gt;&lt;/foreign-keys&gt;&lt;ref-type name="Journal Article"&gt;17&lt;/ref-type&gt;&lt;contributors&gt;&lt;authors&gt;&lt;author&gt;Yu, Wei&lt;/author&gt;&lt;author&gt;Zhou, Han&lt;/author&gt;&lt;author&gt;Li, Ben Q&lt;/author&gt;&lt;author&gt;Ding, Shujiang&lt;/author&gt;&lt;/authors&gt;&lt;/contributors&gt;&lt;titles&gt;&lt;title&gt;3D printing of carbon nanotubes-based microsupercapacitors&lt;/title&gt;&lt;secondary-title&gt;ACS applied materials &amp;amp; interfaces&lt;/secondary-title&gt;&lt;/titles&gt;&lt;periodical&gt;&lt;full-title&gt;ACS Applied Materials &amp;amp; Interfaces&lt;/full-title&gt;&lt;abbr-1&gt;ACS Appl. Mater. Interfaces&lt;/abbr-1&gt;&lt;/periodical&gt;&lt;pages&gt;4597-4604&lt;/pages&gt;&lt;volume&gt;9&lt;/volume&gt;&lt;number&gt;5&lt;/number&gt;&lt;dates&gt;&lt;year&gt;2017&lt;/year&gt;&lt;/dates&gt;&lt;isbn&gt;1944-8244&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11</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Graphene film</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9</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&lt;EndNote&gt;&lt;Cite&gt;&lt;Author&gt;Yadav&lt;/Author&gt;&lt;Year&gt;2016&lt;/Year&gt;&lt;RecNum&gt;279&lt;/RecNum&gt;&lt;DisplayText&gt;&lt;style face="superscript"&gt;12&lt;/style&gt;&lt;/DisplayText&gt;&lt;record&gt;&lt;rec-number&gt;279&lt;/rec-number&gt;&lt;foreign-keys&gt;&lt;key app="EN" db-id="re20520x8wddrqe0zeox90s6dvppr0xe0zpa" timestamp="1576760987"&gt;279&lt;/key&gt;&lt;/foreign-keys&gt;&lt;ref-type name="Journal Article"&gt;17&lt;/ref-type&gt;&lt;contributors&gt;&lt;authors&gt;&lt;author&gt;Yadav, Poonam&lt;/author&gt;&lt;author&gt;Basu, Aniruddha&lt;/author&gt;&lt;author&gt;Suryawanshi, Anil&lt;/author&gt;&lt;author&gt;Game, Onkar&lt;/author&gt;&lt;author&gt;Ogale, Satishchandra&lt;/author&gt;&lt;/authors&gt;&lt;/contributors&gt;&lt;titles&gt;&lt;title&gt;Highly stable laser</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scribed flexible planar microsupercapacitor using mushroom derived carbon electrodes&lt;/title&gt;&lt;secondary-title&gt;Advanced Materials Interfaces&lt;/secondary-title&gt;&lt;/titles&gt;&lt;periodical&gt;&lt;full-title&gt;Advanced Materials Interfaces&lt;/full-title&gt;&lt;abbr-1&gt;Adv. Mater. Inter.&lt;/abbr-1&gt;&lt;/periodical&gt;&lt;pages&gt;1600057&lt;/pages&gt;&lt;volume&gt;3&lt;/volume&gt;&lt;number&gt;11&lt;/number&gt;&lt;dates&gt;&lt;year&gt;2016&lt;/year&gt;&lt;/dates&gt;&lt;isbn&gt;2196-7350&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12</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tcBorders>
              <w:bottom w:val="nil"/>
            </w:tcBorders>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Laser-scribed graphene</w:t>
            </w:r>
          </w:p>
        </w:tc>
        <w:tc>
          <w:tcPr>
            <w:tcW w:w="1984" w:type="dxa"/>
            <w:tcBorders>
              <w:bottom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0.51</w:t>
            </w:r>
          </w:p>
        </w:tc>
        <w:tc>
          <w:tcPr>
            <w:tcW w:w="793" w:type="dxa"/>
            <w:tcBorders>
              <w:bottom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&lt;EndNote&gt;&lt;Cite&gt;&lt;Author&gt;Gao&lt;/Author&gt;&lt;Year&gt;2011&lt;/Year&gt;&lt;RecNum&gt;280&lt;/RecNum&gt;&lt;DisplayText&gt;&lt;style face="superscript"&gt;13&lt;/style&gt;&lt;/DisplayText&gt;&lt;record&gt;&lt;rec-number&gt;280&lt;/rec-number&gt;&lt;foreign-keys&gt;&lt;key app="EN" db-id="re20520x8wddrqe0zeox90s6dvppr0xe0zpa" timestamp="1576761027"&gt;280&lt;/key&gt;&lt;/foreign-keys&gt;&lt;ref-type name="Journal Article"&gt;17&lt;/ref-type&gt;&lt;contributors&gt;&lt;authors&gt;&lt;author&gt;Gao, Wei&lt;/author&gt;&lt;author&gt;Singh, Neelam&lt;/author&gt;&lt;author&gt;Song, Li&lt;/author&gt;&lt;author&gt;Liu, Zheng&lt;/author&gt;&lt;author&gt;Reddy, Arava Leela Mohana&lt;/author&gt;&lt;author&gt;Ci, Lijie&lt;/author&gt;&lt;author&gt;Vajtai, Robert&lt;/author&gt;&lt;author&gt;Zhang, Qing&lt;/author&gt;&lt;author&gt;Wei, Bingqing&lt;/author&gt;&lt;author&gt;Ajayan, Pulickel M&lt;/author&gt;&lt;/authors&gt;&lt;/contributors&gt;&lt;titles&gt;&lt;title&gt;Direct laser writing of micro-supercapacitors on hydrated graphite oxide films&lt;/title&gt;&lt;secondary-title&gt;Nature nanotechnology&lt;/secondary-title&gt;&lt;/titles&gt;&lt;periodical&gt;&lt;full-title&gt;Nature Nanotechnology&lt;/full-title&gt;&lt;abbr-1&gt;Nat. Nanotechnol.&lt;/abbr-1&gt;&lt;/periodical&gt;&lt;pages&gt;496&lt;/pages&gt;&lt;volume&gt;6&lt;/volume&gt;&lt;number&gt;8&lt;/number&gt;&lt;dates&gt;&lt;year&gt;2011&lt;/year&gt;&lt;/dates&gt;&lt;isbn&gt;1748-3395&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13</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tcBorders>
              <w:top w:val="nil"/>
              <w:bottom w:val="nil"/>
            </w:tcBorders>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Printed graphene/SWCNT</w:t>
            </w:r>
          </w:p>
        </w:tc>
        <w:tc>
          <w:tcPr>
            <w:tcW w:w="1984" w:type="dxa"/>
            <w:tcBorders>
              <w:top w:val="nil"/>
              <w:bottom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1.324</w:t>
            </w:r>
          </w:p>
        </w:tc>
        <w:tc>
          <w:tcPr>
            <w:tcW w:w="793" w:type="dxa"/>
            <w:tcBorders>
              <w:top w:val="nil"/>
              <w:bottom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&lt;EndNote&gt;&lt;Cite&gt;&lt;Author&gt;Bellani&lt;/Author&gt;&lt;Year&gt;2019&lt;/Year&gt;&lt;RecNum&gt;281&lt;/RecNum&gt;&lt;DisplayText&gt;&lt;style face="superscript"&gt;14&lt;/style&gt;&lt;/DisplayText&gt;&lt;record&gt;&lt;rec-number&gt;281&lt;/rec-number&gt;&lt;foreign-keys&gt;&lt;key app="EN" db-id="re20520x8wddrqe0zeox90s6dvppr0xe0zpa" timestamp="1576761073"&gt;281&lt;/key&gt;&lt;/foreign-keys&gt;&lt;ref-type name="Journal Article"&gt;17&lt;/ref-type&gt;&lt;contributors&gt;&lt;authors&gt;&lt;author&gt;Bellani, Sebastiano&lt;/author&gt;&lt;author&gt;Petroni, Elisa&lt;/author&gt;&lt;author&gt;Del Rio Castillo, Antonio Esau&lt;/author&gt;&lt;author&gt;Curreli, Nicola&lt;/author&gt;&lt;author&gt;Mart</w:instrText>
            </w:r>
            <w:r w:rsidRPr="000E288B">
              <w:rPr>
                <w:rFonts w:ascii="Arial" w:eastAsia="DengXian" w:hAnsi="Arial" w:cs="Arial" w:hint="eastAsia"/>
                <w:color w:val="000000"/>
                <w:kern w:val="0"/>
                <w:sz w:val="22"/>
                <w:szCs w:val="24"/>
              </w:rPr>
              <w:instrText>í</w:instrText>
            </w:r>
            <w:r w:rsidRPr="000E288B">
              <w:rPr>
                <w:rFonts w:ascii="Arial" w:eastAsia="DengXian" w:hAnsi="Arial" w:cs="Arial"/>
                <w:color w:val="000000"/>
                <w:kern w:val="0"/>
                <w:sz w:val="22"/>
                <w:szCs w:val="24"/>
              </w:rPr>
              <w:instrText>n</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Garc</w:instrText>
            </w:r>
            <w:r w:rsidRPr="000E288B">
              <w:rPr>
                <w:rFonts w:ascii="Arial" w:eastAsia="DengXian" w:hAnsi="Arial" w:cs="Arial" w:hint="eastAsia"/>
                <w:color w:val="000000"/>
                <w:kern w:val="0"/>
                <w:sz w:val="22"/>
                <w:szCs w:val="24"/>
              </w:rPr>
              <w:instrText>í</w:instrText>
            </w:r>
            <w:r w:rsidRPr="000E288B">
              <w:rPr>
                <w:rFonts w:ascii="Arial" w:eastAsia="DengXian" w:hAnsi="Arial" w:cs="Arial"/>
                <w:color w:val="000000"/>
                <w:kern w:val="0"/>
                <w:sz w:val="22"/>
                <w:szCs w:val="24"/>
              </w:rPr>
              <w:instrText>a, Beatriz&lt;/author&gt;&lt;author&gt;Oropesa</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Nuñez, Reinier&lt;/author&gt;&lt;author&gt;Prato, Mirko&lt;/author&gt;&lt;author&gt;Bonaccorso, Francesco&lt;/author&gt;&lt;/authors&gt;&lt;/contributors&gt;&lt;titles&gt;&lt;title&gt;Scalable production of graphene inks via wet</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jet milling exfoliation for screen</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printed micro</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supercapacitors&lt;/title&gt;&lt;secondary-title&gt;Advanced Functional Materials&lt;/secondary-title&gt;&lt;/titles&gt;&lt;periodical&gt;&lt;full-title&gt;Advanced Functional Materials&lt;/full-title&gt;&lt;abbr-1&gt;Adv. Funct. Mater.&lt;/abbr-1&gt;&lt;/periodical&gt;&lt;pages&gt;1807659&lt;/pages&gt;&lt;volume&gt;29&lt;/volume&gt;&lt;number&gt;14&lt;/number&gt;&lt;dates&gt;&lt;year&gt;2019&lt;/year&gt;&lt;/dates&gt;&lt;isbn&gt;1616-301X&lt;/isbn&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14</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tcBorders>
              <w:bottom w:val="single" w:sz="4" w:space="0" w:color="auto"/>
            </w:tcBorders>
            <w:vAlign w:val="center"/>
          </w:tcPr>
          <w:p w:rsidR="00087539" w:rsidRPr="000E288B" w:rsidRDefault="00087539" w:rsidP="00A06AE9">
            <w:pPr>
              <w:widowControl/>
              <w:jc w:val="left"/>
              <w:rPr>
                <w:rFonts w:ascii="Arial" w:eastAsia="DengXian" w:hAnsi="Arial" w:cs="Arial"/>
                <w:color w:val="000000"/>
                <w:kern w:val="0"/>
                <w:sz w:val="22"/>
                <w:szCs w:val="24"/>
              </w:rPr>
            </w:pPr>
          </w:p>
        </w:tc>
        <w:tc>
          <w:tcPr>
            <w:tcW w:w="4111" w:type="dxa"/>
            <w:gridSpan w:val="2"/>
            <w:tcBorders>
              <w:top w:val="nil"/>
              <w:bottom w:val="single" w:sz="4" w:space="0" w:color="auto"/>
            </w:tcBorders>
            <w:shd w:val="clear" w:color="auto" w:fill="auto"/>
            <w:noWrap/>
            <w:vAlign w:val="center"/>
          </w:tcPr>
          <w:p w:rsidR="00087539" w:rsidRPr="000E288B" w:rsidRDefault="00087539" w:rsidP="00A06AE9">
            <w:pPr>
              <w:widowControl/>
              <w:jc w:val="left"/>
              <w:rPr>
                <w:rFonts w:ascii="Arial" w:eastAsia="DengXian" w:hAnsi="Arial" w:cs="Arial"/>
                <w:b/>
                <w:color w:val="FF0000"/>
                <w:kern w:val="0"/>
                <w:sz w:val="22"/>
                <w:szCs w:val="24"/>
              </w:rPr>
            </w:pPr>
            <w:r w:rsidRPr="000E288B">
              <w:rPr>
                <w:rFonts w:ascii="Arial" w:eastAsia="DengXian" w:hAnsi="Arial" w:cs="Arial"/>
                <w:b/>
                <w:color w:val="FF0000"/>
                <w:kern w:val="0"/>
                <w:sz w:val="22"/>
                <w:szCs w:val="24"/>
              </w:rPr>
              <w:t>AC film</w:t>
            </w:r>
          </w:p>
        </w:tc>
        <w:tc>
          <w:tcPr>
            <w:tcW w:w="1984" w:type="dxa"/>
            <w:tcBorders>
              <w:top w:val="nil"/>
              <w:bottom w:val="single" w:sz="4" w:space="0" w:color="auto"/>
            </w:tcBorders>
            <w:shd w:val="clear" w:color="auto" w:fill="auto"/>
            <w:noWrap/>
            <w:vAlign w:val="center"/>
          </w:tcPr>
          <w:p w:rsidR="00087539" w:rsidRPr="000E288B" w:rsidRDefault="00087539" w:rsidP="00A06AE9">
            <w:pPr>
              <w:widowControl/>
              <w:jc w:val="center"/>
              <w:rPr>
                <w:rFonts w:ascii="Arial" w:eastAsia="DengXian" w:hAnsi="Arial" w:cs="Arial"/>
                <w:b/>
                <w:color w:val="FF0000"/>
                <w:kern w:val="0"/>
                <w:sz w:val="22"/>
                <w:szCs w:val="24"/>
              </w:rPr>
            </w:pPr>
            <w:r w:rsidRPr="000E288B">
              <w:rPr>
                <w:rFonts w:ascii="Arial" w:eastAsia="DengXian" w:hAnsi="Arial" w:cs="Arial"/>
                <w:b/>
                <w:color w:val="FF0000"/>
                <w:kern w:val="0"/>
                <w:sz w:val="22"/>
                <w:szCs w:val="24"/>
              </w:rPr>
              <w:t>454.</w:t>
            </w:r>
            <w:r w:rsidR="00C773F1" w:rsidRPr="000E288B">
              <w:rPr>
                <w:rFonts w:ascii="Arial" w:eastAsia="DengXian" w:hAnsi="Arial" w:cs="Arial"/>
                <w:b/>
                <w:color w:val="FF0000"/>
                <w:kern w:val="0"/>
                <w:sz w:val="22"/>
                <w:szCs w:val="24"/>
              </w:rPr>
              <w:t>1</w:t>
            </w:r>
          </w:p>
        </w:tc>
        <w:tc>
          <w:tcPr>
            <w:tcW w:w="793" w:type="dxa"/>
            <w:tcBorders>
              <w:top w:val="nil"/>
              <w:bottom w:val="single" w:sz="4" w:space="0" w:color="auto"/>
            </w:tcBorders>
            <w:shd w:val="clear" w:color="auto" w:fill="auto"/>
            <w:noWrap/>
            <w:vAlign w:val="center"/>
          </w:tcPr>
          <w:p w:rsidR="00087539" w:rsidRPr="000E288B" w:rsidRDefault="00087539" w:rsidP="00A06AE9">
            <w:pPr>
              <w:widowControl/>
              <w:jc w:val="center"/>
              <w:rPr>
                <w:rFonts w:ascii="Arial" w:eastAsia="DengXian" w:hAnsi="Arial" w:cs="Arial"/>
                <w:b/>
                <w:color w:val="FF0000"/>
                <w:kern w:val="0"/>
                <w:sz w:val="22"/>
                <w:szCs w:val="24"/>
              </w:rPr>
            </w:pPr>
            <w:r w:rsidRPr="000E288B">
              <w:rPr>
                <w:rFonts w:ascii="Arial" w:eastAsia="DengXian" w:hAnsi="Arial" w:cs="Arial"/>
                <w:b/>
                <w:color w:val="FF0000"/>
                <w:kern w:val="0"/>
                <w:sz w:val="22"/>
                <w:szCs w:val="24"/>
              </w:rPr>
              <w:t>Our</w:t>
            </w:r>
          </w:p>
        </w:tc>
      </w:tr>
      <w:tr w:rsidR="00CF36A5" w:rsidRPr="00052F30" w:rsidTr="000E288B">
        <w:trPr>
          <w:trHeight w:hRule="exact" w:val="454"/>
          <w:jc w:val="center"/>
        </w:trPr>
        <w:tc>
          <w:tcPr>
            <w:tcW w:w="1418" w:type="dxa"/>
            <w:vMerge w:val="restart"/>
            <w:tcBorders>
              <w:top w:val="nil"/>
            </w:tcBorders>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Asymmetric MSCs</w:t>
            </w:r>
          </w:p>
        </w:tc>
        <w:tc>
          <w:tcPr>
            <w:tcW w:w="4111" w:type="dxa"/>
            <w:gridSpan w:val="2"/>
            <w:tcBorders>
              <w:top w:val="nil"/>
            </w:tcBorders>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GQDs//PANI</w:t>
            </w:r>
          </w:p>
        </w:tc>
        <w:tc>
          <w:tcPr>
            <w:tcW w:w="1984" w:type="dxa"/>
            <w:tcBorders>
              <w:top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0.667</w:t>
            </w:r>
          </w:p>
        </w:tc>
        <w:tc>
          <w:tcPr>
            <w:tcW w:w="793" w:type="dxa"/>
            <w:tcBorders>
              <w:top w:val="nil"/>
            </w:tcBorders>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&lt;EndNote&gt;&lt;Cite&gt;&lt;Author&gt;Liu&lt;/Author&gt;&lt;Year&gt;2013&lt;/Year&gt;&lt;RecNum&gt;538&lt;/RecNum&gt;&lt;DisplayText&gt;&lt;style face="superscript"&gt;15&lt;/style&gt;&lt;/DisplayText&gt;&lt;record&gt;&lt;rec-number&gt;538&lt;/rec-number&gt;&lt;foreign-keys&gt;&lt;key app="EN" db-id="re20520x8wddrqe0zeox90s6dvppr0xe0zpa" timestamp="1599742307"&gt;538&lt;/key&gt;&lt;/foreign-keys&gt;&lt;ref-type name="Journal Article"&gt;17&lt;/ref-type&gt;&lt;contributors&gt;&lt;authors&gt;&lt;author&gt;Liu, Wenwen&lt;/author&gt;&lt;author&gt;Yan, Xingbin&lt;/author&gt;&lt;author&gt;Chen, Jiangtao&lt;/author&gt;&lt;author&gt;Feng, Yaqiang&lt;/author&gt;&lt;author&gt;Xue, Qunji&lt;/author&gt;&lt;/authors&gt;&lt;/contributors&gt;&lt;titles&gt;&lt;title&gt;Novel and high-performance asymmetric micro-supercapacitors based on graphene quantum dots and polyaniline nanofibers&lt;/title&gt;&lt;secondary-title&gt;Nanoscale&lt;/secondary-title&gt;&lt;/titles&gt;&lt;periodical&gt;&lt;full-title&gt;Nanoscale&lt;/full-title&gt;&lt;abbr-1&gt;Nanoscale&lt;/abbr-1&gt;&lt;/periodical&gt;&lt;pages&gt;6053-6062&lt;/pages&gt;&lt;volume&gt;5&lt;/volume&gt;&lt;number&gt;13&lt;/number&gt;&lt;dates&gt;&lt;year&gt;2013&lt;/year&gt;&lt;/dates&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15</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MnO</w:t>
            </w:r>
            <w:r w:rsidRPr="000E288B">
              <w:rPr>
                <w:rFonts w:ascii="Arial" w:eastAsia="DengXian" w:hAnsi="Arial" w:cs="Arial"/>
                <w:color w:val="000000"/>
                <w:kern w:val="0"/>
                <w:sz w:val="22"/>
                <w:szCs w:val="24"/>
                <w:vertAlign w:val="subscript"/>
              </w:rPr>
              <w:t>2</w:t>
            </w:r>
            <w:r w:rsidRPr="000E288B">
              <w:rPr>
                <w:rFonts w:ascii="Arial" w:eastAsia="DengXian" w:hAnsi="Arial" w:cs="Arial"/>
                <w:color w:val="000000"/>
                <w:kern w:val="0"/>
                <w:sz w:val="22"/>
                <w:szCs w:val="24"/>
              </w:rPr>
              <w:t>/</w:t>
            </w:r>
            <w:proofErr w:type="spellStart"/>
            <w:r w:rsidRPr="000E288B">
              <w:rPr>
                <w:rFonts w:ascii="Arial" w:eastAsia="DengXian" w:hAnsi="Arial" w:cs="Arial"/>
                <w:color w:val="000000"/>
                <w:kern w:val="0"/>
                <w:sz w:val="22"/>
                <w:szCs w:val="24"/>
              </w:rPr>
              <w:t>rGO</w:t>
            </w:r>
            <w:proofErr w:type="spellEnd"/>
            <w:r w:rsidRPr="000E288B">
              <w:rPr>
                <w:rFonts w:ascii="Arial" w:eastAsia="DengXian" w:hAnsi="Arial" w:cs="Arial"/>
                <w:color w:val="000000"/>
                <w:kern w:val="0"/>
                <w:sz w:val="22"/>
                <w:szCs w:val="24"/>
              </w:rPr>
              <w:t>/SWCNT</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6.439</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&lt;EndNote&gt;&lt;Cite&gt;&lt;Author&gt;Yu&lt;/Author&gt;&lt;Year&gt;2014&lt;/Year&gt;&lt;RecNum&gt;539&lt;/RecNum&gt;&lt;DisplayText&gt;&lt;style face="superscript"&gt;16&lt;/style&gt;&lt;/DisplayText&gt;&lt;record&gt;&lt;rec-number&gt;539&lt;/rec-number&gt;&lt;foreign-keys&gt;&lt;key app="EN" db-id="re20520x8wddrqe0zeox90s6dvppr0xe0zpa" timestamp="1599742355"&gt;539&lt;/key&gt;&lt;/foreign-keys&gt;&lt;ref-type name="Journal Article"&gt;17&lt;/ref-type&gt;&lt;contributors&gt;&lt;authors&gt;&lt;author&gt;Yu, Dingshan&lt;/author&gt;&lt;author&gt;Goh, Kunli&lt;/author&gt;&lt;author&gt;Zhang, Qiang&lt;/author&gt;&lt;author&gt;Wei, Li&lt;/author&gt;&lt;author&gt;Wang, Hong&lt;/author&gt;&lt;author&gt;Jiang, Wenchao&lt;/author&gt;&lt;author&gt;Chen, Yuan&lt;/author&gt;&lt;/authors&gt;&lt;/contributors&gt;&lt;titles&gt;&lt;title&gt;Controlled functionalization of carbonaceous fibers for asymmetric solid</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state micro</w:instrText>
            </w:r>
            <w:r w:rsidRPr="000E288B">
              <w:rPr>
                <w:rFonts w:ascii="Arial" w:eastAsia="DengXian" w:hAnsi="Arial" w:cs="Arial" w:hint="eastAsia"/>
                <w:color w:val="000000"/>
                <w:kern w:val="0"/>
                <w:sz w:val="22"/>
                <w:szCs w:val="24"/>
              </w:rPr>
              <w:instrText>‐</w:instrText>
            </w:r>
            <w:r w:rsidRPr="000E288B">
              <w:rPr>
                <w:rFonts w:ascii="Arial" w:eastAsia="DengXian" w:hAnsi="Arial" w:cs="Arial"/>
                <w:color w:val="000000"/>
                <w:kern w:val="0"/>
                <w:sz w:val="22"/>
                <w:szCs w:val="24"/>
              </w:rPr>
              <w:instrText>supercapacitors with high volumetric energy density&lt;/title&gt;&lt;secondary-title&gt;Advanced Materials&lt;/secondary-title&gt;&lt;/titles&gt;&lt;periodical&gt;&lt;full-title&gt;Advanced Materials&lt;/full-title&gt;&lt;abbr-1&gt;Adv. Mater.&lt;/abbr-1&gt;&lt;/periodical&gt;&lt;pages&gt;6790-6797&lt;/pages&gt;&lt;volume&gt;26&lt;/volume&gt;&lt;number&gt;39&lt;/number&gt;&lt;dates&gt;&lt;year&gt;2014&lt;/year&gt;&lt;/dates&gt;&lt;urls&gt;&lt;/urls&gt;&lt;/record&gt;&lt;/Cite&gt;&lt;/EndNote&gt;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16</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Ti</w:t>
            </w:r>
            <w:r w:rsidRPr="000E288B">
              <w:rPr>
                <w:rFonts w:ascii="Arial" w:eastAsia="DengXian" w:hAnsi="Arial" w:cs="Arial"/>
                <w:color w:val="000000"/>
                <w:kern w:val="0"/>
                <w:sz w:val="22"/>
                <w:szCs w:val="24"/>
                <w:vertAlign w:val="subscript"/>
              </w:rPr>
              <w:t>3</w:t>
            </w:r>
            <w:r w:rsidRPr="000E288B">
              <w:rPr>
                <w:rFonts w:ascii="Arial" w:eastAsia="DengXian" w:hAnsi="Arial" w:cs="Arial"/>
                <w:color w:val="000000"/>
                <w:kern w:val="0"/>
                <w:sz w:val="22"/>
                <w:szCs w:val="24"/>
              </w:rPr>
              <w:t>C</w:t>
            </w:r>
            <w:r w:rsidRPr="000E288B">
              <w:rPr>
                <w:rFonts w:ascii="Arial" w:eastAsia="DengXian" w:hAnsi="Arial" w:cs="Arial"/>
                <w:color w:val="000000"/>
                <w:kern w:val="0"/>
                <w:sz w:val="22"/>
                <w:szCs w:val="24"/>
                <w:vertAlign w:val="subscript"/>
              </w:rPr>
              <w:t>2</w:t>
            </w:r>
            <w:r w:rsidRPr="000E288B">
              <w:rPr>
                <w:rFonts w:ascii="Arial" w:eastAsia="DengXian" w:hAnsi="Arial" w:cs="Arial"/>
                <w:color w:val="000000"/>
                <w:kern w:val="0"/>
                <w:sz w:val="22"/>
                <w:szCs w:val="24"/>
              </w:rPr>
              <w:t>T</w:t>
            </w:r>
            <w:r w:rsidRPr="000E288B">
              <w:rPr>
                <w:rFonts w:ascii="Arial" w:eastAsia="DengXian" w:hAnsi="Arial" w:cs="Arial"/>
                <w:color w:val="000000"/>
                <w:kern w:val="0"/>
                <w:sz w:val="22"/>
                <w:szCs w:val="24"/>
                <w:vertAlign w:val="subscript"/>
              </w:rPr>
              <w:t>x</w:t>
            </w:r>
            <w:r w:rsidRPr="000E288B">
              <w:rPr>
                <w:rFonts w:ascii="Arial" w:eastAsia="DengXian" w:hAnsi="Arial" w:cs="Arial"/>
                <w:color w:val="000000"/>
                <w:kern w:val="0"/>
                <w:sz w:val="22"/>
                <w:szCs w:val="24"/>
              </w:rPr>
              <w:t>//Activated carbon</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7.8</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&lt;EndNote&gt;&lt;Cite&gt;&lt;Author&gt;Xie&lt;/Author&gt;&lt;Year&gt;2020&lt;/Year&gt;&lt;RecNum&gt;541&lt;/RecNum&gt;&lt;DisplayText&gt;&lt;style face="superscript"&gt;17&lt;/style&gt;&lt;/DisplayText&gt;&lt;record&gt;&lt;rec-number&gt;541&lt;/rec-number&gt;&lt;foreign-keys&gt;&lt;key app="EN" db-id="re20520x8wddrqe0zeox90s6dvppr0xe0zpa" timestamp="1599742587"&gt;541&lt;/key&gt;&lt;/foreign-keys&gt;&lt;ref-type name="Journal Article"&gt;17&lt;/ref-type&gt;&lt;contributors&gt;&lt;authors&gt;&lt;author&gt;Xie, Yanting&lt;/author&gt;&lt;author&gt;Zhang, Haitao&lt;/author&gt;&lt;author&gt;Huang, Haichao&lt;/author&gt;&lt;author&gt;Wang, Zixing&lt;/author&gt;&lt;author&gt;Xu, Zhong&lt;/author&gt;&lt;author&gt;Zhao, Haibo&lt;/author&gt;&lt;author&gt;Wang, Yuchen&lt;/author&gt;&lt;author&gt;Chen, Ningjun&lt;/author&gt;&lt;author&gt;Yang, Weiqing&lt;/author&gt;&lt;/authors&gt;&lt;/contributors&gt;&lt;titles&gt;&lt;title&gt;High-voltage asymmetric MXene-based on-chip micro-supercapacitors&lt;/title&gt;&lt;secondary-title&gt;Nano Energy&lt;/secondary-title&gt;&lt;/titles&gt;&lt;periodical&gt;&lt;full-title&gt;Nano Energy&lt;/full-title&gt;&lt;abbr-1&gt;Nano Energy&lt;/abbr-1&gt;&lt;/periodical&gt;&lt;pages&gt;104928&lt;/pages&gt;&lt;volume&gt;74&lt;/volume&gt;&lt;keywords&gt;&lt;keyword&gt;On-chip electronics&lt;/keyword&gt;&lt;keyword&gt;Micro-supercapacitors&lt;/keyword&gt;&lt;keyword&gt;MXene&lt;/keyword&gt;&lt;keyword&gt;Potential window&lt;/keyword&gt;&lt;keyword&gt;Energy density&lt;/keyword&gt;&lt;/keywords&gt;&lt;dates&gt;&lt;year&gt;2020&lt;/year&gt;&lt;pub-dates&gt;&lt;date&gt;2020/08/01/&lt;/date&gt;&lt;/pub-dates&gt;&lt;/dates&gt;&lt;isbn&gt;2211-2855&lt;/isbn&gt;&lt;urls&gt;&lt;related-urls&gt;&lt;url&gt;http://www.sciencedirect.com/science/article/pii/S2211285520304857&lt;/url&gt;&lt;/related-urls&gt;&lt;/urls&gt;&lt;electronic-resource-num&gt;https://doi.org/10.1016/j.nanoen.2020.104928&lt;/electronic-resource-num&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17</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A06AE9" w:rsidP="00A06AE9">
            <w:pPr>
              <w:widowControl/>
              <w:jc w:val="left"/>
              <w:rPr>
                <w:rFonts w:ascii="Arial" w:eastAsia="DengXian" w:hAnsi="Arial" w:cs="Arial"/>
                <w:color w:val="000000"/>
                <w:kern w:val="0"/>
                <w:sz w:val="22"/>
                <w:szCs w:val="24"/>
              </w:rPr>
            </w:pPr>
            <w:r>
              <w:rPr>
                <w:rFonts w:ascii="Arial" w:eastAsia="DengXian" w:hAnsi="Arial" w:cs="Arial"/>
                <w:color w:val="000000"/>
                <w:kern w:val="0"/>
                <w:sz w:val="22"/>
                <w:szCs w:val="24"/>
              </w:rPr>
              <w:t>M</w:t>
            </w:r>
            <w:r w:rsidRPr="000E288B">
              <w:rPr>
                <w:rFonts w:ascii="Arial" w:eastAsia="DengXian" w:hAnsi="Arial" w:cs="Arial"/>
                <w:color w:val="000000"/>
                <w:kern w:val="0"/>
                <w:sz w:val="22"/>
                <w:szCs w:val="24"/>
              </w:rPr>
              <w:t xml:space="preserve">etal </w:t>
            </w:r>
            <w:r w:rsidR="00087539" w:rsidRPr="000E288B">
              <w:rPr>
                <w:rFonts w:ascii="Arial" w:eastAsia="DengXian" w:hAnsi="Arial" w:cs="Arial"/>
                <w:color w:val="000000"/>
                <w:kern w:val="0"/>
                <w:sz w:val="22"/>
                <w:szCs w:val="24"/>
              </w:rPr>
              <w:t xml:space="preserve">hexacyanoferrate/graphene </w:t>
            </w:r>
            <w:r w:rsidR="00087539" w:rsidRPr="00A06AE9">
              <w:rPr>
                <w:rFonts w:ascii="Arial" w:eastAsia="DengXian" w:hAnsi="Arial" w:cs="Arial"/>
                <w:color w:val="000000"/>
                <w:kern w:val="0"/>
                <w:sz w:val="22"/>
                <w:szCs w:val="24"/>
              </w:rPr>
              <w:t>fil</w:t>
            </w:r>
            <w:r w:rsidR="00087539" w:rsidRPr="000E288B">
              <w:rPr>
                <w:rFonts w:ascii="Arial" w:eastAsia="DengXian" w:hAnsi="Arial" w:cs="Arial"/>
                <w:color w:val="000000"/>
                <w:kern w:val="0"/>
                <w:sz w:val="22"/>
                <w:szCs w:val="24"/>
              </w:rPr>
              <w:t>ms</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19.84</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&lt;EndNote&gt;&lt;Cite&gt;&lt;Author&gt;He&lt;/Author&gt;&lt;Year&gt;2019&lt;/Year&gt;&lt;RecNum&gt;540&lt;/RecNum&gt;&lt;DisplayText&gt;&lt;style face="superscript"&gt;18&lt;/style&gt;&lt;/DisplayText&gt;&lt;record&gt;&lt;rec-number&gt;540&lt;/rec-number&gt;&lt;foreign-keys&gt;&lt;key app="EN" db-id="re20520x8wddrqe0zeox90s6dvppr0xe0zpa" timestamp="1599742550"&gt;540&lt;/key&gt;&lt;/foreign-keys&gt;&lt;ref-type name="Journal Article"&gt;17&lt;/ref-type&gt;&lt;contributors&gt;&lt;authors&gt;&lt;author&gt;He, Yafei&lt;/author&gt;&lt;author&gt;Zhang, Panpan&lt;/author&gt;&lt;author&gt;Wang, Mao&lt;/author&gt;&lt;author&gt;Wang, Faxing&lt;/author&gt;&lt;author&gt;Tan, Deming&lt;/author&gt;&lt;author&gt;Li, Yang&lt;/author&gt;&lt;author&gt;Zhuang, Xiaodong&lt;/author&gt;&lt;author&gt;Zhang, Fan&lt;/author&gt;&lt;author&gt;Feng, Xinliang&lt;/author&gt;&lt;/authors&gt;&lt;/contributors&gt;&lt;titles&gt;&lt;title&gt;Nano-sandwiched metal hexacyanoferrate/graphene hybrid thin films for in-plane asymmetric micro-supercapacitors with ultrahigh energy density&lt;/title&gt;&lt;secondary-title&gt;Materials horizons&lt;/secondary-title&gt;&lt;/titles&gt;&lt;periodical&gt;&lt;full-title&gt;Materials horizons&lt;/full-title&gt;&lt;abbr-1&gt;Mater. Horiz.&lt;/abbr-1&gt;&lt;/periodical&gt;&lt;pages&gt;1041-1049&lt;/pages&gt;&lt;volume&gt;6&lt;/volume&gt;&lt;number&gt;5&lt;/number&gt;&lt;dates&gt;&lt;year&gt;2019&lt;/year&gt;&lt;/dates&gt;&lt;urls&gt;&lt;/urls&gt;&lt;/record&gt;&lt;/Cite&gt;&lt;/EndNote&gt;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18</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proofErr w:type="spellStart"/>
            <w:r w:rsidRPr="000E288B">
              <w:rPr>
                <w:rFonts w:ascii="Arial" w:eastAsia="DengXian" w:hAnsi="Arial" w:cs="Arial"/>
                <w:color w:val="000000"/>
                <w:kern w:val="0"/>
                <w:sz w:val="22"/>
                <w:szCs w:val="24"/>
              </w:rPr>
              <w:t>NiCoP@NiOOH</w:t>
            </w:r>
            <w:proofErr w:type="spellEnd"/>
            <w:r w:rsidRPr="000E288B">
              <w:rPr>
                <w:rFonts w:ascii="Arial" w:eastAsia="DengXian" w:hAnsi="Arial" w:cs="Arial"/>
                <w:color w:val="000000"/>
                <w:kern w:val="0"/>
                <w:sz w:val="22"/>
                <w:szCs w:val="24"/>
              </w:rPr>
              <w:t>//ZIF-C</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54.7</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&lt;EndNote&gt;&lt;Cite&gt;&lt;Author&gt;Qiu&lt;/Author&gt;&lt;Year&gt;2019&lt;/Year&gt;&lt;RecNum&gt;542&lt;/RecNum&gt;&lt;DisplayText&gt;&lt;style face="superscript"&gt;19&lt;/style&gt;&lt;/DisplayText&gt;&lt;record&gt;&lt;rec-number&gt;542&lt;/rec-number&gt;&lt;foreign-keys&gt;&lt;key app="EN" db-id="re20520x8wddrqe0zeox90s6dvppr0xe0zpa" timestamp="1599742629"&gt;542&lt;/key&gt;&lt;/foreign-keys&gt;&lt;ref-type name="Journal Article"&gt;17&lt;/ref-type&gt;&lt;contributors&gt;&lt;authors&gt;&lt;author&gt;Qiu, Meijia&lt;/author&gt;&lt;author&gt;Sun, Peng&lt;/author&gt;&lt;author&gt;Cui, Guofeng&lt;/author&gt;&lt;author&gt;Tong, Yexiang&lt;/author&gt;&lt;author&gt;Mai, Wenjie&lt;/author&gt;&lt;/authors&gt;&lt;/contributors&gt;&lt;titles&gt;&lt;title&gt;A flexible microsupercapacitor with integral photocatalytic fuel cell for self-charging&lt;/title&gt;&lt;secondary-title&gt;ACS Nano&lt;/secondary-title&gt;&lt;/titles&gt;&lt;periodical&gt;&lt;full-title&gt;ACS Nano&lt;/full-title&gt;&lt;abbr-1&gt;ACS Nano&lt;/abbr-1&gt;&lt;/periodical&gt;&lt;pages&gt;8246-8255&lt;/pages&gt;&lt;volume&gt;13&lt;/volume&gt;&lt;number&gt;7&lt;/number&gt;&lt;section&gt;8246&lt;/section&gt;&lt;dates&gt;&lt;year&gt;2019&lt;/year&gt;&lt;/dates&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19</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2D VN</w:t>
            </w:r>
            <w:r w:rsidRPr="00A06AE9">
              <w:rPr>
                <w:rFonts w:ascii="Arial" w:eastAsia="DengXian" w:hAnsi="Arial" w:cs="Arial"/>
                <w:color w:val="000000"/>
                <w:kern w:val="0"/>
                <w:sz w:val="22"/>
                <w:szCs w:val="24"/>
              </w:rPr>
              <w:t xml:space="preserve"> a</w:t>
            </w:r>
            <w:r w:rsidRPr="000E288B">
              <w:rPr>
                <w:rFonts w:ascii="Arial" w:eastAsia="DengXian" w:hAnsi="Arial" w:cs="Arial"/>
                <w:color w:val="000000"/>
                <w:kern w:val="0"/>
                <w:sz w:val="22"/>
                <w:szCs w:val="24"/>
              </w:rPr>
              <w:t xml:space="preserve">nd </w:t>
            </w:r>
            <w:proofErr w:type="gramStart"/>
            <w:r w:rsidRPr="000E288B">
              <w:rPr>
                <w:rFonts w:ascii="Arial" w:eastAsia="DengXian" w:hAnsi="Arial" w:cs="Arial"/>
                <w:color w:val="000000"/>
                <w:kern w:val="0"/>
                <w:sz w:val="22"/>
                <w:szCs w:val="24"/>
              </w:rPr>
              <w:t>Co(</w:t>
            </w:r>
            <w:proofErr w:type="gramEnd"/>
            <w:r w:rsidRPr="000E288B">
              <w:rPr>
                <w:rFonts w:ascii="Arial" w:eastAsia="DengXian" w:hAnsi="Arial" w:cs="Arial"/>
                <w:color w:val="000000"/>
                <w:kern w:val="0"/>
                <w:sz w:val="22"/>
                <w:szCs w:val="24"/>
              </w:rPr>
              <w:t>OH)</w:t>
            </w:r>
            <w:r w:rsidRPr="000E288B">
              <w:rPr>
                <w:rFonts w:ascii="Arial" w:eastAsia="DengXian" w:hAnsi="Arial" w:cs="Arial"/>
                <w:color w:val="000000"/>
                <w:kern w:val="0"/>
                <w:sz w:val="22"/>
                <w:szCs w:val="24"/>
                <w:vertAlign w:val="subscript"/>
              </w:rPr>
              <w:t>2</w:t>
            </w:r>
            <w:r w:rsidRPr="000E288B">
              <w:rPr>
                <w:rFonts w:ascii="Arial" w:eastAsia="DengXian" w:hAnsi="Arial" w:cs="Arial"/>
                <w:color w:val="000000"/>
                <w:kern w:val="0"/>
                <w:sz w:val="22"/>
                <w:szCs w:val="24"/>
              </w:rPr>
              <w:t xml:space="preserve"> nanoflowers</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21</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&lt;EndNote&gt;&lt;Cite&gt;&lt;Author&gt;Wang&lt;/Author&gt;&lt;RecNum&gt;543&lt;/RecNum&gt;&lt;DisplayText&gt;&lt;style face="superscript"&gt;20&lt;/style&gt;&lt;/DisplayText&gt;&lt;record&gt;&lt;rec-number&gt;543&lt;/rec-number&gt;&lt;foreign-keys&gt;&lt;key app="EN" db-id="re20520x8wddrqe0zeox90s6dvppr0xe0zpa" timestamp="1599742651"&gt;543&lt;/key&gt;&lt;/foreign-keys&gt;&lt;ref-type name="Journal Article"&gt;17&lt;/ref-type&gt;&lt;contributors&gt;&lt;authors&gt;&lt;author&gt;Wang, Sen&lt;/author&gt;&lt;author&gt;Wu, Zhong Shuai&lt;/author&gt;&lt;author&gt;Feng, Zhou&lt;/author&gt;&lt;author&gt;Shi, Xiaoyu&lt;/author&gt;&lt;author&gt;Bao, Xinhe&lt;/author&gt;&lt;/authors&gt;&lt;/contributors&gt;&lt;titles&gt;&lt;title&gt;&lt;style face="normal" font="default" size="100%"&gt;All-solid-state high-energy planar hybrid micro-supercapacitors based on 2D VN nanosheets and Co(OH)&lt;/style&gt;&lt;style face="subscript" font="default" size="100%"&gt;2&lt;/style&gt;&lt;style face="normal" font="default" size="100%"&gt; nanoflowers&lt;/style&gt;&lt;/title&gt;&lt;secondary-title&gt;opj 2D Materials and Applications&lt;/secondary-title&gt;&lt;/titles&gt;&lt;periodical&gt;&lt;full-title&gt;opj 2D Materials and Applications&lt;/full-title&gt;&lt;/periodical&gt;&lt;pages&gt;1-8&lt;/pages&gt;&lt;volume&gt;2&lt;/volume&gt;&lt;number&gt;1&lt;/number&gt;&lt;section&gt;1&lt;/section&gt;&lt;dates&gt;&lt;year&gt;2018&lt;/year&gt;&lt;/dates&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20</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MnO</w:t>
            </w:r>
            <w:r w:rsidRPr="000E288B">
              <w:rPr>
                <w:rFonts w:ascii="Arial" w:eastAsia="DengXian" w:hAnsi="Arial" w:cs="Arial"/>
                <w:color w:val="000000"/>
                <w:kern w:val="0"/>
                <w:sz w:val="22"/>
                <w:szCs w:val="24"/>
                <w:vertAlign w:val="subscript"/>
              </w:rPr>
              <w:t>2</w:t>
            </w:r>
            <w:r w:rsidRPr="000E288B">
              <w:rPr>
                <w:rFonts w:ascii="Arial" w:eastAsia="DengXian" w:hAnsi="Arial" w:cs="Arial"/>
                <w:color w:val="000000"/>
                <w:kern w:val="0"/>
                <w:sz w:val="22"/>
                <w:szCs w:val="24"/>
              </w:rPr>
              <w:t>//Ti</w:t>
            </w:r>
            <w:r w:rsidRPr="000E288B">
              <w:rPr>
                <w:rFonts w:ascii="Arial" w:eastAsia="DengXian" w:hAnsi="Arial" w:cs="Arial"/>
                <w:color w:val="000000"/>
                <w:kern w:val="0"/>
                <w:sz w:val="22"/>
                <w:szCs w:val="24"/>
                <w:vertAlign w:val="subscript"/>
              </w:rPr>
              <w:t>3</w:t>
            </w:r>
            <w:r w:rsidRPr="000E288B">
              <w:rPr>
                <w:rFonts w:ascii="Arial" w:eastAsia="DengXian" w:hAnsi="Arial" w:cs="Arial"/>
                <w:color w:val="000000"/>
                <w:kern w:val="0"/>
                <w:sz w:val="22"/>
                <w:szCs w:val="24"/>
              </w:rPr>
              <w:t>C</w:t>
            </w:r>
            <w:r w:rsidRPr="000E288B">
              <w:rPr>
                <w:rFonts w:ascii="Arial" w:eastAsia="DengXian" w:hAnsi="Arial" w:cs="Arial"/>
                <w:color w:val="000000"/>
                <w:kern w:val="0"/>
                <w:sz w:val="22"/>
                <w:szCs w:val="24"/>
                <w:vertAlign w:val="subscript"/>
              </w:rPr>
              <w:t>2</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295</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&lt;EndNote&gt;&lt;Cite&gt;&lt;Author&gt;Zhao&lt;/Author&gt;&lt;Year&gt;2020&lt;/Year&gt;&lt;RecNum&gt;544&lt;/RecNum&gt;&lt;DisplayText&gt;&lt;style face="superscript"&gt;21&lt;/style&gt;&lt;/DisplayText&gt;&lt;record&gt;&lt;rec-number&gt;544&lt;/rec-number&gt;&lt;foreign-keys&gt;&lt;key app="EN" db-id="re20520x8wddrqe0zeox90s6dvppr0xe0zpa" timestamp="1599742702"&gt;544&lt;/key&gt;&lt;/foreign-keys&gt;&lt;ref-type name="Journal Article"&gt;17&lt;/ref-type&gt;&lt;contributors&gt;&lt;authors&gt;&lt;author&gt;Zhao, Fangfang&lt;/author&gt;&lt;author&gt;Liu, Weihong&lt;/author&gt;&lt;author&gt;Qiu, Tianlun&lt;/author&gt;&lt;author&gt;Gong, Wen-Bin&lt;/author&gt;&lt;author&gt;Ma, Wei&lt;/author&gt;&lt;author&gt;Li, Qingwen&lt;/author&gt;&lt;author&gt;Li, Feng&lt;/author&gt;&lt;author&gt;Geng, Fengxia&lt;/author&gt;&lt;/authors&gt;&lt;/contributors&gt;&lt;titles&gt;&lt;title&gt;All two-dimensional pseudocapacitive sheet materials for flexible asymmetric solid-state planar microsupercapacitors with high energy density&lt;/title&gt;&lt;secondary-title&gt;ACS Nano&lt;/secondary-title&gt;&lt;/titles&gt;&lt;periodical&gt;&lt;full-title&gt;ACS Nano&lt;/full-title&gt;&lt;abbr-1&gt;ACS Nano&lt;/abbr-1&gt;&lt;/periodical&gt;&lt;pages&gt;603-610&lt;/pages&gt;&lt;volume&gt;14&lt;/volume&gt;&lt;number&gt;1&lt;/number&gt;&lt;dates&gt;&lt;year&gt;2020&lt;/year&gt;&lt;pub-dates&gt;&lt;date&gt;2020/01/28&lt;/date&gt;&lt;/pub-dates&gt;&lt;/dates&gt;&lt;publisher&gt;American Chemical Society&lt;/publisher&gt;&lt;isbn&gt;1936-0851&lt;/isbn&gt;&lt;urls&gt;&lt;related-urls&gt;&lt;url&gt;https://doi.org/10.1021/acsnano.9b07183&lt;/url&gt;&lt;/related-urls&gt;&lt;/urls&gt;&lt;electronic-resource-num&gt;10.1021/acsnano.9b07183&lt;/electronic-resource-num&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21</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Graphene/MnO</w:t>
            </w:r>
            <w:r w:rsidRPr="000E288B">
              <w:rPr>
                <w:rFonts w:ascii="Arial" w:eastAsia="DengXian" w:hAnsi="Arial" w:cs="Arial"/>
                <w:color w:val="000000"/>
                <w:kern w:val="0"/>
                <w:sz w:val="22"/>
                <w:szCs w:val="24"/>
                <w:vertAlign w:val="subscript"/>
              </w:rPr>
              <w:t>2</w:t>
            </w:r>
            <w:r w:rsidRPr="000E288B">
              <w:rPr>
                <w:rFonts w:ascii="Arial" w:eastAsia="DengXian" w:hAnsi="Arial" w:cs="Arial"/>
                <w:color w:val="000000"/>
                <w:kern w:val="0"/>
                <w:sz w:val="22"/>
                <w:szCs w:val="24"/>
              </w:rPr>
              <w:t xml:space="preserve"> deposited graphene</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400</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&lt;EndNote&gt;&lt;Cite&gt;&lt;Author&gt;Elkady&lt;/Author&gt;&lt;Year&gt;2015&lt;/Year&gt;&lt;RecNum&gt;545&lt;/RecNum&gt;&lt;DisplayText&gt;&lt;style face="superscript"&gt;22&lt;/style&gt;&lt;/DisplayText&gt;&lt;record&gt;&lt;rec-number&gt;545&lt;/rec-number&gt;&lt;foreign-keys&gt;&lt;key app="EN" db-id="re20520x8wddrqe0zeox90s6dvppr0xe0zpa" timestamp="1599742931"&gt;545&lt;/key&gt;&lt;/foreign-keys&gt;&lt;ref-type name="Journal Article"&gt;17&lt;/ref-type&gt;&lt;contributors&gt;&lt;authors&gt;&lt;author&gt;Elkady, Maher F&lt;/author&gt;&lt;author&gt;Ihns, Melanie&lt;/author&gt;&lt;author&gt;Li, Mengping&lt;/author&gt;&lt;author&gt;Hwang, Jee Youn&lt;/author&gt;&lt;author&gt;Mousavi, M F&lt;/author&gt;&lt;author&gt;Chaney, Lindsay&lt;/author&gt;&lt;author&gt;Lech, Andrew T&lt;/author&gt;&lt;author&gt;Kaner, Richard B&lt;/author&gt;&lt;/authors&gt;&lt;/contributors&gt;&lt;titles&gt;&lt;title&gt;Engineering three-dimensional hybrid supercapacitors and microsupercapacitors for high-performance integrated energy storage&lt;/title&gt;&lt;secondary-title&gt;Proceedings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A.&lt;/abbr-1&gt;&lt;/periodical&gt;&lt;pages&gt;4233-4238&lt;/pages&gt;&lt;volume&gt;112&lt;/volume&gt;&lt;number&gt;14&lt;/number&gt;&lt;dates&gt;&lt;year&gt;2015&lt;/year&gt;&lt;/dates&gt;&lt;urls&gt;&lt;/urls&gt;&lt;/record&gt;&lt;/Cite&gt;&lt;/EndNote&gt;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22</w:t>
            </w:r>
            <w:r w:rsidRPr="000E288B">
              <w:rPr>
                <w:rFonts w:ascii="Arial" w:eastAsia="DengXian" w:hAnsi="Arial" w:cs="Arial"/>
                <w:color w:val="000000"/>
                <w:kern w:val="0"/>
                <w:sz w:val="22"/>
                <w:szCs w:val="24"/>
              </w:rPr>
              <w:fldChar w:fldCharType="end"/>
            </w:r>
          </w:p>
        </w:tc>
      </w:tr>
      <w:tr w:rsidR="00CF36A5" w:rsidRPr="00052F30" w:rsidTr="000E288B">
        <w:trPr>
          <w:trHeight w:hRule="exact" w:val="454"/>
          <w:jc w:val="center"/>
        </w:trPr>
        <w:tc>
          <w:tcPr>
            <w:tcW w:w="1418" w:type="dxa"/>
            <w:vMerge/>
            <w:vAlign w:val="center"/>
          </w:tcPr>
          <w:p w:rsidR="00087539" w:rsidRPr="00052F30" w:rsidRDefault="00087539" w:rsidP="00A06AE9">
            <w:pPr>
              <w:widowControl/>
              <w:jc w:val="left"/>
              <w:rPr>
                <w:rFonts w:ascii="Arial" w:eastAsia="DengXian" w:hAnsi="Arial" w:cs="Arial"/>
                <w:color w:val="000000"/>
                <w:kern w:val="0"/>
                <w:sz w:val="24"/>
                <w:szCs w:val="24"/>
              </w:rPr>
            </w:pPr>
          </w:p>
        </w:tc>
        <w:tc>
          <w:tcPr>
            <w:tcW w:w="4111" w:type="dxa"/>
            <w:gridSpan w:val="2"/>
            <w:shd w:val="clear" w:color="auto" w:fill="auto"/>
            <w:noWrap/>
            <w:vAlign w:val="center"/>
          </w:tcPr>
          <w:p w:rsidR="00087539" w:rsidRPr="000E288B" w:rsidRDefault="00087539" w:rsidP="00A06AE9">
            <w:pPr>
              <w:widowControl/>
              <w:jc w:val="left"/>
              <w:rPr>
                <w:rFonts w:ascii="Arial" w:eastAsia="DengXian" w:hAnsi="Arial" w:cs="Arial"/>
                <w:color w:val="000000"/>
                <w:kern w:val="0"/>
                <w:sz w:val="22"/>
                <w:szCs w:val="24"/>
              </w:rPr>
            </w:pPr>
            <w:r w:rsidRPr="000E288B">
              <w:rPr>
                <w:rFonts w:ascii="Arial" w:eastAsia="DengXian" w:hAnsi="Arial" w:cs="Arial"/>
                <w:color w:val="000000"/>
                <w:kern w:val="0"/>
                <w:sz w:val="22"/>
                <w:szCs w:val="24"/>
              </w:rPr>
              <w:t>N-GO//N-GO/MoO</w:t>
            </w:r>
            <w:r w:rsidRPr="000E288B">
              <w:rPr>
                <w:rFonts w:ascii="Arial" w:eastAsia="DengXian" w:hAnsi="Arial" w:cs="Arial"/>
                <w:color w:val="000000"/>
                <w:kern w:val="0"/>
                <w:sz w:val="22"/>
                <w:szCs w:val="24"/>
                <w:vertAlign w:val="subscript"/>
              </w:rPr>
              <w:t>2</w:t>
            </w:r>
          </w:p>
        </w:tc>
        <w:tc>
          <w:tcPr>
            <w:tcW w:w="1984"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t>33.6</w:t>
            </w:r>
          </w:p>
        </w:tc>
        <w:tc>
          <w:tcPr>
            <w:tcW w:w="793" w:type="dxa"/>
            <w:shd w:val="clear" w:color="auto" w:fill="auto"/>
            <w:noWrap/>
            <w:vAlign w:val="center"/>
          </w:tcPr>
          <w:p w:rsidR="00087539" w:rsidRPr="000E288B" w:rsidRDefault="00087539" w:rsidP="00A06AE9">
            <w:pPr>
              <w:widowControl/>
              <w:jc w:val="center"/>
              <w:rPr>
                <w:rFonts w:ascii="Arial" w:eastAsia="DengXian" w:hAnsi="Arial" w:cs="Arial"/>
                <w:color w:val="000000"/>
                <w:kern w:val="0"/>
                <w:sz w:val="22"/>
                <w:szCs w:val="24"/>
              </w:rPr>
            </w:pPr>
            <w:r w:rsidRPr="000E288B">
              <w:rPr>
                <w:rFonts w:ascii="Arial" w:eastAsia="DengXian" w:hAnsi="Arial" w:cs="Arial"/>
                <w:color w:val="000000"/>
                <w:kern w:val="0"/>
                <w:sz w:val="22"/>
                <w:szCs w:val="24"/>
              </w:rPr>
              <w:fldChar w:fldCharType="begin"/>
            </w:r>
            <w:r w:rsidRPr="000E288B">
              <w:rPr>
                <w:rFonts w:ascii="Arial" w:eastAsia="DengXian" w:hAnsi="Arial" w:cs="Arial"/>
                <w:color w:val="000000"/>
                <w:kern w:val="0"/>
                <w:sz w:val="22"/>
                <w:szCs w:val="24"/>
              </w:rPr>
              <w:instrText xml:space="preserve"> ADDIN EN.CITE &lt;EndNote&gt;&lt;Cite&gt;&lt;Author&gt;Zhang&lt;/Author&gt;&lt;Year&gt;2019&lt;/Year&gt;&lt;RecNum&gt;546&lt;/RecNum&gt;&lt;DisplayText&gt;&lt;style face="superscript"&gt;23&lt;/style&gt;&lt;/DisplayText&gt;&lt;record&gt;&lt;rec-number&gt;546&lt;/rec-number&gt;&lt;foreign-keys&gt;&lt;key app="EN" db-id="re20520x8wddrqe0zeox90s6dvppr0xe0zpa" timestamp="1599743133"&gt;546&lt;/key&gt;&lt;/foreign-keys&gt;&lt;ref-type name="Journal Article"&gt;17&lt;/ref-type&gt;&lt;contributors&gt;&lt;authors&gt;&lt;author&gt;Zhang, Liang&lt;/author&gt;&lt;author&gt;Chen, Zhiqiang&lt;/author&gt;&lt;author&gt;Zheng, Shuanghao&lt;/author&gt;&lt;author&gt;Qin, Si&lt;/author&gt;&lt;author&gt;Wang, Jiemin&lt;/author&gt;&lt;author&gt;Cheng, Chen&lt;/author&gt;&lt;author&gt;Liu, Dan&lt;/author&gt;&lt;author&gt;Wang, Lifeng&lt;/author&gt;&lt;author&gt;Yang, Guoliang&lt;/author&gt;&lt;author&gt;Su, Yuyu&lt;/author&gt;&lt;author&gt;Wu, Zhong-Shuai&lt;/author&gt;&lt;author&gt;Bao, Xinhe&lt;/author&gt;&lt;author&gt;Razal, Joselito&lt;/author&gt;&lt;author&gt;Lei, Weiwei&lt;/author&gt;&lt;/authors&gt;&lt;/contributors&gt;&lt;titles&gt;&lt;title&gt;&lt;style face="normal" font="default" size="100%"&gt;Shape-tailorable high-energy asymmetric micro-supercapacitors based on plasma reduced and nitrogen-doped graphene oxide and MoO&lt;/style&gt;&lt;style face="subscript" font="default" size="100%"&gt;2&lt;/style&gt;&lt;style face="normal" font="default" size="100%"&gt; nanoparticles&lt;/style&gt;&lt;/title&gt;&lt;secondary-title&gt;Journal of Materials Chemistry A&lt;/secondary-title&gt;&lt;/titles&gt;&lt;periodical&gt;&lt;full-title&gt;Journal of Materials Chemistry A&lt;/full-title&gt;&lt;abbr-1&gt;J. Mater. Chem. A&lt;/abbr-1&gt;&lt;/periodical&gt;&lt;pages&gt;14328-14336&lt;/pages&gt;&lt;volume&gt;7&lt;/volume&gt;&lt;number&gt;23&lt;/number&gt;&lt;section&gt;14328&lt;/section&gt;&lt;dates&gt;&lt;year&gt;2019&lt;/year&gt;&lt;pub-dates&gt;&lt;date&gt;05/19&lt;/date&gt;&lt;/pub-dates&gt;&lt;/dates&gt;&lt;urls&gt;&lt;/urls&gt;&lt;electronic-resource-num&gt;10.1039/C9TA03620B&lt;/electronic-resource-num&gt;&lt;/record&gt;&lt;/Cite&gt;&lt;/EndNote&gt;</w:instrText>
            </w:r>
            <w:r w:rsidRPr="000E288B">
              <w:rPr>
                <w:rFonts w:ascii="Arial" w:eastAsia="DengXian" w:hAnsi="Arial" w:cs="Arial"/>
                <w:color w:val="000000"/>
                <w:kern w:val="0"/>
                <w:sz w:val="22"/>
                <w:szCs w:val="24"/>
              </w:rPr>
              <w:fldChar w:fldCharType="separate"/>
            </w:r>
            <w:r w:rsidRPr="000E288B">
              <w:rPr>
                <w:rFonts w:ascii="Arial" w:eastAsia="DengXian" w:hAnsi="Arial" w:cs="Arial"/>
                <w:noProof/>
                <w:color w:val="000000"/>
                <w:kern w:val="0"/>
                <w:sz w:val="22"/>
                <w:szCs w:val="24"/>
                <w:vertAlign w:val="superscript"/>
              </w:rPr>
              <w:t>23</w:t>
            </w:r>
            <w:r w:rsidRPr="000E288B">
              <w:rPr>
                <w:rFonts w:ascii="Arial" w:eastAsia="DengXian" w:hAnsi="Arial" w:cs="Arial"/>
                <w:color w:val="000000"/>
                <w:kern w:val="0"/>
                <w:sz w:val="22"/>
                <w:szCs w:val="24"/>
              </w:rPr>
              <w:fldChar w:fldCharType="end"/>
            </w:r>
          </w:p>
        </w:tc>
      </w:tr>
    </w:tbl>
    <w:p w:rsidR="008C7C36" w:rsidRDefault="00FB3F1E" w:rsidP="00387BA4">
      <w:pPr>
        <w:widowControl/>
        <w:spacing w:line="360" w:lineRule="auto"/>
        <w:jc w:val="left"/>
        <w:rPr>
          <w:rFonts w:ascii="Arial" w:hAnsi="Arial" w:cs="Arial"/>
          <w:sz w:val="24"/>
          <w:szCs w:val="24"/>
        </w:rPr>
      </w:pPr>
      <w:r>
        <w:rPr>
          <w:rFonts w:ascii="Arial" w:hAnsi="Arial" w:cs="Arial"/>
          <w:sz w:val="24"/>
          <w:szCs w:val="24"/>
        </w:rPr>
        <w:br w:type="page"/>
      </w:r>
    </w:p>
    <w:p w:rsidR="008C7C36" w:rsidRPr="007653F0" w:rsidRDefault="00FB3F1E" w:rsidP="00387BA4">
      <w:pPr>
        <w:spacing w:line="360" w:lineRule="auto"/>
        <w:jc w:val="left"/>
        <w:rPr>
          <w:rFonts w:ascii="Arial" w:hAnsi="Arial" w:cs="Arial"/>
          <w:b/>
          <w:sz w:val="28"/>
          <w:szCs w:val="28"/>
        </w:rPr>
      </w:pPr>
      <w:r w:rsidRPr="007653F0">
        <w:rPr>
          <w:rFonts w:ascii="Arial" w:hAnsi="Arial" w:cs="Arial"/>
          <w:b/>
          <w:sz w:val="28"/>
          <w:szCs w:val="28"/>
        </w:rPr>
        <w:lastRenderedPageBreak/>
        <w:t>Reference</w:t>
      </w:r>
      <w:r w:rsidR="00F156BC">
        <w:rPr>
          <w:rFonts w:ascii="Arial" w:hAnsi="Arial" w:cs="Arial"/>
          <w:b/>
          <w:sz w:val="28"/>
          <w:szCs w:val="28"/>
        </w:rPr>
        <w:t>s</w:t>
      </w:r>
    </w:p>
    <w:p w:rsidR="008B0256" w:rsidRPr="00836DFC" w:rsidRDefault="00FB3F1E" w:rsidP="00217DB9">
      <w:pPr>
        <w:pStyle w:val="EndNoteBibliography"/>
        <w:spacing w:line="360" w:lineRule="exact"/>
        <w:ind w:left="720" w:hanging="720"/>
        <w:jc w:val="both"/>
        <w:rPr>
          <w:rFonts w:ascii="Arial" w:hAnsi="Arial" w:cs="Arial"/>
          <w:noProof/>
        </w:rPr>
      </w:pPr>
      <w:r w:rsidRPr="00836DFC">
        <w:rPr>
          <w:rFonts w:ascii="Arial" w:hAnsi="Arial" w:cs="Arial"/>
          <w:sz w:val="24"/>
          <w:szCs w:val="24"/>
        </w:rPr>
        <w:fldChar w:fldCharType="begin"/>
      </w:r>
      <w:r w:rsidRPr="00836DFC">
        <w:rPr>
          <w:rFonts w:ascii="Arial" w:hAnsi="Arial" w:cs="Arial"/>
          <w:sz w:val="24"/>
          <w:szCs w:val="24"/>
        </w:rPr>
        <w:instrText xml:space="preserve"> ADDIN EN.REFLIST </w:instrText>
      </w:r>
      <w:r w:rsidRPr="00836DFC">
        <w:rPr>
          <w:rFonts w:ascii="Arial" w:hAnsi="Arial" w:cs="Arial"/>
          <w:sz w:val="24"/>
          <w:szCs w:val="24"/>
        </w:rPr>
        <w:fldChar w:fldCharType="separate"/>
      </w:r>
      <w:r w:rsidR="008B0256" w:rsidRPr="00836DFC">
        <w:rPr>
          <w:rFonts w:ascii="Arial" w:hAnsi="Arial" w:cs="Arial"/>
          <w:noProof/>
        </w:rPr>
        <w:t>1</w:t>
      </w:r>
      <w:r w:rsidR="008B0256" w:rsidRPr="00836DFC">
        <w:rPr>
          <w:rFonts w:ascii="Arial" w:hAnsi="Arial" w:cs="Arial"/>
          <w:noProof/>
        </w:rPr>
        <w:tab/>
        <w:t>Liu, Q.</w:t>
      </w:r>
      <w:r w:rsidR="008B0256" w:rsidRPr="00836DFC">
        <w:rPr>
          <w:rFonts w:ascii="Arial" w:hAnsi="Arial" w:cs="Arial"/>
          <w:i/>
          <w:noProof/>
        </w:rPr>
        <w:t xml:space="preserve"> et al.</w:t>
      </w:r>
      <w:r w:rsidR="008B0256" w:rsidRPr="00836DFC">
        <w:rPr>
          <w:rFonts w:ascii="Arial" w:hAnsi="Arial" w:cs="Arial"/>
          <w:noProof/>
        </w:rPr>
        <w:t xml:space="preserve"> The first flexible dual-ion microbattery demonstrates superior capacity and ultrahigh energy density: small and powerful. </w:t>
      </w:r>
      <w:r w:rsidR="008B0256" w:rsidRPr="00836DFC">
        <w:rPr>
          <w:rFonts w:ascii="Arial" w:hAnsi="Arial" w:cs="Arial"/>
          <w:i/>
          <w:noProof/>
        </w:rPr>
        <w:t>Adv. Funct. Mater.</w:t>
      </w:r>
      <w:r w:rsidR="008B0256" w:rsidRPr="00836DFC">
        <w:rPr>
          <w:rFonts w:ascii="Arial" w:hAnsi="Arial" w:cs="Arial"/>
          <w:noProof/>
        </w:rPr>
        <w:t xml:space="preserve"> </w:t>
      </w:r>
      <w:r w:rsidR="008B0256" w:rsidRPr="00836DFC">
        <w:rPr>
          <w:rFonts w:ascii="Arial" w:hAnsi="Arial" w:cs="Arial"/>
          <w:b/>
          <w:noProof/>
        </w:rPr>
        <w:t>30</w:t>
      </w:r>
      <w:r w:rsidR="008B0256" w:rsidRPr="00836DFC">
        <w:rPr>
          <w:rFonts w:ascii="Arial" w:hAnsi="Arial" w:cs="Arial"/>
          <w:noProof/>
        </w:rPr>
        <w:t>, 2002086, doi:10.1002/adfm.202002086.</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2</w:t>
      </w:r>
      <w:r w:rsidRPr="00836DFC">
        <w:rPr>
          <w:rFonts w:ascii="Arial" w:hAnsi="Arial" w:cs="Arial"/>
          <w:noProof/>
        </w:rPr>
        <w:tab/>
        <w:t>Yin, Z.</w:t>
      </w:r>
      <w:r w:rsidRPr="00836DFC">
        <w:rPr>
          <w:rFonts w:ascii="Arial" w:hAnsi="Arial" w:cs="Arial"/>
          <w:i/>
          <w:noProof/>
        </w:rPr>
        <w:t xml:space="preserve"> et al.</w:t>
      </w:r>
      <w:r w:rsidRPr="00836DFC">
        <w:rPr>
          <w:rFonts w:ascii="Arial" w:hAnsi="Arial" w:cs="Arial"/>
          <w:noProof/>
        </w:rPr>
        <w:t xml:space="preserve"> Splash-resistant and light-weight silk-sheathed wires for textile electronics. </w:t>
      </w:r>
      <w:r w:rsidRPr="00836DFC">
        <w:rPr>
          <w:rFonts w:ascii="Arial" w:hAnsi="Arial" w:cs="Arial"/>
          <w:i/>
          <w:noProof/>
        </w:rPr>
        <w:t>Nano Lett.</w:t>
      </w:r>
      <w:r w:rsidRPr="00836DFC">
        <w:rPr>
          <w:rFonts w:ascii="Arial" w:hAnsi="Arial" w:cs="Arial"/>
          <w:noProof/>
        </w:rPr>
        <w:t xml:space="preserve"> </w:t>
      </w:r>
      <w:r w:rsidRPr="00836DFC">
        <w:rPr>
          <w:rFonts w:ascii="Arial" w:hAnsi="Arial" w:cs="Arial"/>
          <w:b/>
          <w:noProof/>
        </w:rPr>
        <w:t>18</w:t>
      </w:r>
      <w:r w:rsidRPr="00836DFC">
        <w:rPr>
          <w:rFonts w:ascii="Arial" w:hAnsi="Arial" w:cs="Arial"/>
          <w:noProof/>
        </w:rPr>
        <w:t>, 7085-7091 (2018).</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3</w:t>
      </w:r>
      <w:r w:rsidRPr="00836DFC">
        <w:rPr>
          <w:rFonts w:ascii="Arial" w:hAnsi="Arial" w:cs="Arial"/>
          <w:noProof/>
        </w:rPr>
        <w:tab/>
        <w:t>Tian, X.</w:t>
      </w:r>
      <w:r w:rsidRPr="00836DFC">
        <w:rPr>
          <w:rFonts w:ascii="Arial" w:hAnsi="Arial" w:cs="Arial"/>
          <w:i/>
          <w:noProof/>
        </w:rPr>
        <w:t xml:space="preserve"> et al.</w:t>
      </w:r>
      <w:r w:rsidRPr="00836DFC">
        <w:rPr>
          <w:rFonts w:ascii="Arial" w:hAnsi="Arial" w:cs="Arial"/>
          <w:noProof/>
        </w:rPr>
        <w:t xml:space="preserve"> Arbitrary shape engineerable spiral micropseudocapacitors with ultrahigh energy and power densities. </w:t>
      </w:r>
      <w:r w:rsidRPr="00836DFC">
        <w:rPr>
          <w:rFonts w:ascii="Arial" w:hAnsi="Arial" w:cs="Arial"/>
          <w:i/>
          <w:noProof/>
        </w:rPr>
        <w:t>Adv. Mater.</w:t>
      </w:r>
      <w:r w:rsidRPr="00836DFC">
        <w:rPr>
          <w:rFonts w:ascii="Arial" w:hAnsi="Arial" w:cs="Arial"/>
          <w:noProof/>
        </w:rPr>
        <w:t xml:space="preserve"> </w:t>
      </w:r>
      <w:r w:rsidRPr="00836DFC">
        <w:rPr>
          <w:rFonts w:ascii="Arial" w:hAnsi="Arial" w:cs="Arial"/>
          <w:b/>
          <w:noProof/>
        </w:rPr>
        <w:t>27</w:t>
      </w:r>
      <w:r w:rsidRPr="00836DFC">
        <w:rPr>
          <w:rFonts w:ascii="Arial" w:hAnsi="Arial" w:cs="Arial"/>
          <w:noProof/>
        </w:rPr>
        <w:t>, 7476-7482 (2015).</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4</w:t>
      </w:r>
      <w:r w:rsidRPr="00836DFC">
        <w:rPr>
          <w:rFonts w:ascii="Arial" w:hAnsi="Arial" w:cs="Arial"/>
          <w:noProof/>
        </w:rPr>
        <w:tab/>
        <w:t xml:space="preserve">Chmiola, J., Largeot, C., Taberna, P.-L., Simon, P. &amp; Gogotsi, Y. Monolithic carbide-derived carbon films for micro-supercapacitors. </w:t>
      </w:r>
      <w:r w:rsidRPr="00836DFC">
        <w:rPr>
          <w:rFonts w:ascii="Arial" w:hAnsi="Arial" w:cs="Arial"/>
          <w:i/>
          <w:noProof/>
        </w:rPr>
        <w:t>Science</w:t>
      </w:r>
      <w:r w:rsidRPr="00836DFC">
        <w:rPr>
          <w:rFonts w:ascii="Arial" w:hAnsi="Arial" w:cs="Arial"/>
          <w:noProof/>
        </w:rPr>
        <w:t xml:space="preserve"> </w:t>
      </w:r>
      <w:r w:rsidRPr="00836DFC">
        <w:rPr>
          <w:rFonts w:ascii="Arial" w:hAnsi="Arial" w:cs="Arial"/>
          <w:b/>
          <w:noProof/>
        </w:rPr>
        <w:t>328</w:t>
      </w:r>
      <w:r w:rsidRPr="00836DFC">
        <w:rPr>
          <w:rFonts w:ascii="Arial" w:hAnsi="Arial" w:cs="Arial"/>
          <w:noProof/>
        </w:rPr>
        <w:t>, 480-483 (2010).</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5</w:t>
      </w:r>
      <w:r w:rsidRPr="00836DFC">
        <w:rPr>
          <w:rFonts w:ascii="Arial" w:hAnsi="Arial" w:cs="Arial"/>
          <w:noProof/>
        </w:rPr>
        <w:tab/>
        <w:t>Wang, K.</w:t>
      </w:r>
      <w:r w:rsidRPr="00836DFC">
        <w:rPr>
          <w:rFonts w:ascii="Arial" w:hAnsi="Arial" w:cs="Arial"/>
          <w:i/>
          <w:noProof/>
        </w:rPr>
        <w:t xml:space="preserve"> et al.</w:t>
      </w:r>
      <w:r w:rsidRPr="00836DFC">
        <w:rPr>
          <w:rFonts w:ascii="Arial" w:hAnsi="Arial" w:cs="Arial"/>
          <w:noProof/>
        </w:rPr>
        <w:t xml:space="preserve"> An all</w:t>
      </w:r>
      <w:r w:rsidRPr="00836DFC">
        <w:rPr>
          <w:rFonts w:ascii="Microsoft YaHei" w:eastAsia="Microsoft YaHei" w:hAnsi="Microsoft YaHei" w:cs="Microsoft YaHei" w:hint="eastAsia"/>
          <w:noProof/>
        </w:rPr>
        <w:t>‐</w:t>
      </w:r>
      <w:r w:rsidRPr="00836DFC">
        <w:rPr>
          <w:rFonts w:ascii="Arial" w:hAnsi="Arial" w:cs="Arial"/>
          <w:noProof/>
        </w:rPr>
        <w:t>solid</w:t>
      </w:r>
      <w:r w:rsidRPr="00836DFC">
        <w:rPr>
          <w:rFonts w:ascii="Microsoft YaHei" w:eastAsia="Microsoft YaHei" w:hAnsi="Microsoft YaHei" w:cs="Microsoft YaHei" w:hint="eastAsia"/>
          <w:noProof/>
        </w:rPr>
        <w:t>‐</w:t>
      </w:r>
      <w:r w:rsidRPr="00836DFC">
        <w:rPr>
          <w:rFonts w:ascii="Arial" w:hAnsi="Arial" w:cs="Arial"/>
          <w:noProof/>
        </w:rPr>
        <w:t>state flexible micro</w:t>
      </w:r>
      <w:r w:rsidRPr="00836DFC">
        <w:rPr>
          <w:rFonts w:ascii="Microsoft YaHei" w:eastAsia="Microsoft YaHei" w:hAnsi="Microsoft YaHei" w:cs="Microsoft YaHei" w:hint="eastAsia"/>
          <w:noProof/>
        </w:rPr>
        <w:t>‐</w:t>
      </w:r>
      <w:r w:rsidRPr="00836DFC">
        <w:rPr>
          <w:rFonts w:ascii="Arial" w:hAnsi="Arial" w:cs="Arial"/>
          <w:noProof/>
        </w:rPr>
        <w:t xml:space="preserve">supercapacitor on a chip. </w:t>
      </w:r>
      <w:r w:rsidRPr="00836DFC">
        <w:rPr>
          <w:rFonts w:ascii="Arial" w:hAnsi="Arial" w:cs="Arial"/>
          <w:i/>
          <w:noProof/>
        </w:rPr>
        <w:t>Adv. Ener. Mater.</w:t>
      </w:r>
      <w:r w:rsidRPr="00836DFC">
        <w:rPr>
          <w:rFonts w:ascii="Arial" w:hAnsi="Arial" w:cs="Arial"/>
          <w:noProof/>
        </w:rPr>
        <w:t xml:space="preserve"> </w:t>
      </w:r>
      <w:r w:rsidRPr="00836DFC">
        <w:rPr>
          <w:rFonts w:ascii="Arial" w:hAnsi="Arial" w:cs="Arial"/>
          <w:b/>
          <w:noProof/>
        </w:rPr>
        <w:t>1</w:t>
      </w:r>
      <w:r w:rsidRPr="00836DFC">
        <w:rPr>
          <w:rFonts w:ascii="Arial" w:hAnsi="Arial" w:cs="Arial"/>
          <w:noProof/>
        </w:rPr>
        <w:t>, 1068-1072 (2011).</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6</w:t>
      </w:r>
      <w:r w:rsidRPr="00836DFC">
        <w:rPr>
          <w:rFonts w:ascii="Arial" w:hAnsi="Arial" w:cs="Arial"/>
          <w:noProof/>
        </w:rPr>
        <w:tab/>
        <w:t xml:space="preserve">Zhu, Y. G., Wang, Y., Shi, Y., Wong, J. I. &amp; Yang, H. Y. CoO nanoflowers woven by CNT network for high energy density flexible micro-supercapacitor. </w:t>
      </w:r>
      <w:r w:rsidRPr="00836DFC">
        <w:rPr>
          <w:rFonts w:ascii="Arial" w:hAnsi="Arial" w:cs="Arial"/>
          <w:i/>
          <w:noProof/>
        </w:rPr>
        <w:t>Nano Energy</w:t>
      </w:r>
      <w:r w:rsidRPr="00836DFC">
        <w:rPr>
          <w:rFonts w:ascii="Arial" w:hAnsi="Arial" w:cs="Arial"/>
          <w:noProof/>
        </w:rPr>
        <w:t xml:space="preserve"> </w:t>
      </w:r>
      <w:r w:rsidRPr="00836DFC">
        <w:rPr>
          <w:rFonts w:ascii="Arial" w:hAnsi="Arial" w:cs="Arial"/>
          <w:b/>
          <w:noProof/>
        </w:rPr>
        <w:t>3</w:t>
      </w:r>
      <w:r w:rsidRPr="00836DFC">
        <w:rPr>
          <w:rFonts w:ascii="Arial" w:hAnsi="Arial" w:cs="Arial"/>
          <w:noProof/>
        </w:rPr>
        <w:t>, 46-54 (2014).</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7</w:t>
      </w:r>
      <w:r w:rsidRPr="00836DFC">
        <w:rPr>
          <w:rFonts w:ascii="Arial" w:hAnsi="Arial" w:cs="Arial"/>
          <w:noProof/>
        </w:rPr>
        <w:tab/>
        <w:t>Hwang, J. Y.</w:t>
      </w:r>
      <w:r w:rsidRPr="00836DFC">
        <w:rPr>
          <w:rFonts w:ascii="Arial" w:hAnsi="Arial" w:cs="Arial"/>
          <w:i/>
          <w:noProof/>
        </w:rPr>
        <w:t xml:space="preserve"> et al.</w:t>
      </w:r>
      <w:r w:rsidRPr="00836DFC">
        <w:rPr>
          <w:rFonts w:ascii="Arial" w:hAnsi="Arial" w:cs="Arial"/>
          <w:noProof/>
        </w:rPr>
        <w:t xml:space="preserve"> Direct preparation and processing of graphene/RuO</w:t>
      </w:r>
      <w:r w:rsidRPr="00836DFC">
        <w:rPr>
          <w:rFonts w:ascii="Arial" w:hAnsi="Arial" w:cs="Arial"/>
          <w:noProof/>
          <w:vertAlign w:val="subscript"/>
        </w:rPr>
        <w:t>2</w:t>
      </w:r>
      <w:r w:rsidRPr="00836DFC">
        <w:rPr>
          <w:rFonts w:ascii="Arial" w:hAnsi="Arial" w:cs="Arial"/>
          <w:noProof/>
        </w:rPr>
        <w:t xml:space="preserve"> nanocomposite electrodes for high-performance capacitive energy storage. </w:t>
      </w:r>
      <w:r w:rsidRPr="00836DFC">
        <w:rPr>
          <w:rFonts w:ascii="Arial" w:hAnsi="Arial" w:cs="Arial"/>
          <w:i/>
          <w:noProof/>
        </w:rPr>
        <w:t>Nano Energy</w:t>
      </w:r>
      <w:r w:rsidRPr="00836DFC">
        <w:rPr>
          <w:rFonts w:ascii="Arial" w:hAnsi="Arial" w:cs="Arial"/>
          <w:noProof/>
        </w:rPr>
        <w:t xml:space="preserve"> </w:t>
      </w:r>
      <w:r w:rsidRPr="00836DFC">
        <w:rPr>
          <w:rFonts w:ascii="Arial" w:hAnsi="Arial" w:cs="Arial"/>
          <w:b/>
          <w:noProof/>
        </w:rPr>
        <w:t>18</w:t>
      </w:r>
      <w:r w:rsidRPr="00836DFC">
        <w:rPr>
          <w:rFonts w:ascii="Arial" w:hAnsi="Arial" w:cs="Arial"/>
          <w:noProof/>
        </w:rPr>
        <w:t>, 57-70 (2015).</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8</w:t>
      </w:r>
      <w:r w:rsidRPr="00836DFC">
        <w:rPr>
          <w:rFonts w:ascii="Arial" w:hAnsi="Arial" w:cs="Arial"/>
          <w:noProof/>
        </w:rPr>
        <w:tab/>
        <w:t>Li, Y. Q.</w:t>
      </w:r>
      <w:r w:rsidRPr="00836DFC">
        <w:rPr>
          <w:rFonts w:ascii="Arial" w:hAnsi="Arial" w:cs="Arial"/>
          <w:i/>
          <w:noProof/>
        </w:rPr>
        <w:t xml:space="preserve"> et al.</w:t>
      </w:r>
      <w:r w:rsidRPr="00836DFC">
        <w:rPr>
          <w:rFonts w:ascii="Arial" w:hAnsi="Arial" w:cs="Arial"/>
          <w:noProof/>
        </w:rPr>
        <w:t xml:space="preserve"> Remarkable improvements in volumetric energy and power of 3D MnO</w:t>
      </w:r>
      <w:r w:rsidRPr="00836DFC">
        <w:rPr>
          <w:rFonts w:ascii="Arial" w:hAnsi="Arial" w:cs="Arial"/>
          <w:noProof/>
          <w:vertAlign w:val="subscript"/>
        </w:rPr>
        <w:t>2</w:t>
      </w:r>
      <w:r w:rsidRPr="00836DFC">
        <w:rPr>
          <w:rFonts w:ascii="Arial" w:hAnsi="Arial" w:cs="Arial"/>
          <w:noProof/>
        </w:rPr>
        <w:t xml:space="preserve"> microsupercapacitors by tuning crystallographic structures. </w:t>
      </w:r>
      <w:r w:rsidRPr="00836DFC">
        <w:rPr>
          <w:rFonts w:ascii="Arial" w:hAnsi="Arial" w:cs="Arial"/>
          <w:i/>
          <w:noProof/>
        </w:rPr>
        <w:t>Adv. Funct. Mater.</w:t>
      </w:r>
      <w:r w:rsidRPr="00836DFC">
        <w:rPr>
          <w:rFonts w:ascii="Arial" w:hAnsi="Arial" w:cs="Arial"/>
          <w:noProof/>
        </w:rPr>
        <w:t xml:space="preserve"> </w:t>
      </w:r>
      <w:r w:rsidRPr="00836DFC">
        <w:rPr>
          <w:rFonts w:ascii="Arial" w:hAnsi="Arial" w:cs="Arial"/>
          <w:b/>
          <w:noProof/>
        </w:rPr>
        <w:t>26</w:t>
      </w:r>
      <w:r w:rsidRPr="00836DFC">
        <w:rPr>
          <w:rFonts w:ascii="Arial" w:hAnsi="Arial" w:cs="Arial"/>
          <w:noProof/>
        </w:rPr>
        <w:t>, 1830-1839 (2016).</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9</w:t>
      </w:r>
      <w:r w:rsidRPr="00836DFC">
        <w:rPr>
          <w:rFonts w:ascii="Arial" w:hAnsi="Arial" w:cs="Arial"/>
          <w:noProof/>
        </w:rPr>
        <w:tab/>
        <w:t xml:space="preserve">Lee, H. U. &amp; Kim, S. W. Pen lithography for flexible microsupercapacitors with layer-by-layer assembled graphene flake/PEDOT nanocomposite electrodes. </w:t>
      </w:r>
      <w:r w:rsidRPr="00836DFC">
        <w:rPr>
          <w:rFonts w:ascii="Arial" w:hAnsi="Arial" w:cs="Arial"/>
          <w:i/>
          <w:noProof/>
        </w:rPr>
        <w:t>J. Mater. Chem. A</w:t>
      </w:r>
      <w:r w:rsidRPr="00836DFC">
        <w:rPr>
          <w:rFonts w:ascii="Arial" w:hAnsi="Arial" w:cs="Arial"/>
          <w:noProof/>
        </w:rPr>
        <w:t xml:space="preserve"> </w:t>
      </w:r>
      <w:r w:rsidRPr="00836DFC">
        <w:rPr>
          <w:rFonts w:ascii="Arial" w:hAnsi="Arial" w:cs="Arial"/>
          <w:b/>
          <w:noProof/>
        </w:rPr>
        <w:t>5</w:t>
      </w:r>
      <w:r w:rsidRPr="00836DFC">
        <w:rPr>
          <w:rFonts w:ascii="Arial" w:hAnsi="Arial" w:cs="Arial"/>
          <w:noProof/>
        </w:rPr>
        <w:t>, 13581-13590 (2017).</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10</w:t>
      </w:r>
      <w:r w:rsidRPr="00836DFC">
        <w:rPr>
          <w:rFonts w:ascii="Arial" w:hAnsi="Arial" w:cs="Arial"/>
          <w:noProof/>
        </w:rPr>
        <w:tab/>
        <w:t xml:space="preserve">El-Kady, M. F. &amp; Kaner, R. B. Scalable fabrication of high-power graphene micro-supercapacitors for flexible and on-chip energy storage. </w:t>
      </w:r>
      <w:r w:rsidRPr="00836DFC">
        <w:rPr>
          <w:rFonts w:ascii="Arial" w:hAnsi="Arial" w:cs="Arial"/>
          <w:i/>
          <w:noProof/>
        </w:rPr>
        <w:t>Nat. Commun.</w:t>
      </w:r>
      <w:r w:rsidRPr="00836DFC">
        <w:rPr>
          <w:rFonts w:ascii="Arial" w:hAnsi="Arial" w:cs="Arial"/>
          <w:noProof/>
        </w:rPr>
        <w:t xml:space="preserve"> </w:t>
      </w:r>
      <w:r w:rsidRPr="00836DFC">
        <w:rPr>
          <w:rFonts w:ascii="Arial" w:hAnsi="Arial" w:cs="Arial"/>
          <w:b/>
          <w:noProof/>
        </w:rPr>
        <w:t>4</w:t>
      </w:r>
      <w:r w:rsidRPr="00836DFC">
        <w:rPr>
          <w:rFonts w:ascii="Arial" w:hAnsi="Arial" w:cs="Arial"/>
          <w:noProof/>
        </w:rPr>
        <w:t>, 1475 (2013).</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11</w:t>
      </w:r>
      <w:r w:rsidRPr="00836DFC">
        <w:rPr>
          <w:rFonts w:ascii="Arial" w:hAnsi="Arial" w:cs="Arial"/>
          <w:noProof/>
        </w:rPr>
        <w:tab/>
        <w:t xml:space="preserve">Yu, W., Zhou, H., Li, B. Q. &amp; Ding, S. 3D printing of carbon nanotubes-based microsupercapacitors. </w:t>
      </w:r>
      <w:r w:rsidRPr="00836DFC">
        <w:rPr>
          <w:rFonts w:ascii="Arial" w:hAnsi="Arial" w:cs="Arial"/>
          <w:i/>
          <w:noProof/>
        </w:rPr>
        <w:t>ACS Appl. Mater. Interfaces</w:t>
      </w:r>
      <w:r w:rsidRPr="00836DFC">
        <w:rPr>
          <w:rFonts w:ascii="Arial" w:hAnsi="Arial" w:cs="Arial"/>
          <w:noProof/>
        </w:rPr>
        <w:t xml:space="preserve"> </w:t>
      </w:r>
      <w:r w:rsidRPr="00836DFC">
        <w:rPr>
          <w:rFonts w:ascii="Arial" w:hAnsi="Arial" w:cs="Arial"/>
          <w:b/>
          <w:noProof/>
        </w:rPr>
        <w:t>9</w:t>
      </w:r>
      <w:r w:rsidRPr="00836DFC">
        <w:rPr>
          <w:rFonts w:ascii="Arial" w:hAnsi="Arial" w:cs="Arial"/>
          <w:noProof/>
        </w:rPr>
        <w:t>, 4597-4604 (2017).</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12</w:t>
      </w:r>
      <w:r w:rsidRPr="00836DFC">
        <w:rPr>
          <w:rFonts w:ascii="Arial" w:hAnsi="Arial" w:cs="Arial"/>
          <w:noProof/>
        </w:rPr>
        <w:tab/>
        <w:t>Yadav, P., Basu, A., Suryawanshi, A., Game, O. &amp; Ogale, S. Highly stable laser</w:t>
      </w:r>
      <w:r w:rsidRPr="00836DFC">
        <w:rPr>
          <w:rFonts w:ascii="Microsoft YaHei" w:eastAsia="Microsoft YaHei" w:hAnsi="Microsoft YaHei" w:cs="Microsoft YaHei" w:hint="eastAsia"/>
          <w:noProof/>
        </w:rPr>
        <w:t>‐</w:t>
      </w:r>
      <w:r w:rsidRPr="00836DFC">
        <w:rPr>
          <w:rFonts w:ascii="Arial" w:hAnsi="Arial" w:cs="Arial"/>
          <w:noProof/>
        </w:rPr>
        <w:t xml:space="preserve">scribed flexible planar microsupercapacitor using mushroom derived carbon electrodes. </w:t>
      </w:r>
      <w:r w:rsidRPr="00836DFC">
        <w:rPr>
          <w:rFonts w:ascii="Arial" w:hAnsi="Arial" w:cs="Arial"/>
          <w:i/>
          <w:noProof/>
        </w:rPr>
        <w:t>Adv. Mater. Inter.</w:t>
      </w:r>
      <w:r w:rsidRPr="00836DFC">
        <w:rPr>
          <w:rFonts w:ascii="Arial" w:hAnsi="Arial" w:cs="Arial"/>
          <w:noProof/>
        </w:rPr>
        <w:t xml:space="preserve"> </w:t>
      </w:r>
      <w:r w:rsidRPr="00836DFC">
        <w:rPr>
          <w:rFonts w:ascii="Arial" w:hAnsi="Arial" w:cs="Arial"/>
          <w:b/>
          <w:noProof/>
        </w:rPr>
        <w:t>3</w:t>
      </w:r>
      <w:r w:rsidRPr="00836DFC">
        <w:rPr>
          <w:rFonts w:ascii="Arial" w:hAnsi="Arial" w:cs="Arial"/>
          <w:noProof/>
        </w:rPr>
        <w:t>, 1600057 (2016).</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13</w:t>
      </w:r>
      <w:r w:rsidRPr="00836DFC">
        <w:rPr>
          <w:rFonts w:ascii="Arial" w:hAnsi="Arial" w:cs="Arial"/>
          <w:noProof/>
        </w:rPr>
        <w:tab/>
        <w:t>Gao, W.</w:t>
      </w:r>
      <w:r w:rsidRPr="00836DFC">
        <w:rPr>
          <w:rFonts w:ascii="Arial" w:hAnsi="Arial" w:cs="Arial"/>
          <w:i/>
          <w:noProof/>
        </w:rPr>
        <w:t xml:space="preserve"> et al.</w:t>
      </w:r>
      <w:r w:rsidRPr="00836DFC">
        <w:rPr>
          <w:rFonts w:ascii="Arial" w:hAnsi="Arial" w:cs="Arial"/>
          <w:noProof/>
        </w:rPr>
        <w:t xml:space="preserve"> Direct laser writing of micro-supercapacitors on hydrated graphite oxide films. </w:t>
      </w:r>
      <w:r w:rsidRPr="00836DFC">
        <w:rPr>
          <w:rFonts w:ascii="Arial" w:hAnsi="Arial" w:cs="Arial"/>
          <w:i/>
          <w:noProof/>
        </w:rPr>
        <w:t>Nat. Nanotechnol.</w:t>
      </w:r>
      <w:r w:rsidRPr="00836DFC">
        <w:rPr>
          <w:rFonts w:ascii="Arial" w:hAnsi="Arial" w:cs="Arial"/>
          <w:noProof/>
        </w:rPr>
        <w:t xml:space="preserve"> </w:t>
      </w:r>
      <w:r w:rsidRPr="00836DFC">
        <w:rPr>
          <w:rFonts w:ascii="Arial" w:hAnsi="Arial" w:cs="Arial"/>
          <w:b/>
          <w:noProof/>
        </w:rPr>
        <w:t>6</w:t>
      </w:r>
      <w:r w:rsidRPr="00836DFC">
        <w:rPr>
          <w:rFonts w:ascii="Arial" w:hAnsi="Arial" w:cs="Arial"/>
          <w:noProof/>
        </w:rPr>
        <w:t>, 496 (2011).</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14</w:t>
      </w:r>
      <w:r w:rsidRPr="00836DFC">
        <w:rPr>
          <w:rFonts w:ascii="Arial" w:hAnsi="Arial" w:cs="Arial"/>
          <w:noProof/>
        </w:rPr>
        <w:tab/>
        <w:t>Bellani, S.</w:t>
      </w:r>
      <w:r w:rsidRPr="00836DFC">
        <w:rPr>
          <w:rFonts w:ascii="Arial" w:hAnsi="Arial" w:cs="Arial"/>
          <w:i/>
          <w:noProof/>
        </w:rPr>
        <w:t xml:space="preserve"> et al.</w:t>
      </w:r>
      <w:r w:rsidRPr="00836DFC">
        <w:rPr>
          <w:rFonts w:ascii="Arial" w:hAnsi="Arial" w:cs="Arial"/>
          <w:noProof/>
        </w:rPr>
        <w:t xml:space="preserve"> Scalable production of graphene inks via wet</w:t>
      </w:r>
      <w:r w:rsidRPr="00836DFC">
        <w:rPr>
          <w:rFonts w:ascii="Microsoft YaHei" w:eastAsia="Microsoft YaHei" w:hAnsi="Microsoft YaHei" w:cs="Microsoft YaHei" w:hint="eastAsia"/>
          <w:noProof/>
        </w:rPr>
        <w:t>‐</w:t>
      </w:r>
      <w:r w:rsidRPr="00836DFC">
        <w:rPr>
          <w:rFonts w:ascii="Arial" w:hAnsi="Arial" w:cs="Arial"/>
          <w:noProof/>
        </w:rPr>
        <w:t>jet milling exfoliation for screen</w:t>
      </w:r>
      <w:r w:rsidRPr="00836DFC">
        <w:rPr>
          <w:rFonts w:ascii="Microsoft YaHei" w:eastAsia="Microsoft YaHei" w:hAnsi="Microsoft YaHei" w:cs="Microsoft YaHei" w:hint="eastAsia"/>
          <w:noProof/>
        </w:rPr>
        <w:t>‐</w:t>
      </w:r>
      <w:r w:rsidRPr="00836DFC">
        <w:rPr>
          <w:rFonts w:ascii="Arial" w:hAnsi="Arial" w:cs="Arial"/>
          <w:noProof/>
        </w:rPr>
        <w:t>printed micro</w:t>
      </w:r>
      <w:r w:rsidRPr="00836DFC">
        <w:rPr>
          <w:rFonts w:ascii="Microsoft YaHei" w:eastAsia="Microsoft YaHei" w:hAnsi="Microsoft YaHei" w:cs="Microsoft YaHei" w:hint="eastAsia"/>
          <w:noProof/>
        </w:rPr>
        <w:t>‐</w:t>
      </w:r>
      <w:r w:rsidRPr="00836DFC">
        <w:rPr>
          <w:rFonts w:ascii="Arial" w:hAnsi="Arial" w:cs="Arial"/>
          <w:noProof/>
        </w:rPr>
        <w:t xml:space="preserve">supercapacitors. </w:t>
      </w:r>
      <w:r w:rsidRPr="00836DFC">
        <w:rPr>
          <w:rFonts w:ascii="Arial" w:hAnsi="Arial" w:cs="Arial"/>
          <w:i/>
          <w:noProof/>
        </w:rPr>
        <w:t>Adv. Funct. Mater.</w:t>
      </w:r>
      <w:r w:rsidRPr="00836DFC">
        <w:rPr>
          <w:rFonts w:ascii="Arial" w:hAnsi="Arial" w:cs="Arial"/>
          <w:noProof/>
        </w:rPr>
        <w:t xml:space="preserve"> </w:t>
      </w:r>
      <w:r w:rsidRPr="00836DFC">
        <w:rPr>
          <w:rFonts w:ascii="Arial" w:hAnsi="Arial" w:cs="Arial"/>
          <w:b/>
          <w:noProof/>
        </w:rPr>
        <w:t>29</w:t>
      </w:r>
      <w:r w:rsidRPr="00836DFC">
        <w:rPr>
          <w:rFonts w:ascii="Arial" w:hAnsi="Arial" w:cs="Arial"/>
          <w:noProof/>
        </w:rPr>
        <w:t>, 1807659 (2019).</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15</w:t>
      </w:r>
      <w:r w:rsidRPr="00836DFC">
        <w:rPr>
          <w:rFonts w:ascii="Arial" w:hAnsi="Arial" w:cs="Arial"/>
          <w:noProof/>
        </w:rPr>
        <w:tab/>
        <w:t xml:space="preserve">Liu, W., Yan, X., Chen, J., Feng, Y. &amp; Xue, Q. Novel and high-performance asymmetric micro-supercapacitors based on graphene quantum dots and polyaniline nanofibers. </w:t>
      </w:r>
      <w:r w:rsidRPr="00836DFC">
        <w:rPr>
          <w:rFonts w:ascii="Arial" w:hAnsi="Arial" w:cs="Arial"/>
          <w:i/>
          <w:noProof/>
        </w:rPr>
        <w:lastRenderedPageBreak/>
        <w:t>Nanoscale</w:t>
      </w:r>
      <w:r w:rsidRPr="00836DFC">
        <w:rPr>
          <w:rFonts w:ascii="Arial" w:hAnsi="Arial" w:cs="Arial"/>
          <w:noProof/>
        </w:rPr>
        <w:t xml:space="preserve"> </w:t>
      </w:r>
      <w:r w:rsidRPr="00836DFC">
        <w:rPr>
          <w:rFonts w:ascii="Arial" w:hAnsi="Arial" w:cs="Arial"/>
          <w:b/>
          <w:noProof/>
        </w:rPr>
        <w:t>5</w:t>
      </w:r>
      <w:r w:rsidRPr="00836DFC">
        <w:rPr>
          <w:rFonts w:ascii="Arial" w:hAnsi="Arial" w:cs="Arial"/>
          <w:noProof/>
        </w:rPr>
        <w:t>, 6053-6062 (2013).</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16</w:t>
      </w:r>
      <w:r w:rsidRPr="00836DFC">
        <w:rPr>
          <w:rFonts w:ascii="Arial" w:hAnsi="Arial" w:cs="Arial"/>
          <w:noProof/>
        </w:rPr>
        <w:tab/>
        <w:t>Yu, D.</w:t>
      </w:r>
      <w:r w:rsidRPr="00836DFC">
        <w:rPr>
          <w:rFonts w:ascii="Arial" w:hAnsi="Arial" w:cs="Arial"/>
          <w:i/>
          <w:noProof/>
        </w:rPr>
        <w:t xml:space="preserve"> et al.</w:t>
      </w:r>
      <w:r w:rsidRPr="00836DFC">
        <w:rPr>
          <w:rFonts w:ascii="Arial" w:hAnsi="Arial" w:cs="Arial"/>
          <w:noProof/>
        </w:rPr>
        <w:t xml:space="preserve"> Controlled functionalization of carbonaceous fibers for asymmetric solid</w:t>
      </w:r>
      <w:r w:rsidRPr="00836DFC">
        <w:rPr>
          <w:rFonts w:ascii="Microsoft YaHei" w:eastAsia="Microsoft YaHei" w:hAnsi="Microsoft YaHei" w:cs="Microsoft YaHei" w:hint="eastAsia"/>
          <w:noProof/>
        </w:rPr>
        <w:t>‐</w:t>
      </w:r>
      <w:r w:rsidRPr="00836DFC">
        <w:rPr>
          <w:rFonts w:ascii="Arial" w:hAnsi="Arial" w:cs="Arial"/>
          <w:noProof/>
        </w:rPr>
        <w:t>state micro</w:t>
      </w:r>
      <w:r w:rsidRPr="00836DFC">
        <w:rPr>
          <w:rFonts w:ascii="Microsoft YaHei" w:eastAsia="Microsoft YaHei" w:hAnsi="Microsoft YaHei" w:cs="Microsoft YaHei" w:hint="eastAsia"/>
          <w:noProof/>
        </w:rPr>
        <w:t>‐</w:t>
      </w:r>
      <w:r w:rsidRPr="00836DFC">
        <w:rPr>
          <w:rFonts w:ascii="Arial" w:hAnsi="Arial" w:cs="Arial"/>
          <w:noProof/>
        </w:rPr>
        <w:t xml:space="preserve">supercapacitors with high volumetric energy density. </w:t>
      </w:r>
      <w:r w:rsidRPr="00836DFC">
        <w:rPr>
          <w:rFonts w:ascii="Arial" w:hAnsi="Arial" w:cs="Arial"/>
          <w:i/>
          <w:noProof/>
        </w:rPr>
        <w:t>Adv. Mater.</w:t>
      </w:r>
      <w:r w:rsidRPr="00836DFC">
        <w:rPr>
          <w:rFonts w:ascii="Arial" w:hAnsi="Arial" w:cs="Arial"/>
          <w:noProof/>
        </w:rPr>
        <w:t xml:space="preserve"> </w:t>
      </w:r>
      <w:r w:rsidRPr="00836DFC">
        <w:rPr>
          <w:rFonts w:ascii="Arial" w:hAnsi="Arial" w:cs="Arial"/>
          <w:b/>
          <w:noProof/>
        </w:rPr>
        <w:t>26</w:t>
      </w:r>
      <w:r w:rsidRPr="00836DFC">
        <w:rPr>
          <w:rFonts w:ascii="Arial" w:hAnsi="Arial" w:cs="Arial"/>
          <w:noProof/>
        </w:rPr>
        <w:t>, 6790-6797 (2014).</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17</w:t>
      </w:r>
      <w:r w:rsidRPr="00836DFC">
        <w:rPr>
          <w:rFonts w:ascii="Arial" w:hAnsi="Arial" w:cs="Arial"/>
          <w:noProof/>
        </w:rPr>
        <w:tab/>
        <w:t>Xie, Y.</w:t>
      </w:r>
      <w:r w:rsidRPr="00836DFC">
        <w:rPr>
          <w:rFonts w:ascii="Arial" w:hAnsi="Arial" w:cs="Arial"/>
          <w:i/>
          <w:noProof/>
        </w:rPr>
        <w:t xml:space="preserve"> et al.</w:t>
      </w:r>
      <w:r w:rsidRPr="00836DFC">
        <w:rPr>
          <w:rFonts w:ascii="Arial" w:hAnsi="Arial" w:cs="Arial"/>
          <w:noProof/>
        </w:rPr>
        <w:t xml:space="preserve"> High-voltage asymmetric MXene-based on-chip micro-supercapacitors. </w:t>
      </w:r>
      <w:r w:rsidRPr="00836DFC">
        <w:rPr>
          <w:rFonts w:ascii="Arial" w:hAnsi="Arial" w:cs="Arial"/>
          <w:i/>
          <w:noProof/>
        </w:rPr>
        <w:t>Nano Energy</w:t>
      </w:r>
      <w:r w:rsidRPr="00836DFC">
        <w:rPr>
          <w:rFonts w:ascii="Arial" w:hAnsi="Arial" w:cs="Arial"/>
          <w:noProof/>
        </w:rPr>
        <w:t xml:space="preserve"> </w:t>
      </w:r>
      <w:r w:rsidRPr="00836DFC">
        <w:rPr>
          <w:rFonts w:ascii="Arial" w:hAnsi="Arial" w:cs="Arial"/>
          <w:b/>
          <w:noProof/>
        </w:rPr>
        <w:t>74</w:t>
      </w:r>
      <w:r w:rsidRPr="00836DFC">
        <w:rPr>
          <w:rFonts w:ascii="Arial" w:hAnsi="Arial" w:cs="Arial"/>
          <w:noProof/>
        </w:rPr>
        <w:t>, 104928, doi:</w:t>
      </w:r>
      <w:hyperlink r:id="rId20" w:history="1">
        <w:r w:rsidRPr="00836DFC">
          <w:rPr>
            <w:rStyle w:val="af1"/>
            <w:rFonts w:ascii="Arial" w:hAnsi="Arial" w:cs="Arial"/>
            <w:noProof/>
          </w:rPr>
          <w:t>https://doi.org/10.1016/j.nanoen.2020.104928</w:t>
        </w:r>
      </w:hyperlink>
      <w:r w:rsidRPr="00836DFC">
        <w:rPr>
          <w:rFonts w:ascii="Arial" w:hAnsi="Arial" w:cs="Arial"/>
          <w:noProof/>
        </w:rPr>
        <w:t xml:space="preserve"> (2020).</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18</w:t>
      </w:r>
      <w:r w:rsidRPr="00836DFC">
        <w:rPr>
          <w:rFonts w:ascii="Arial" w:hAnsi="Arial" w:cs="Arial"/>
          <w:noProof/>
        </w:rPr>
        <w:tab/>
        <w:t>He, Y.</w:t>
      </w:r>
      <w:r w:rsidRPr="00836DFC">
        <w:rPr>
          <w:rFonts w:ascii="Arial" w:hAnsi="Arial" w:cs="Arial"/>
          <w:i/>
          <w:noProof/>
        </w:rPr>
        <w:t xml:space="preserve"> et al.</w:t>
      </w:r>
      <w:r w:rsidRPr="00836DFC">
        <w:rPr>
          <w:rFonts w:ascii="Arial" w:hAnsi="Arial" w:cs="Arial"/>
          <w:noProof/>
        </w:rPr>
        <w:t xml:space="preserve"> Nano-sandwiched metal hexacyanoferrate/graphene hybrid thin films for in-plane asymmetric micro-supercapacitors with ultrahigh energy density. </w:t>
      </w:r>
      <w:r w:rsidRPr="00836DFC">
        <w:rPr>
          <w:rFonts w:ascii="Arial" w:hAnsi="Arial" w:cs="Arial"/>
          <w:i/>
          <w:noProof/>
        </w:rPr>
        <w:t>Mater. Horiz.</w:t>
      </w:r>
      <w:r w:rsidRPr="00836DFC">
        <w:rPr>
          <w:rFonts w:ascii="Arial" w:hAnsi="Arial" w:cs="Arial"/>
          <w:noProof/>
        </w:rPr>
        <w:t xml:space="preserve"> </w:t>
      </w:r>
      <w:r w:rsidRPr="00836DFC">
        <w:rPr>
          <w:rFonts w:ascii="Arial" w:hAnsi="Arial" w:cs="Arial"/>
          <w:b/>
          <w:noProof/>
        </w:rPr>
        <w:t>6</w:t>
      </w:r>
      <w:r w:rsidRPr="00836DFC">
        <w:rPr>
          <w:rFonts w:ascii="Arial" w:hAnsi="Arial" w:cs="Arial"/>
          <w:noProof/>
        </w:rPr>
        <w:t>, 1041-1049 (2019).</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19</w:t>
      </w:r>
      <w:r w:rsidRPr="00836DFC">
        <w:rPr>
          <w:rFonts w:ascii="Arial" w:hAnsi="Arial" w:cs="Arial"/>
          <w:noProof/>
        </w:rPr>
        <w:tab/>
        <w:t xml:space="preserve">Qiu, M., Sun, P., Cui, G., Tong, Y. &amp; Mai, W. A flexible microsupercapacitor with integral photocatalytic fuel cell for self-charging. </w:t>
      </w:r>
      <w:r w:rsidRPr="00836DFC">
        <w:rPr>
          <w:rFonts w:ascii="Arial" w:hAnsi="Arial" w:cs="Arial"/>
          <w:i/>
          <w:noProof/>
        </w:rPr>
        <w:t>ACS Nano</w:t>
      </w:r>
      <w:r w:rsidRPr="00836DFC">
        <w:rPr>
          <w:rFonts w:ascii="Arial" w:hAnsi="Arial" w:cs="Arial"/>
          <w:noProof/>
        </w:rPr>
        <w:t xml:space="preserve"> </w:t>
      </w:r>
      <w:r w:rsidRPr="00836DFC">
        <w:rPr>
          <w:rFonts w:ascii="Arial" w:hAnsi="Arial" w:cs="Arial"/>
          <w:b/>
          <w:noProof/>
        </w:rPr>
        <w:t>13</w:t>
      </w:r>
      <w:r w:rsidRPr="00836DFC">
        <w:rPr>
          <w:rFonts w:ascii="Arial" w:hAnsi="Arial" w:cs="Arial"/>
          <w:noProof/>
        </w:rPr>
        <w:t>, 8246-8255 (2019).</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20</w:t>
      </w:r>
      <w:r w:rsidRPr="00836DFC">
        <w:rPr>
          <w:rFonts w:ascii="Arial" w:hAnsi="Arial" w:cs="Arial"/>
          <w:noProof/>
        </w:rPr>
        <w:tab/>
        <w:t>Wang, S., Wu, Z. S., Feng, Z., Shi, X. &amp; Bao, X. All-solid-state high-energy planar hybrid micro-supercapacitors based on 2D VN nanosheets and Co(OH)</w:t>
      </w:r>
      <w:r w:rsidRPr="00836DFC">
        <w:rPr>
          <w:rFonts w:ascii="Arial" w:hAnsi="Arial" w:cs="Arial"/>
          <w:noProof/>
          <w:vertAlign w:val="subscript"/>
        </w:rPr>
        <w:t>2</w:t>
      </w:r>
      <w:r w:rsidRPr="00836DFC">
        <w:rPr>
          <w:rFonts w:ascii="Arial" w:hAnsi="Arial" w:cs="Arial"/>
          <w:noProof/>
        </w:rPr>
        <w:t xml:space="preserve"> nanoflowers. </w:t>
      </w:r>
      <w:r w:rsidRPr="00836DFC">
        <w:rPr>
          <w:rFonts w:ascii="Arial" w:hAnsi="Arial" w:cs="Arial"/>
          <w:i/>
          <w:noProof/>
        </w:rPr>
        <w:t>opj 2D Materials and Applications</w:t>
      </w:r>
      <w:r w:rsidRPr="00836DFC">
        <w:rPr>
          <w:rFonts w:ascii="Arial" w:hAnsi="Arial" w:cs="Arial"/>
          <w:noProof/>
        </w:rPr>
        <w:t xml:space="preserve"> </w:t>
      </w:r>
      <w:r w:rsidRPr="00836DFC">
        <w:rPr>
          <w:rFonts w:ascii="Arial" w:hAnsi="Arial" w:cs="Arial"/>
          <w:b/>
          <w:noProof/>
        </w:rPr>
        <w:t>2</w:t>
      </w:r>
      <w:r w:rsidRPr="00836DFC">
        <w:rPr>
          <w:rFonts w:ascii="Arial" w:hAnsi="Arial" w:cs="Arial"/>
          <w:noProof/>
        </w:rPr>
        <w:t>, 1-8 (2018).</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21</w:t>
      </w:r>
      <w:r w:rsidRPr="00836DFC">
        <w:rPr>
          <w:rFonts w:ascii="Arial" w:hAnsi="Arial" w:cs="Arial"/>
          <w:noProof/>
        </w:rPr>
        <w:tab/>
        <w:t>Zhao, F.</w:t>
      </w:r>
      <w:r w:rsidRPr="00836DFC">
        <w:rPr>
          <w:rFonts w:ascii="Arial" w:hAnsi="Arial" w:cs="Arial"/>
          <w:i/>
          <w:noProof/>
        </w:rPr>
        <w:t xml:space="preserve"> et al.</w:t>
      </w:r>
      <w:r w:rsidRPr="00836DFC">
        <w:rPr>
          <w:rFonts w:ascii="Arial" w:hAnsi="Arial" w:cs="Arial"/>
          <w:noProof/>
        </w:rPr>
        <w:t xml:space="preserve"> All two-dimensional pseudocapacitive sheet materials for flexible asymmetric solid-state planar microsupercapacitors with high energy density. </w:t>
      </w:r>
      <w:r w:rsidRPr="00836DFC">
        <w:rPr>
          <w:rFonts w:ascii="Arial" w:hAnsi="Arial" w:cs="Arial"/>
          <w:i/>
          <w:noProof/>
        </w:rPr>
        <w:t>ACS Nano</w:t>
      </w:r>
      <w:r w:rsidRPr="00836DFC">
        <w:rPr>
          <w:rFonts w:ascii="Arial" w:hAnsi="Arial" w:cs="Arial"/>
          <w:noProof/>
        </w:rPr>
        <w:t xml:space="preserve"> </w:t>
      </w:r>
      <w:r w:rsidRPr="00836DFC">
        <w:rPr>
          <w:rFonts w:ascii="Arial" w:hAnsi="Arial" w:cs="Arial"/>
          <w:b/>
          <w:noProof/>
        </w:rPr>
        <w:t>14</w:t>
      </w:r>
      <w:r w:rsidRPr="00836DFC">
        <w:rPr>
          <w:rFonts w:ascii="Arial" w:hAnsi="Arial" w:cs="Arial"/>
          <w:noProof/>
        </w:rPr>
        <w:t>, 603-610, doi:10.1021/acsnano.9b07183 (2020).</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22</w:t>
      </w:r>
      <w:r w:rsidRPr="00836DFC">
        <w:rPr>
          <w:rFonts w:ascii="Arial" w:hAnsi="Arial" w:cs="Arial"/>
          <w:noProof/>
        </w:rPr>
        <w:tab/>
        <w:t>Elkady, M. F.</w:t>
      </w:r>
      <w:r w:rsidRPr="00836DFC">
        <w:rPr>
          <w:rFonts w:ascii="Arial" w:hAnsi="Arial" w:cs="Arial"/>
          <w:i/>
          <w:noProof/>
        </w:rPr>
        <w:t xml:space="preserve"> et al.</w:t>
      </w:r>
      <w:r w:rsidRPr="00836DFC">
        <w:rPr>
          <w:rFonts w:ascii="Arial" w:hAnsi="Arial" w:cs="Arial"/>
          <w:noProof/>
        </w:rPr>
        <w:t xml:space="preserve"> Engineering three-dimensional hybrid supercapacitors and microsupercapacitors for high-performance integrated energy storage. </w:t>
      </w:r>
      <w:r w:rsidRPr="00836DFC">
        <w:rPr>
          <w:rFonts w:ascii="Arial" w:hAnsi="Arial" w:cs="Arial"/>
          <w:i/>
          <w:noProof/>
        </w:rPr>
        <w:t>Proc. Natl. Acad. Sci. U. S. A.</w:t>
      </w:r>
      <w:r w:rsidRPr="00836DFC">
        <w:rPr>
          <w:rFonts w:ascii="Arial" w:hAnsi="Arial" w:cs="Arial"/>
          <w:noProof/>
        </w:rPr>
        <w:t xml:space="preserve"> </w:t>
      </w:r>
      <w:r w:rsidRPr="00836DFC">
        <w:rPr>
          <w:rFonts w:ascii="Arial" w:hAnsi="Arial" w:cs="Arial"/>
          <w:b/>
          <w:noProof/>
        </w:rPr>
        <w:t>112</w:t>
      </w:r>
      <w:r w:rsidRPr="00836DFC">
        <w:rPr>
          <w:rFonts w:ascii="Arial" w:hAnsi="Arial" w:cs="Arial"/>
          <w:noProof/>
        </w:rPr>
        <w:t>, 4233-4238 (2015).</w:t>
      </w:r>
    </w:p>
    <w:p w:rsidR="008B0256" w:rsidRPr="00836DFC" w:rsidRDefault="008B0256" w:rsidP="00217DB9">
      <w:pPr>
        <w:pStyle w:val="EndNoteBibliography"/>
        <w:spacing w:line="360" w:lineRule="exact"/>
        <w:ind w:left="720" w:hanging="720"/>
        <w:jc w:val="both"/>
        <w:rPr>
          <w:rFonts w:ascii="Arial" w:hAnsi="Arial" w:cs="Arial"/>
          <w:noProof/>
        </w:rPr>
      </w:pPr>
      <w:r w:rsidRPr="00836DFC">
        <w:rPr>
          <w:rFonts w:ascii="Arial" w:hAnsi="Arial" w:cs="Arial"/>
          <w:noProof/>
        </w:rPr>
        <w:t>23</w:t>
      </w:r>
      <w:r w:rsidRPr="00836DFC">
        <w:rPr>
          <w:rFonts w:ascii="Arial" w:hAnsi="Arial" w:cs="Arial"/>
          <w:noProof/>
        </w:rPr>
        <w:tab/>
        <w:t>Zhang, L.</w:t>
      </w:r>
      <w:r w:rsidRPr="00836DFC">
        <w:rPr>
          <w:rFonts w:ascii="Arial" w:hAnsi="Arial" w:cs="Arial"/>
          <w:i/>
          <w:noProof/>
        </w:rPr>
        <w:t xml:space="preserve"> et al.</w:t>
      </w:r>
      <w:r w:rsidRPr="00836DFC">
        <w:rPr>
          <w:rFonts w:ascii="Arial" w:hAnsi="Arial" w:cs="Arial"/>
          <w:noProof/>
        </w:rPr>
        <w:t xml:space="preserve"> Shape-tailorable high-energy asymmetric micro-supercapacitors based on plasma reduced and nitrogen-doped graphene oxide and MoO</w:t>
      </w:r>
      <w:r w:rsidRPr="00836DFC">
        <w:rPr>
          <w:rFonts w:ascii="Arial" w:hAnsi="Arial" w:cs="Arial"/>
          <w:noProof/>
          <w:vertAlign w:val="subscript"/>
        </w:rPr>
        <w:t>2</w:t>
      </w:r>
      <w:r w:rsidRPr="00836DFC">
        <w:rPr>
          <w:rFonts w:ascii="Arial" w:hAnsi="Arial" w:cs="Arial"/>
          <w:noProof/>
        </w:rPr>
        <w:t xml:space="preserve"> nanoparticles. </w:t>
      </w:r>
      <w:r w:rsidRPr="00836DFC">
        <w:rPr>
          <w:rFonts w:ascii="Arial" w:hAnsi="Arial" w:cs="Arial"/>
          <w:i/>
          <w:noProof/>
        </w:rPr>
        <w:t>J. Mater. Chem. A</w:t>
      </w:r>
      <w:r w:rsidRPr="00836DFC">
        <w:rPr>
          <w:rFonts w:ascii="Arial" w:hAnsi="Arial" w:cs="Arial"/>
          <w:noProof/>
        </w:rPr>
        <w:t xml:space="preserve"> </w:t>
      </w:r>
      <w:r w:rsidRPr="00836DFC">
        <w:rPr>
          <w:rFonts w:ascii="Arial" w:hAnsi="Arial" w:cs="Arial"/>
          <w:b/>
          <w:noProof/>
        </w:rPr>
        <w:t>7</w:t>
      </w:r>
      <w:r w:rsidRPr="00836DFC">
        <w:rPr>
          <w:rFonts w:ascii="Arial" w:hAnsi="Arial" w:cs="Arial"/>
          <w:noProof/>
        </w:rPr>
        <w:t>, 14328-14336, doi:10.1039/C9TA03620B (2019).</w:t>
      </w:r>
    </w:p>
    <w:p w:rsidR="008C7C36" w:rsidRDefault="00FB3F1E" w:rsidP="00387BA4">
      <w:pPr>
        <w:spacing w:line="360" w:lineRule="auto"/>
        <w:rPr>
          <w:rFonts w:ascii="Arial" w:hAnsi="Arial" w:cs="Arial"/>
          <w:sz w:val="24"/>
          <w:szCs w:val="24"/>
        </w:rPr>
      </w:pPr>
      <w:r w:rsidRPr="00836DFC">
        <w:rPr>
          <w:rFonts w:ascii="Arial" w:hAnsi="Arial" w:cs="Arial"/>
          <w:sz w:val="24"/>
          <w:szCs w:val="24"/>
        </w:rPr>
        <w:fldChar w:fldCharType="end"/>
      </w:r>
      <w:bookmarkEnd w:id="0"/>
    </w:p>
    <w:sectPr w:rsidR="008C7C36">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362" w:rsidRDefault="00420362" w:rsidP="00A66124">
      <w:r>
        <w:separator/>
      </w:r>
    </w:p>
  </w:endnote>
  <w:endnote w:type="continuationSeparator" w:id="0">
    <w:p w:rsidR="00420362" w:rsidRDefault="00420362" w:rsidP="00A6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26133"/>
      <w:docPartObj>
        <w:docPartGallery w:val="Page Numbers (Bottom of Page)"/>
        <w:docPartUnique/>
      </w:docPartObj>
    </w:sdtPr>
    <w:sdtEndPr/>
    <w:sdtContent>
      <w:p w:rsidR="00B74331" w:rsidRDefault="00B74331">
        <w:pPr>
          <w:pStyle w:val="a7"/>
          <w:jc w:val="right"/>
        </w:pPr>
        <w:r>
          <w:fldChar w:fldCharType="begin"/>
        </w:r>
        <w:r>
          <w:instrText>PAGE   \* MERGEFORMAT</w:instrText>
        </w:r>
        <w:r>
          <w:fldChar w:fldCharType="separate"/>
        </w:r>
        <w:r w:rsidR="003236FD" w:rsidRPr="003236FD">
          <w:rPr>
            <w:noProof/>
            <w:lang w:val="zh-CN"/>
          </w:rPr>
          <w:t>9</w:t>
        </w:r>
        <w:r>
          <w:fldChar w:fldCharType="end"/>
        </w:r>
      </w:p>
    </w:sdtContent>
  </w:sdt>
  <w:p w:rsidR="00B74331" w:rsidRDefault="00B7433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362" w:rsidRDefault="00420362" w:rsidP="00A66124">
      <w:r>
        <w:separator/>
      </w:r>
    </w:p>
  </w:footnote>
  <w:footnote w:type="continuationSeparator" w:id="0">
    <w:p w:rsidR="00420362" w:rsidRDefault="00420362" w:rsidP="00A661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20520x8wddrqe0zeox90s6dvppr0xe0zpa&quot;&gt;My EndNote Library&lt;record-ids&gt;&lt;item&gt;269&lt;/item&gt;&lt;item&gt;270&lt;/item&gt;&lt;item&gt;271&lt;/item&gt;&lt;item&gt;272&lt;/item&gt;&lt;item&gt;273&lt;/item&gt;&lt;item&gt;274&lt;/item&gt;&lt;item&gt;275&lt;/item&gt;&lt;item&gt;276&lt;/item&gt;&lt;item&gt;277&lt;/item&gt;&lt;item&gt;278&lt;/item&gt;&lt;item&gt;279&lt;/item&gt;&lt;item&gt;280&lt;/item&gt;&lt;item&gt;281&lt;/item&gt;&lt;item&gt;460&lt;/item&gt;&lt;item&gt;538&lt;/item&gt;&lt;item&gt;539&lt;/item&gt;&lt;item&gt;540&lt;/item&gt;&lt;item&gt;541&lt;/item&gt;&lt;item&gt;542&lt;/item&gt;&lt;item&gt;543&lt;/item&gt;&lt;item&gt;544&lt;/item&gt;&lt;item&gt;545&lt;/item&gt;&lt;item&gt;546&lt;/item&gt;&lt;/record-ids&gt;&lt;/item&gt;&lt;/Libraries&gt;"/>
  </w:docVars>
  <w:rsids>
    <w:rsidRoot w:val="00B91AAE"/>
    <w:rsid w:val="00001A0F"/>
    <w:rsid w:val="00016532"/>
    <w:rsid w:val="00016681"/>
    <w:rsid w:val="00017F40"/>
    <w:rsid w:val="00043CCB"/>
    <w:rsid w:val="00052F30"/>
    <w:rsid w:val="0006250A"/>
    <w:rsid w:val="000713FA"/>
    <w:rsid w:val="00071F70"/>
    <w:rsid w:val="000760DD"/>
    <w:rsid w:val="00082C4C"/>
    <w:rsid w:val="00087539"/>
    <w:rsid w:val="000A0B26"/>
    <w:rsid w:val="000B1299"/>
    <w:rsid w:val="000B5CC0"/>
    <w:rsid w:val="000D08A0"/>
    <w:rsid w:val="000D334A"/>
    <w:rsid w:val="000D4BE4"/>
    <w:rsid w:val="000E102F"/>
    <w:rsid w:val="000E288B"/>
    <w:rsid w:val="000E2920"/>
    <w:rsid w:val="000F47DF"/>
    <w:rsid w:val="00101B27"/>
    <w:rsid w:val="00101CD3"/>
    <w:rsid w:val="00120DD2"/>
    <w:rsid w:val="0013067E"/>
    <w:rsid w:val="00132B0B"/>
    <w:rsid w:val="00132BB4"/>
    <w:rsid w:val="0013402C"/>
    <w:rsid w:val="0013421C"/>
    <w:rsid w:val="00134BD2"/>
    <w:rsid w:val="001421B4"/>
    <w:rsid w:val="0014252B"/>
    <w:rsid w:val="00142B62"/>
    <w:rsid w:val="001457F0"/>
    <w:rsid w:val="001477DC"/>
    <w:rsid w:val="00154450"/>
    <w:rsid w:val="00164BF3"/>
    <w:rsid w:val="00164C89"/>
    <w:rsid w:val="00167B5C"/>
    <w:rsid w:val="00167FE8"/>
    <w:rsid w:val="001725CD"/>
    <w:rsid w:val="00180421"/>
    <w:rsid w:val="001859A3"/>
    <w:rsid w:val="001902DC"/>
    <w:rsid w:val="0019403B"/>
    <w:rsid w:val="00196A29"/>
    <w:rsid w:val="001A1C61"/>
    <w:rsid w:val="001B2CB7"/>
    <w:rsid w:val="001B3D69"/>
    <w:rsid w:val="001C4DF7"/>
    <w:rsid w:val="001D13AA"/>
    <w:rsid w:val="001D3F1A"/>
    <w:rsid w:val="001D5F24"/>
    <w:rsid w:val="001D6DE2"/>
    <w:rsid w:val="001E289C"/>
    <w:rsid w:val="00201FC6"/>
    <w:rsid w:val="00206803"/>
    <w:rsid w:val="00212CB9"/>
    <w:rsid w:val="0021549F"/>
    <w:rsid w:val="00217A31"/>
    <w:rsid w:val="00217DB9"/>
    <w:rsid w:val="00225EFE"/>
    <w:rsid w:val="00226457"/>
    <w:rsid w:val="00230ED1"/>
    <w:rsid w:val="00232EF5"/>
    <w:rsid w:val="00235B6F"/>
    <w:rsid w:val="002401D3"/>
    <w:rsid w:val="002442D6"/>
    <w:rsid w:val="002500C4"/>
    <w:rsid w:val="00250A22"/>
    <w:rsid w:val="00255894"/>
    <w:rsid w:val="002617E6"/>
    <w:rsid w:val="002641AE"/>
    <w:rsid w:val="00271129"/>
    <w:rsid w:val="00276EF7"/>
    <w:rsid w:val="002871DC"/>
    <w:rsid w:val="002A2435"/>
    <w:rsid w:val="002A324E"/>
    <w:rsid w:val="002A32A2"/>
    <w:rsid w:val="002A5451"/>
    <w:rsid w:val="002C5898"/>
    <w:rsid w:val="002D3181"/>
    <w:rsid w:val="002D73A8"/>
    <w:rsid w:val="002E79E8"/>
    <w:rsid w:val="002F7587"/>
    <w:rsid w:val="00302877"/>
    <w:rsid w:val="003236FD"/>
    <w:rsid w:val="003314BA"/>
    <w:rsid w:val="00357C35"/>
    <w:rsid w:val="003606EE"/>
    <w:rsid w:val="00362E4E"/>
    <w:rsid w:val="003665E6"/>
    <w:rsid w:val="00370818"/>
    <w:rsid w:val="00384BAE"/>
    <w:rsid w:val="00387BA4"/>
    <w:rsid w:val="00391A4F"/>
    <w:rsid w:val="003A6854"/>
    <w:rsid w:val="003B1AD3"/>
    <w:rsid w:val="003C6736"/>
    <w:rsid w:val="003C7348"/>
    <w:rsid w:val="003C73A8"/>
    <w:rsid w:val="003D135C"/>
    <w:rsid w:val="003D1BC5"/>
    <w:rsid w:val="003D599F"/>
    <w:rsid w:val="003D6634"/>
    <w:rsid w:val="003D66A7"/>
    <w:rsid w:val="003E0D0F"/>
    <w:rsid w:val="003E166C"/>
    <w:rsid w:val="0040384D"/>
    <w:rsid w:val="00404FF8"/>
    <w:rsid w:val="0040750A"/>
    <w:rsid w:val="00413CAA"/>
    <w:rsid w:val="00420362"/>
    <w:rsid w:val="0042318F"/>
    <w:rsid w:val="004241B7"/>
    <w:rsid w:val="00425446"/>
    <w:rsid w:val="004326F6"/>
    <w:rsid w:val="00435869"/>
    <w:rsid w:val="004423FE"/>
    <w:rsid w:val="00445BEA"/>
    <w:rsid w:val="00446620"/>
    <w:rsid w:val="00453096"/>
    <w:rsid w:val="00461CD9"/>
    <w:rsid w:val="0047053E"/>
    <w:rsid w:val="00482235"/>
    <w:rsid w:val="004A348E"/>
    <w:rsid w:val="004B6457"/>
    <w:rsid w:val="004D1E8C"/>
    <w:rsid w:val="004D2473"/>
    <w:rsid w:val="004D5A06"/>
    <w:rsid w:val="004E753D"/>
    <w:rsid w:val="00500B71"/>
    <w:rsid w:val="00501D33"/>
    <w:rsid w:val="00515470"/>
    <w:rsid w:val="005262C9"/>
    <w:rsid w:val="00527FBE"/>
    <w:rsid w:val="005306EA"/>
    <w:rsid w:val="00536863"/>
    <w:rsid w:val="00541DB8"/>
    <w:rsid w:val="00546A80"/>
    <w:rsid w:val="005508FD"/>
    <w:rsid w:val="005526A5"/>
    <w:rsid w:val="005563F8"/>
    <w:rsid w:val="00557FCC"/>
    <w:rsid w:val="0056798E"/>
    <w:rsid w:val="005727F1"/>
    <w:rsid w:val="0057601C"/>
    <w:rsid w:val="005A5910"/>
    <w:rsid w:val="005B0E47"/>
    <w:rsid w:val="005B5313"/>
    <w:rsid w:val="005C18AB"/>
    <w:rsid w:val="005C2449"/>
    <w:rsid w:val="005D2555"/>
    <w:rsid w:val="005D5820"/>
    <w:rsid w:val="005E0D4B"/>
    <w:rsid w:val="005F1A75"/>
    <w:rsid w:val="00617869"/>
    <w:rsid w:val="0062143C"/>
    <w:rsid w:val="006244D6"/>
    <w:rsid w:val="00632023"/>
    <w:rsid w:val="00632366"/>
    <w:rsid w:val="00637BD3"/>
    <w:rsid w:val="006434C7"/>
    <w:rsid w:val="00655020"/>
    <w:rsid w:val="00661713"/>
    <w:rsid w:val="00664210"/>
    <w:rsid w:val="0067365E"/>
    <w:rsid w:val="006903AA"/>
    <w:rsid w:val="006A3364"/>
    <w:rsid w:val="006A354F"/>
    <w:rsid w:val="006B43FC"/>
    <w:rsid w:val="006B5B39"/>
    <w:rsid w:val="006B73B1"/>
    <w:rsid w:val="006B7EF3"/>
    <w:rsid w:val="006C284B"/>
    <w:rsid w:val="006D403B"/>
    <w:rsid w:val="006D5521"/>
    <w:rsid w:val="006D5FC4"/>
    <w:rsid w:val="006E2347"/>
    <w:rsid w:val="006E5F78"/>
    <w:rsid w:val="006E6166"/>
    <w:rsid w:val="006F243F"/>
    <w:rsid w:val="006F3113"/>
    <w:rsid w:val="006F6EF7"/>
    <w:rsid w:val="007015FE"/>
    <w:rsid w:val="00707309"/>
    <w:rsid w:val="00712652"/>
    <w:rsid w:val="00751ACA"/>
    <w:rsid w:val="00754555"/>
    <w:rsid w:val="0076000E"/>
    <w:rsid w:val="007653F0"/>
    <w:rsid w:val="00774A84"/>
    <w:rsid w:val="007806AE"/>
    <w:rsid w:val="00791724"/>
    <w:rsid w:val="00793364"/>
    <w:rsid w:val="00793B06"/>
    <w:rsid w:val="007A3B16"/>
    <w:rsid w:val="007A795F"/>
    <w:rsid w:val="007B232D"/>
    <w:rsid w:val="007B7EC7"/>
    <w:rsid w:val="007C1A90"/>
    <w:rsid w:val="007D0349"/>
    <w:rsid w:val="007D7550"/>
    <w:rsid w:val="0080379E"/>
    <w:rsid w:val="00805EB8"/>
    <w:rsid w:val="00807FDA"/>
    <w:rsid w:val="00813703"/>
    <w:rsid w:val="00830AF5"/>
    <w:rsid w:val="0083389F"/>
    <w:rsid w:val="00836DFC"/>
    <w:rsid w:val="0085464D"/>
    <w:rsid w:val="00854E63"/>
    <w:rsid w:val="008569E2"/>
    <w:rsid w:val="0086545F"/>
    <w:rsid w:val="00871D80"/>
    <w:rsid w:val="008771C4"/>
    <w:rsid w:val="00880DD1"/>
    <w:rsid w:val="00881EAF"/>
    <w:rsid w:val="00885283"/>
    <w:rsid w:val="008A13BE"/>
    <w:rsid w:val="008A1DAB"/>
    <w:rsid w:val="008A50A4"/>
    <w:rsid w:val="008A5BAD"/>
    <w:rsid w:val="008B0256"/>
    <w:rsid w:val="008B36A2"/>
    <w:rsid w:val="008B4DDA"/>
    <w:rsid w:val="008B5378"/>
    <w:rsid w:val="008C6BB0"/>
    <w:rsid w:val="008C7C36"/>
    <w:rsid w:val="008D097A"/>
    <w:rsid w:val="008D48DF"/>
    <w:rsid w:val="008D6E5A"/>
    <w:rsid w:val="008D73BB"/>
    <w:rsid w:val="008E00E0"/>
    <w:rsid w:val="008E210C"/>
    <w:rsid w:val="008E5A9D"/>
    <w:rsid w:val="008F13E3"/>
    <w:rsid w:val="008F2AAA"/>
    <w:rsid w:val="008F6984"/>
    <w:rsid w:val="00902F88"/>
    <w:rsid w:val="00920DA7"/>
    <w:rsid w:val="00921314"/>
    <w:rsid w:val="009214EA"/>
    <w:rsid w:val="00924383"/>
    <w:rsid w:val="009260EE"/>
    <w:rsid w:val="00927281"/>
    <w:rsid w:val="00933362"/>
    <w:rsid w:val="00944875"/>
    <w:rsid w:val="00950FE7"/>
    <w:rsid w:val="00956C84"/>
    <w:rsid w:val="00957D7C"/>
    <w:rsid w:val="00963554"/>
    <w:rsid w:val="00967CD8"/>
    <w:rsid w:val="00977C2E"/>
    <w:rsid w:val="009A040C"/>
    <w:rsid w:val="009A4148"/>
    <w:rsid w:val="009B1575"/>
    <w:rsid w:val="009B47B5"/>
    <w:rsid w:val="009C2BB8"/>
    <w:rsid w:val="009D1769"/>
    <w:rsid w:val="009D2E01"/>
    <w:rsid w:val="009E44AC"/>
    <w:rsid w:val="009E6B35"/>
    <w:rsid w:val="009F5815"/>
    <w:rsid w:val="00A06AE9"/>
    <w:rsid w:val="00A07F16"/>
    <w:rsid w:val="00A10C8A"/>
    <w:rsid w:val="00A13768"/>
    <w:rsid w:val="00A16C06"/>
    <w:rsid w:val="00A16D3D"/>
    <w:rsid w:val="00A2225A"/>
    <w:rsid w:val="00A31BB0"/>
    <w:rsid w:val="00A4138A"/>
    <w:rsid w:val="00A43814"/>
    <w:rsid w:val="00A635EB"/>
    <w:rsid w:val="00A654CD"/>
    <w:rsid w:val="00A66124"/>
    <w:rsid w:val="00A73327"/>
    <w:rsid w:val="00A75E5F"/>
    <w:rsid w:val="00A815AF"/>
    <w:rsid w:val="00A82319"/>
    <w:rsid w:val="00A83A3E"/>
    <w:rsid w:val="00A856F0"/>
    <w:rsid w:val="00A867B1"/>
    <w:rsid w:val="00A87385"/>
    <w:rsid w:val="00A9221E"/>
    <w:rsid w:val="00AA0FF3"/>
    <w:rsid w:val="00AA4D59"/>
    <w:rsid w:val="00AA5299"/>
    <w:rsid w:val="00AB3004"/>
    <w:rsid w:val="00AC3DC4"/>
    <w:rsid w:val="00AC64BF"/>
    <w:rsid w:val="00AD0EC0"/>
    <w:rsid w:val="00AD17B7"/>
    <w:rsid w:val="00AD1CDD"/>
    <w:rsid w:val="00AD42FB"/>
    <w:rsid w:val="00AE21F7"/>
    <w:rsid w:val="00AE7000"/>
    <w:rsid w:val="00B0174D"/>
    <w:rsid w:val="00B057AE"/>
    <w:rsid w:val="00B1031B"/>
    <w:rsid w:val="00B1730D"/>
    <w:rsid w:val="00B20907"/>
    <w:rsid w:val="00B21252"/>
    <w:rsid w:val="00B23E51"/>
    <w:rsid w:val="00B23E96"/>
    <w:rsid w:val="00B27D1E"/>
    <w:rsid w:val="00B31573"/>
    <w:rsid w:val="00B3427E"/>
    <w:rsid w:val="00B43DC1"/>
    <w:rsid w:val="00B4767A"/>
    <w:rsid w:val="00B51715"/>
    <w:rsid w:val="00B5241E"/>
    <w:rsid w:val="00B63F7D"/>
    <w:rsid w:val="00B70467"/>
    <w:rsid w:val="00B74331"/>
    <w:rsid w:val="00B84353"/>
    <w:rsid w:val="00B86801"/>
    <w:rsid w:val="00B91AAE"/>
    <w:rsid w:val="00B92186"/>
    <w:rsid w:val="00B96171"/>
    <w:rsid w:val="00BA375D"/>
    <w:rsid w:val="00BB0816"/>
    <w:rsid w:val="00BB39EA"/>
    <w:rsid w:val="00BC4B6F"/>
    <w:rsid w:val="00BD236B"/>
    <w:rsid w:val="00BD24CF"/>
    <w:rsid w:val="00BD37C7"/>
    <w:rsid w:val="00BD4B66"/>
    <w:rsid w:val="00BD79F2"/>
    <w:rsid w:val="00BE75B8"/>
    <w:rsid w:val="00C10C7A"/>
    <w:rsid w:val="00C118A0"/>
    <w:rsid w:val="00C12D09"/>
    <w:rsid w:val="00C22D43"/>
    <w:rsid w:val="00C26B34"/>
    <w:rsid w:val="00C33850"/>
    <w:rsid w:val="00C33F1D"/>
    <w:rsid w:val="00C36776"/>
    <w:rsid w:val="00C36893"/>
    <w:rsid w:val="00C46A63"/>
    <w:rsid w:val="00C6127A"/>
    <w:rsid w:val="00C6516D"/>
    <w:rsid w:val="00C66A22"/>
    <w:rsid w:val="00C7029E"/>
    <w:rsid w:val="00C726AE"/>
    <w:rsid w:val="00C743AE"/>
    <w:rsid w:val="00C773F1"/>
    <w:rsid w:val="00C8676E"/>
    <w:rsid w:val="00C86CA1"/>
    <w:rsid w:val="00C91543"/>
    <w:rsid w:val="00CA054C"/>
    <w:rsid w:val="00CA7301"/>
    <w:rsid w:val="00CC0E8B"/>
    <w:rsid w:val="00CC45D8"/>
    <w:rsid w:val="00CD2AAC"/>
    <w:rsid w:val="00CD2B01"/>
    <w:rsid w:val="00CD4DB0"/>
    <w:rsid w:val="00CD65E2"/>
    <w:rsid w:val="00CD7500"/>
    <w:rsid w:val="00CF36A5"/>
    <w:rsid w:val="00CF3FDC"/>
    <w:rsid w:val="00CF779E"/>
    <w:rsid w:val="00D112D4"/>
    <w:rsid w:val="00D3271E"/>
    <w:rsid w:val="00D336C9"/>
    <w:rsid w:val="00D34380"/>
    <w:rsid w:val="00D34802"/>
    <w:rsid w:val="00D43A23"/>
    <w:rsid w:val="00D459B2"/>
    <w:rsid w:val="00D61EE6"/>
    <w:rsid w:val="00D65344"/>
    <w:rsid w:val="00D65BA1"/>
    <w:rsid w:val="00D73E91"/>
    <w:rsid w:val="00D777CC"/>
    <w:rsid w:val="00D80A7B"/>
    <w:rsid w:val="00D859CC"/>
    <w:rsid w:val="00D86643"/>
    <w:rsid w:val="00D92F93"/>
    <w:rsid w:val="00D969B5"/>
    <w:rsid w:val="00DA06A1"/>
    <w:rsid w:val="00DB3C3B"/>
    <w:rsid w:val="00DB5020"/>
    <w:rsid w:val="00DB7E85"/>
    <w:rsid w:val="00DD052B"/>
    <w:rsid w:val="00DE3BA9"/>
    <w:rsid w:val="00DF0923"/>
    <w:rsid w:val="00DF27BE"/>
    <w:rsid w:val="00DF3AB6"/>
    <w:rsid w:val="00DF5826"/>
    <w:rsid w:val="00E04595"/>
    <w:rsid w:val="00E06822"/>
    <w:rsid w:val="00E1074E"/>
    <w:rsid w:val="00E17CAF"/>
    <w:rsid w:val="00E20050"/>
    <w:rsid w:val="00E27186"/>
    <w:rsid w:val="00E332F6"/>
    <w:rsid w:val="00E40C27"/>
    <w:rsid w:val="00E50EE7"/>
    <w:rsid w:val="00E61C52"/>
    <w:rsid w:val="00E653D6"/>
    <w:rsid w:val="00E65EA0"/>
    <w:rsid w:val="00E81478"/>
    <w:rsid w:val="00E86B33"/>
    <w:rsid w:val="00E870A4"/>
    <w:rsid w:val="00E920FC"/>
    <w:rsid w:val="00E93C66"/>
    <w:rsid w:val="00E95579"/>
    <w:rsid w:val="00E974CF"/>
    <w:rsid w:val="00EA7A00"/>
    <w:rsid w:val="00EB6809"/>
    <w:rsid w:val="00EB718B"/>
    <w:rsid w:val="00EC21CA"/>
    <w:rsid w:val="00EC2A4D"/>
    <w:rsid w:val="00ED1AC1"/>
    <w:rsid w:val="00ED24E3"/>
    <w:rsid w:val="00ED6B26"/>
    <w:rsid w:val="00EE182F"/>
    <w:rsid w:val="00EE489D"/>
    <w:rsid w:val="00EE6885"/>
    <w:rsid w:val="00F01181"/>
    <w:rsid w:val="00F104FD"/>
    <w:rsid w:val="00F151C2"/>
    <w:rsid w:val="00F156BC"/>
    <w:rsid w:val="00F30CEB"/>
    <w:rsid w:val="00F660F6"/>
    <w:rsid w:val="00F723B2"/>
    <w:rsid w:val="00F75649"/>
    <w:rsid w:val="00F81204"/>
    <w:rsid w:val="00F84490"/>
    <w:rsid w:val="00F97024"/>
    <w:rsid w:val="00FA1440"/>
    <w:rsid w:val="00FA5F45"/>
    <w:rsid w:val="00FB3F1E"/>
    <w:rsid w:val="00FC0480"/>
    <w:rsid w:val="00FC61A7"/>
    <w:rsid w:val="00FD446F"/>
    <w:rsid w:val="00FD5F22"/>
    <w:rsid w:val="00FE1766"/>
    <w:rsid w:val="00FF0AE4"/>
    <w:rsid w:val="00FF2B5C"/>
    <w:rsid w:val="00FF68A5"/>
    <w:rsid w:val="00FF6A68"/>
    <w:rsid w:val="00FF7163"/>
    <w:rsid w:val="05546059"/>
    <w:rsid w:val="4CCE478A"/>
    <w:rsid w:val="56636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297A1F-B5E5-4D61-89F6-3B6D35AF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Pr>
      <w:sz w:val="20"/>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link w:val="ac"/>
    <w:uiPriority w:val="99"/>
    <w:unhideWhenUsed/>
    <w:qFormat/>
    <w:pPr>
      <w:widowControl/>
      <w:spacing w:before="100" w:beforeAutospacing="1" w:after="100" w:afterAutospacing="1"/>
      <w:jc w:val="left"/>
    </w:pPr>
    <w:rPr>
      <w:rFonts w:ascii="SimSun" w:eastAsia="SimSun" w:hAnsi="SimSun" w:cs="SimSun"/>
      <w:kern w:val="0"/>
      <w:sz w:val="24"/>
      <w:szCs w:val="24"/>
    </w:rPr>
  </w:style>
  <w:style w:type="paragraph" w:styleId="ad">
    <w:name w:val="annotation subject"/>
    <w:basedOn w:val="a3"/>
    <w:next w:val="a3"/>
    <w:link w:val="ae"/>
    <w:uiPriority w:val="99"/>
    <w:semiHidden/>
    <w:unhideWhenUsed/>
    <w:pPr>
      <w:jc w:val="left"/>
    </w:pPr>
    <w:rPr>
      <w:b/>
      <w:bCs/>
      <w:sz w:val="21"/>
      <w:szCs w:val="22"/>
    </w:rPr>
  </w:style>
  <w:style w:type="character" w:styleId="af">
    <w:name w:val="annotation reference"/>
    <w:basedOn w:val="a0"/>
    <w:uiPriority w:val="99"/>
    <w:semiHidden/>
    <w:unhideWhenUsed/>
    <w:qFormat/>
    <w:rPr>
      <w:sz w:val="16"/>
      <w:szCs w:val="16"/>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DengXian" w:eastAsia="DengXian" w:hAnsi="DengXian"/>
      <w:sz w:val="20"/>
    </w:rPr>
  </w:style>
  <w:style w:type="character" w:customStyle="1" w:styleId="ac">
    <w:name w:val="普通(网站) 字符"/>
    <w:basedOn w:val="a0"/>
    <w:link w:val="ab"/>
    <w:uiPriority w:val="99"/>
    <w:qFormat/>
    <w:rPr>
      <w:rFonts w:ascii="SimSun" w:eastAsia="SimSun" w:hAnsi="SimSun" w:cs="SimSun"/>
      <w:kern w:val="0"/>
      <w:sz w:val="24"/>
      <w:szCs w:val="24"/>
    </w:rPr>
  </w:style>
  <w:style w:type="character" w:customStyle="1" w:styleId="EndNoteBibliographyTitle0">
    <w:name w:val="EndNote Bibliography Title 字符"/>
    <w:basedOn w:val="ac"/>
    <w:link w:val="EndNoteBibliographyTitle"/>
    <w:qFormat/>
    <w:rPr>
      <w:rFonts w:ascii="DengXian" w:eastAsia="DengXian" w:hAnsi="DengXian" w:cstheme="minorBidi"/>
      <w:kern w:val="2"/>
      <w:sz w:val="24"/>
      <w:szCs w:val="22"/>
    </w:rPr>
  </w:style>
  <w:style w:type="paragraph" w:customStyle="1" w:styleId="EndNoteBibliography">
    <w:name w:val="EndNote Bibliography"/>
    <w:basedOn w:val="a"/>
    <w:link w:val="EndNoteBibliography0"/>
    <w:qFormat/>
    <w:pPr>
      <w:jc w:val="center"/>
    </w:pPr>
    <w:rPr>
      <w:rFonts w:ascii="DengXian" w:eastAsia="DengXian" w:hAnsi="DengXian"/>
      <w:sz w:val="20"/>
    </w:rPr>
  </w:style>
  <w:style w:type="character" w:customStyle="1" w:styleId="EndNoteBibliography0">
    <w:name w:val="EndNote Bibliography 字符"/>
    <w:basedOn w:val="ac"/>
    <w:link w:val="EndNoteBibliography"/>
    <w:qFormat/>
    <w:rPr>
      <w:rFonts w:ascii="DengXian" w:eastAsia="DengXian" w:hAnsi="DengXian" w:cstheme="minorBidi"/>
      <w:kern w:val="2"/>
      <w:sz w:val="24"/>
      <w:szCs w:val="22"/>
    </w:rPr>
  </w:style>
  <w:style w:type="character" w:customStyle="1" w:styleId="a4">
    <w:name w:val="批注文字 字符"/>
    <w:basedOn w:val="a0"/>
    <w:link w:val="a3"/>
    <w:uiPriority w:val="99"/>
    <w:semiHidden/>
    <w:qFormat/>
    <w:rPr>
      <w:sz w:val="20"/>
      <w:szCs w:val="20"/>
    </w:rPr>
  </w:style>
  <w:style w:type="character" w:customStyle="1" w:styleId="a6">
    <w:name w:val="批注框文本 字符"/>
    <w:basedOn w:val="a0"/>
    <w:link w:val="a5"/>
    <w:uiPriority w:val="99"/>
    <w:semiHidden/>
    <w:qFormat/>
    <w:rPr>
      <w:sz w:val="18"/>
      <w:szCs w:val="18"/>
    </w:rPr>
  </w:style>
  <w:style w:type="character" w:customStyle="1" w:styleId="ae">
    <w:name w:val="批注主题 字符"/>
    <w:basedOn w:val="a4"/>
    <w:link w:val="ad"/>
    <w:uiPriority w:val="99"/>
    <w:semiHidden/>
    <w:rPr>
      <w:rFonts w:asciiTheme="minorHAnsi" w:eastAsiaTheme="minorEastAsia" w:hAnsiTheme="minorHAnsi" w:cstheme="minorBidi"/>
      <w:b/>
      <w:bCs/>
      <w:kern w:val="2"/>
      <w:sz w:val="21"/>
      <w:szCs w:val="22"/>
    </w:rPr>
  </w:style>
  <w:style w:type="character" w:styleId="af0">
    <w:name w:val="Placeholder Text"/>
    <w:basedOn w:val="a0"/>
    <w:uiPriority w:val="99"/>
    <w:semiHidden/>
    <w:rPr>
      <w:color w:val="808080"/>
    </w:rPr>
  </w:style>
  <w:style w:type="character" w:styleId="af1">
    <w:name w:val="Hyperlink"/>
    <w:basedOn w:val="a0"/>
    <w:uiPriority w:val="99"/>
    <w:unhideWhenUsed/>
    <w:rsid w:val="00EB68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59790">
      <w:bodyDiv w:val="1"/>
      <w:marLeft w:val="0"/>
      <w:marRight w:val="0"/>
      <w:marTop w:val="0"/>
      <w:marBottom w:val="0"/>
      <w:divBdr>
        <w:top w:val="none" w:sz="0" w:space="0" w:color="auto"/>
        <w:left w:val="none" w:sz="0" w:space="0" w:color="auto"/>
        <w:bottom w:val="none" w:sz="0" w:space="0" w:color="auto"/>
        <w:right w:val="none" w:sz="0" w:space="0" w:color="auto"/>
      </w:divBdr>
    </w:div>
    <w:div w:id="1280722176">
      <w:bodyDiv w:val="1"/>
      <w:marLeft w:val="0"/>
      <w:marRight w:val="0"/>
      <w:marTop w:val="0"/>
      <w:marBottom w:val="0"/>
      <w:divBdr>
        <w:top w:val="none" w:sz="0" w:space="0" w:color="auto"/>
        <w:left w:val="none" w:sz="0" w:space="0" w:color="auto"/>
        <w:bottom w:val="none" w:sz="0" w:space="0" w:color="auto"/>
        <w:right w:val="none" w:sz="0" w:space="0" w:color="auto"/>
      </w:divBdr>
    </w:div>
    <w:div w:id="1433284941">
      <w:bodyDiv w:val="1"/>
      <w:marLeft w:val="0"/>
      <w:marRight w:val="0"/>
      <w:marTop w:val="0"/>
      <w:marBottom w:val="0"/>
      <w:divBdr>
        <w:top w:val="none" w:sz="0" w:space="0" w:color="auto"/>
        <w:left w:val="none" w:sz="0" w:space="0" w:color="auto"/>
        <w:bottom w:val="none" w:sz="0" w:space="0" w:color="auto"/>
        <w:right w:val="none" w:sz="0" w:space="0" w:color="auto"/>
      </w:divBdr>
    </w:div>
    <w:div w:id="144233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yperlink" Target="https://doi.org/10.1016/j.nanoen.2020.1049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6FAB10-B3E2-4253-8DDD-1FF929E61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5255</Words>
  <Characters>29957</Characters>
  <Application>Microsoft Office Word</Application>
  <DocSecurity>0</DocSecurity>
  <Lines>249</Lines>
  <Paragraphs>70</Paragraphs>
  <ScaleCrop>false</ScaleCrop>
  <Company/>
  <LinksUpToDate>false</LinksUpToDate>
  <CharactersWithSpaces>35142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 Chang</dc:creator>
  <cp:lastModifiedBy>yzhao</cp:lastModifiedBy>
  <cp:revision>2</cp:revision>
  <dcterms:created xsi:type="dcterms:W3CDTF">2020-09-25T03:10:00Z</dcterms:created>
  <dcterms:modified xsi:type="dcterms:W3CDTF">2020-09-25T03:10:00Z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