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6A48" w14:textId="600E85BC" w:rsidR="00B93106" w:rsidRPr="00767D38" w:rsidRDefault="00B93106" w:rsidP="00B93106">
      <w:pPr>
        <w:rPr>
          <w:rFonts w:ascii="Times New Roman" w:hAnsi="Times New Roman" w:cs="Times New Roman"/>
          <w:sz w:val="24"/>
          <w:szCs w:val="24"/>
        </w:rPr>
      </w:pPr>
      <w:r w:rsidRPr="00767D38">
        <w:rPr>
          <w:rFonts w:ascii="Times New Roman" w:hAnsi="Times New Roman" w:cs="Times New Roman"/>
          <w:sz w:val="24"/>
          <w:szCs w:val="24"/>
        </w:rPr>
        <w:t>Additional File 1</w:t>
      </w:r>
      <w:r w:rsidR="00BB225E" w:rsidRPr="00767D38">
        <w:rPr>
          <w:rFonts w:ascii="Times New Roman" w:hAnsi="Times New Roman" w:cs="Times New Roman"/>
          <w:sz w:val="24"/>
          <w:szCs w:val="24"/>
        </w:rPr>
        <w:t>. Multivariable regression analysis of sodium abnormalities and in-hospital outcomes</w:t>
      </w:r>
    </w:p>
    <w:p w14:paraId="56E4F083" w14:textId="74FAA688" w:rsidR="00B93106" w:rsidRPr="00767D38" w:rsidRDefault="00BB225E" w:rsidP="00B931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7D38">
        <w:rPr>
          <w:rFonts w:ascii="Times New Roman" w:hAnsi="Times New Roman" w:cs="Times New Roman"/>
          <w:b/>
          <w:bCs/>
          <w:sz w:val="24"/>
          <w:szCs w:val="24"/>
        </w:rPr>
        <w:t>In-Hospital mortality (Adjusted odds ratios)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919BB" w:rsidRPr="00767D38" w14:paraId="5D108995" w14:textId="77777777">
        <w:tc>
          <w:tcPr>
            <w:tcW w:w="2880" w:type="dxa"/>
          </w:tcPr>
          <w:p w14:paraId="3012203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2880" w:type="dxa"/>
          </w:tcPr>
          <w:p w14:paraId="426B6C2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aOR (95% CI)</w:t>
            </w:r>
          </w:p>
        </w:tc>
        <w:tc>
          <w:tcPr>
            <w:tcW w:w="2880" w:type="dxa"/>
          </w:tcPr>
          <w:p w14:paraId="2E21ADA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A919BB" w:rsidRPr="00767D38" w14:paraId="75CE4F87" w14:textId="77777777">
        <w:tc>
          <w:tcPr>
            <w:tcW w:w="2880" w:type="dxa"/>
          </w:tcPr>
          <w:p w14:paraId="5E7AFAC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(vs normonatremia)</w:t>
            </w:r>
          </w:p>
        </w:tc>
        <w:tc>
          <w:tcPr>
            <w:tcW w:w="2880" w:type="dxa"/>
          </w:tcPr>
          <w:p w14:paraId="2EF2D85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3.50 (3.39–3.62)</w:t>
            </w:r>
          </w:p>
        </w:tc>
        <w:tc>
          <w:tcPr>
            <w:tcW w:w="2880" w:type="dxa"/>
          </w:tcPr>
          <w:p w14:paraId="35616E3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2BA54DA5" w14:textId="77777777">
        <w:tc>
          <w:tcPr>
            <w:tcW w:w="2880" w:type="dxa"/>
          </w:tcPr>
          <w:p w14:paraId="06CDF18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(vs normonatremia)</w:t>
            </w:r>
          </w:p>
        </w:tc>
        <w:tc>
          <w:tcPr>
            <w:tcW w:w="2880" w:type="dxa"/>
          </w:tcPr>
          <w:p w14:paraId="25B832F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14.55 (13.99–15.14)</w:t>
            </w:r>
          </w:p>
        </w:tc>
        <w:tc>
          <w:tcPr>
            <w:tcW w:w="2880" w:type="dxa"/>
          </w:tcPr>
          <w:p w14:paraId="26873267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0DA38238" w14:textId="77777777">
        <w:tc>
          <w:tcPr>
            <w:tcW w:w="2880" w:type="dxa"/>
          </w:tcPr>
          <w:p w14:paraId="7FA07D9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Age ≥65</w:t>
            </w:r>
          </w:p>
        </w:tc>
        <w:tc>
          <w:tcPr>
            <w:tcW w:w="2880" w:type="dxa"/>
          </w:tcPr>
          <w:p w14:paraId="4AFE209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0.41 (0.40–0.43)</w:t>
            </w:r>
          </w:p>
        </w:tc>
        <w:tc>
          <w:tcPr>
            <w:tcW w:w="2880" w:type="dxa"/>
          </w:tcPr>
          <w:p w14:paraId="1234C62E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0C859568" w14:textId="77777777">
        <w:tc>
          <w:tcPr>
            <w:tcW w:w="2880" w:type="dxa"/>
          </w:tcPr>
          <w:p w14:paraId="54C757F6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Age ≥65</w:t>
            </w:r>
          </w:p>
        </w:tc>
        <w:tc>
          <w:tcPr>
            <w:tcW w:w="2880" w:type="dxa"/>
          </w:tcPr>
          <w:p w14:paraId="7E866C5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0.38 (0.36–0.40)</w:t>
            </w:r>
          </w:p>
        </w:tc>
        <w:tc>
          <w:tcPr>
            <w:tcW w:w="2880" w:type="dxa"/>
          </w:tcPr>
          <w:p w14:paraId="05F7BFC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6D32CC90" w14:textId="77777777">
        <w:tc>
          <w:tcPr>
            <w:tcW w:w="2880" w:type="dxa"/>
          </w:tcPr>
          <w:p w14:paraId="7BC1754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Black</w:t>
            </w:r>
          </w:p>
        </w:tc>
        <w:tc>
          <w:tcPr>
            <w:tcW w:w="2880" w:type="dxa"/>
          </w:tcPr>
          <w:p w14:paraId="47BCC4A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0.99 (0.95–1.03)</w:t>
            </w:r>
          </w:p>
        </w:tc>
        <w:tc>
          <w:tcPr>
            <w:tcW w:w="2880" w:type="dxa"/>
          </w:tcPr>
          <w:p w14:paraId="2FD082B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A919BB" w:rsidRPr="00767D38" w14:paraId="34453B50" w14:textId="77777777">
        <w:tc>
          <w:tcPr>
            <w:tcW w:w="2880" w:type="dxa"/>
          </w:tcPr>
          <w:p w14:paraId="50DEB1B7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Black</w:t>
            </w:r>
          </w:p>
        </w:tc>
        <w:tc>
          <w:tcPr>
            <w:tcW w:w="2880" w:type="dxa"/>
          </w:tcPr>
          <w:p w14:paraId="0A5487A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0.81 (0.77–0.86)</w:t>
            </w:r>
          </w:p>
        </w:tc>
        <w:tc>
          <w:tcPr>
            <w:tcW w:w="2880" w:type="dxa"/>
          </w:tcPr>
          <w:p w14:paraId="67E416A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46BCF328" w14:textId="77777777">
        <w:tc>
          <w:tcPr>
            <w:tcW w:w="2880" w:type="dxa"/>
          </w:tcPr>
          <w:p w14:paraId="5F014C9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Hispanic</w:t>
            </w:r>
          </w:p>
        </w:tc>
        <w:tc>
          <w:tcPr>
            <w:tcW w:w="2880" w:type="dxa"/>
          </w:tcPr>
          <w:p w14:paraId="4FE3551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1.13 (1.08–1.19)</w:t>
            </w:r>
          </w:p>
        </w:tc>
        <w:tc>
          <w:tcPr>
            <w:tcW w:w="2880" w:type="dxa"/>
          </w:tcPr>
          <w:p w14:paraId="5F43CA8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14905084" w14:textId="77777777">
        <w:tc>
          <w:tcPr>
            <w:tcW w:w="2880" w:type="dxa"/>
          </w:tcPr>
          <w:p w14:paraId="59C9312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Hispanic</w:t>
            </w:r>
          </w:p>
        </w:tc>
        <w:tc>
          <w:tcPr>
            <w:tcW w:w="2880" w:type="dxa"/>
          </w:tcPr>
          <w:p w14:paraId="166E928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1.21 (1.13–1.30)</w:t>
            </w:r>
          </w:p>
        </w:tc>
        <w:tc>
          <w:tcPr>
            <w:tcW w:w="2880" w:type="dxa"/>
          </w:tcPr>
          <w:p w14:paraId="2AF8598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2C2407D9" w14:textId="77777777">
        <w:tc>
          <w:tcPr>
            <w:tcW w:w="2880" w:type="dxa"/>
          </w:tcPr>
          <w:p w14:paraId="7F6D86B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Asian/Pacific Islander</w:t>
            </w:r>
          </w:p>
        </w:tc>
        <w:tc>
          <w:tcPr>
            <w:tcW w:w="2880" w:type="dxa"/>
          </w:tcPr>
          <w:p w14:paraId="27D5B4C8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1.08 (1.00–1.17)</w:t>
            </w:r>
          </w:p>
        </w:tc>
        <w:tc>
          <w:tcPr>
            <w:tcW w:w="2880" w:type="dxa"/>
          </w:tcPr>
          <w:p w14:paraId="4C852D3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A919BB" w:rsidRPr="00767D38" w14:paraId="407E442E" w14:textId="77777777">
        <w:tc>
          <w:tcPr>
            <w:tcW w:w="2880" w:type="dxa"/>
          </w:tcPr>
          <w:p w14:paraId="7D4DCF2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Asian/Pacific Islander</w:t>
            </w:r>
          </w:p>
        </w:tc>
        <w:tc>
          <w:tcPr>
            <w:tcW w:w="2880" w:type="dxa"/>
          </w:tcPr>
          <w:p w14:paraId="2D10AAF0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1.12 (1.01–1.25)</w:t>
            </w:r>
          </w:p>
        </w:tc>
        <w:tc>
          <w:tcPr>
            <w:tcW w:w="2880" w:type="dxa"/>
          </w:tcPr>
          <w:p w14:paraId="737A93A0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A919BB" w:rsidRPr="00767D38" w14:paraId="495BEE38" w14:textId="77777777">
        <w:tc>
          <w:tcPr>
            <w:tcW w:w="2880" w:type="dxa"/>
          </w:tcPr>
          <w:p w14:paraId="470A77A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Hyponatremia × </w:t>
            </w:r>
            <w:proofErr w:type="gramStart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 race</w:t>
            </w:r>
          </w:p>
        </w:tc>
        <w:tc>
          <w:tcPr>
            <w:tcW w:w="2880" w:type="dxa"/>
          </w:tcPr>
          <w:p w14:paraId="779CD41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1.06 (0.98–1.14)</w:t>
            </w:r>
          </w:p>
        </w:tc>
        <w:tc>
          <w:tcPr>
            <w:tcW w:w="2880" w:type="dxa"/>
          </w:tcPr>
          <w:p w14:paraId="5681B72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919BB" w:rsidRPr="00767D38" w14:paraId="396FDC1D" w14:textId="77777777">
        <w:tc>
          <w:tcPr>
            <w:tcW w:w="2880" w:type="dxa"/>
          </w:tcPr>
          <w:p w14:paraId="66CEA3C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Hypernatremia × </w:t>
            </w:r>
            <w:proofErr w:type="gramStart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 race</w:t>
            </w:r>
          </w:p>
        </w:tc>
        <w:tc>
          <w:tcPr>
            <w:tcW w:w="2880" w:type="dxa"/>
          </w:tcPr>
          <w:p w14:paraId="206DBD1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0.97 (0.88–1.07)</w:t>
            </w:r>
          </w:p>
        </w:tc>
        <w:tc>
          <w:tcPr>
            <w:tcW w:w="2880" w:type="dxa"/>
          </w:tcPr>
          <w:p w14:paraId="2CFB22B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</w:tr>
    </w:tbl>
    <w:p w14:paraId="2E00E9F3" w14:textId="37BF82B8" w:rsidR="00BB225E" w:rsidRPr="00767D38" w:rsidRDefault="00BB225E" w:rsidP="00BB22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7D38">
        <w:rPr>
          <w:rFonts w:ascii="Times New Roman" w:hAnsi="Times New Roman" w:cs="Times New Roman"/>
          <w:b/>
          <w:bCs/>
          <w:sz w:val="24"/>
          <w:szCs w:val="24"/>
        </w:rPr>
        <w:t>B. SNF/LTAC discharge (Adjusted odds ratios)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919BB" w:rsidRPr="00767D38" w14:paraId="7BF02854" w14:textId="77777777">
        <w:tc>
          <w:tcPr>
            <w:tcW w:w="2880" w:type="dxa"/>
          </w:tcPr>
          <w:p w14:paraId="4E820C0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2880" w:type="dxa"/>
          </w:tcPr>
          <w:p w14:paraId="6E136F0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aOR (95% CI)</w:t>
            </w:r>
          </w:p>
        </w:tc>
        <w:tc>
          <w:tcPr>
            <w:tcW w:w="2880" w:type="dxa"/>
          </w:tcPr>
          <w:p w14:paraId="7A96881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A919BB" w:rsidRPr="00767D38" w14:paraId="2331418F" w14:textId="77777777">
        <w:tc>
          <w:tcPr>
            <w:tcW w:w="2880" w:type="dxa"/>
          </w:tcPr>
          <w:p w14:paraId="47482B7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(vs normonatremia)</w:t>
            </w:r>
          </w:p>
        </w:tc>
        <w:tc>
          <w:tcPr>
            <w:tcW w:w="2880" w:type="dxa"/>
          </w:tcPr>
          <w:p w14:paraId="36B7F49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2.88 (2.82–2.94)</w:t>
            </w:r>
          </w:p>
        </w:tc>
        <w:tc>
          <w:tcPr>
            <w:tcW w:w="2880" w:type="dxa"/>
          </w:tcPr>
          <w:p w14:paraId="4A2FB4A0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1BD30F96" w14:textId="77777777">
        <w:tc>
          <w:tcPr>
            <w:tcW w:w="2880" w:type="dxa"/>
          </w:tcPr>
          <w:p w14:paraId="33ACBFD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(vs normonatremia)</w:t>
            </w:r>
          </w:p>
        </w:tc>
        <w:tc>
          <w:tcPr>
            <w:tcW w:w="2880" w:type="dxa"/>
          </w:tcPr>
          <w:p w14:paraId="0548CAD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12.29 (11.82–12.79)</w:t>
            </w:r>
          </w:p>
        </w:tc>
        <w:tc>
          <w:tcPr>
            <w:tcW w:w="2880" w:type="dxa"/>
          </w:tcPr>
          <w:p w14:paraId="5499656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238944E3" w14:textId="77777777">
        <w:tc>
          <w:tcPr>
            <w:tcW w:w="2880" w:type="dxa"/>
          </w:tcPr>
          <w:p w14:paraId="0B099CB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Age ≥65</w:t>
            </w:r>
          </w:p>
        </w:tc>
        <w:tc>
          <w:tcPr>
            <w:tcW w:w="2880" w:type="dxa"/>
          </w:tcPr>
          <w:p w14:paraId="0ACD432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0.50 (0.49–0.52)</w:t>
            </w:r>
          </w:p>
        </w:tc>
        <w:tc>
          <w:tcPr>
            <w:tcW w:w="2880" w:type="dxa"/>
          </w:tcPr>
          <w:p w14:paraId="7F9573D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3B35B956" w14:textId="77777777">
        <w:tc>
          <w:tcPr>
            <w:tcW w:w="2880" w:type="dxa"/>
          </w:tcPr>
          <w:p w14:paraId="64248D3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Hypernatremia × Age ≥65</w:t>
            </w:r>
          </w:p>
        </w:tc>
        <w:tc>
          <w:tcPr>
            <w:tcW w:w="2880" w:type="dxa"/>
          </w:tcPr>
          <w:p w14:paraId="694A14C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0.43 (0.41–0.45)</w:t>
            </w:r>
          </w:p>
        </w:tc>
        <w:tc>
          <w:tcPr>
            <w:tcW w:w="2880" w:type="dxa"/>
          </w:tcPr>
          <w:p w14:paraId="5A0CE18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0EEC511D" w14:textId="77777777">
        <w:tc>
          <w:tcPr>
            <w:tcW w:w="2880" w:type="dxa"/>
          </w:tcPr>
          <w:p w14:paraId="1713ED4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Black</w:t>
            </w:r>
          </w:p>
        </w:tc>
        <w:tc>
          <w:tcPr>
            <w:tcW w:w="2880" w:type="dxa"/>
          </w:tcPr>
          <w:p w14:paraId="7282E99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0.97 (0.95–0.99)</w:t>
            </w:r>
          </w:p>
        </w:tc>
        <w:tc>
          <w:tcPr>
            <w:tcW w:w="2880" w:type="dxa"/>
          </w:tcPr>
          <w:p w14:paraId="2347A75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</w:tr>
      <w:tr w:rsidR="00A919BB" w:rsidRPr="00767D38" w14:paraId="107D206C" w14:textId="77777777">
        <w:tc>
          <w:tcPr>
            <w:tcW w:w="2880" w:type="dxa"/>
          </w:tcPr>
          <w:p w14:paraId="1AF06D1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Black</w:t>
            </w:r>
          </w:p>
        </w:tc>
        <w:tc>
          <w:tcPr>
            <w:tcW w:w="2880" w:type="dxa"/>
          </w:tcPr>
          <w:p w14:paraId="14962E5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0.85 (0.82–0.88)</w:t>
            </w:r>
          </w:p>
        </w:tc>
        <w:tc>
          <w:tcPr>
            <w:tcW w:w="2880" w:type="dxa"/>
          </w:tcPr>
          <w:p w14:paraId="607C029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22C5A108" w14:textId="77777777">
        <w:tc>
          <w:tcPr>
            <w:tcW w:w="2880" w:type="dxa"/>
          </w:tcPr>
          <w:p w14:paraId="2B518B7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Hispanic</w:t>
            </w:r>
          </w:p>
        </w:tc>
        <w:tc>
          <w:tcPr>
            <w:tcW w:w="2880" w:type="dxa"/>
          </w:tcPr>
          <w:p w14:paraId="7260A2A8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1.05 (1.02–1.08)</w:t>
            </w:r>
          </w:p>
        </w:tc>
        <w:tc>
          <w:tcPr>
            <w:tcW w:w="2880" w:type="dxa"/>
          </w:tcPr>
          <w:p w14:paraId="004CF0F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20313216" w14:textId="77777777">
        <w:tc>
          <w:tcPr>
            <w:tcW w:w="2880" w:type="dxa"/>
          </w:tcPr>
          <w:p w14:paraId="12BF6D3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Hispanic</w:t>
            </w:r>
          </w:p>
        </w:tc>
        <w:tc>
          <w:tcPr>
            <w:tcW w:w="2880" w:type="dxa"/>
          </w:tcPr>
          <w:p w14:paraId="54CD15B8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1.13 (1.07–1.19)</w:t>
            </w:r>
          </w:p>
        </w:tc>
        <w:tc>
          <w:tcPr>
            <w:tcW w:w="2880" w:type="dxa"/>
          </w:tcPr>
          <w:p w14:paraId="5AC705A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0EE42D08" w14:textId="77777777">
        <w:tc>
          <w:tcPr>
            <w:tcW w:w="2880" w:type="dxa"/>
          </w:tcPr>
          <w:p w14:paraId="1A5B3BF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Asian/Pacific Islander</w:t>
            </w:r>
          </w:p>
        </w:tc>
        <w:tc>
          <w:tcPr>
            <w:tcW w:w="2880" w:type="dxa"/>
          </w:tcPr>
          <w:p w14:paraId="3918B25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0.99 (0.95–1.04)</w:t>
            </w:r>
          </w:p>
        </w:tc>
        <w:tc>
          <w:tcPr>
            <w:tcW w:w="2880" w:type="dxa"/>
          </w:tcPr>
          <w:p w14:paraId="037DDF17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A919BB" w:rsidRPr="00767D38" w14:paraId="05567443" w14:textId="77777777">
        <w:tc>
          <w:tcPr>
            <w:tcW w:w="2880" w:type="dxa"/>
          </w:tcPr>
          <w:p w14:paraId="62A03DCF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Asian/Pacific Islander</w:t>
            </w:r>
          </w:p>
        </w:tc>
        <w:tc>
          <w:tcPr>
            <w:tcW w:w="2880" w:type="dxa"/>
          </w:tcPr>
          <w:p w14:paraId="387006F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1.13 (1.04–1.23)</w:t>
            </w:r>
          </w:p>
        </w:tc>
        <w:tc>
          <w:tcPr>
            <w:tcW w:w="2880" w:type="dxa"/>
          </w:tcPr>
          <w:p w14:paraId="3CC8FB1E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A919BB" w:rsidRPr="00767D38" w14:paraId="1F5B6F10" w14:textId="77777777">
        <w:tc>
          <w:tcPr>
            <w:tcW w:w="2880" w:type="dxa"/>
          </w:tcPr>
          <w:p w14:paraId="60B6D0F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Hyponatremia × </w:t>
            </w:r>
            <w:proofErr w:type="gramStart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 race</w:t>
            </w:r>
          </w:p>
        </w:tc>
        <w:tc>
          <w:tcPr>
            <w:tcW w:w="2880" w:type="dxa"/>
          </w:tcPr>
          <w:p w14:paraId="607B1DB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1.05 (1.01–1.10)</w:t>
            </w:r>
          </w:p>
        </w:tc>
        <w:tc>
          <w:tcPr>
            <w:tcW w:w="2880" w:type="dxa"/>
          </w:tcPr>
          <w:p w14:paraId="6E2F159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A919BB" w:rsidRPr="00767D38" w14:paraId="24A5870F" w14:textId="77777777">
        <w:tc>
          <w:tcPr>
            <w:tcW w:w="2880" w:type="dxa"/>
          </w:tcPr>
          <w:p w14:paraId="11C0776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Hypernatremia × </w:t>
            </w:r>
            <w:proofErr w:type="gramStart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 race</w:t>
            </w:r>
          </w:p>
        </w:tc>
        <w:tc>
          <w:tcPr>
            <w:tcW w:w="2880" w:type="dxa"/>
          </w:tcPr>
          <w:p w14:paraId="1FB0916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1.09 (1.02–1.17)</w:t>
            </w:r>
          </w:p>
        </w:tc>
        <w:tc>
          <w:tcPr>
            <w:tcW w:w="2880" w:type="dxa"/>
          </w:tcPr>
          <w:p w14:paraId="53C76CC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</w:tbl>
    <w:p w14:paraId="3FD13401" w14:textId="07ECAB7E" w:rsidR="00BB225E" w:rsidRPr="00767D38" w:rsidRDefault="00BB225E" w:rsidP="00BB22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7D38">
        <w:rPr>
          <w:rFonts w:ascii="Times New Roman" w:hAnsi="Times New Roman" w:cs="Times New Roman"/>
          <w:b/>
          <w:bCs/>
          <w:sz w:val="24"/>
          <w:szCs w:val="24"/>
        </w:rPr>
        <w:t>C. Hospitalization cost (% difference in total charges)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919BB" w:rsidRPr="00767D38" w14:paraId="0168FCD4" w14:textId="77777777">
        <w:tc>
          <w:tcPr>
            <w:tcW w:w="2880" w:type="dxa"/>
          </w:tcPr>
          <w:p w14:paraId="5B713BA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2880" w:type="dxa"/>
          </w:tcPr>
          <w:p w14:paraId="220AD27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% Difference (95% CI)</w:t>
            </w:r>
          </w:p>
        </w:tc>
        <w:tc>
          <w:tcPr>
            <w:tcW w:w="2880" w:type="dxa"/>
          </w:tcPr>
          <w:p w14:paraId="14399DD7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A919BB" w:rsidRPr="00767D38" w14:paraId="3161B615" w14:textId="77777777">
        <w:tc>
          <w:tcPr>
            <w:tcW w:w="2880" w:type="dxa"/>
          </w:tcPr>
          <w:p w14:paraId="33B7FB9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(vs normonatremia)</w:t>
            </w:r>
          </w:p>
        </w:tc>
        <w:tc>
          <w:tcPr>
            <w:tcW w:w="2880" w:type="dxa"/>
          </w:tcPr>
          <w:p w14:paraId="343B16D6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+75.2% (73.9–76.5)</w:t>
            </w:r>
          </w:p>
        </w:tc>
        <w:tc>
          <w:tcPr>
            <w:tcW w:w="2880" w:type="dxa"/>
          </w:tcPr>
          <w:p w14:paraId="59E7EC5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15195223" w14:textId="77777777">
        <w:tc>
          <w:tcPr>
            <w:tcW w:w="2880" w:type="dxa"/>
          </w:tcPr>
          <w:p w14:paraId="0C930CE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(vs normonatremia)</w:t>
            </w:r>
          </w:p>
        </w:tc>
        <w:tc>
          <w:tcPr>
            <w:tcW w:w="2880" w:type="dxa"/>
          </w:tcPr>
          <w:p w14:paraId="006312D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+260.3% (248.8–272.4)</w:t>
            </w:r>
          </w:p>
        </w:tc>
        <w:tc>
          <w:tcPr>
            <w:tcW w:w="2880" w:type="dxa"/>
          </w:tcPr>
          <w:p w14:paraId="73D6DE4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6C19CF60" w14:textId="77777777">
        <w:tc>
          <w:tcPr>
            <w:tcW w:w="2880" w:type="dxa"/>
          </w:tcPr>
          <w:p w14:paraId="0770C79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Age ≥65</w:t>
            </w:r>
          </w:p>
        </w:tc>
        <w:tc>
          <w:tcPr>
            <w:tcW w:w="2880" w:type="dxa"/>
          </w:tcPr>
          <w:p w14:paraId="0CA561D2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34.5% (−35.6 to −33.4)</w:t>
            </w:r>
          </w:p>
        </w:tc>
        <w:tc>
          <w:tcPr>
            <w:tcW w:w="2880" w:type="dxa"/>
          </w:tcPr>
          <w:p w14:paraId="3FA65BB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3157D2A1" w14:textId="77777777">
        <w:tc>
          <w:tcPr>
            <w:tcW w:w="2880" w:type="dxa"/>
          </w:tcPr>
          <w:p w14:paraId="353589CA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Age ≥65</w:t>
            </w:r>
          </w:p>
        </w:tc>
        <w:tc>
          <w:tcPr>
            <w:tcW w:w="2880" w:type="dxa"/>
          </w:tcPr>
          <w:p w14:paraId="61F3E438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50.1% (−52.1 to −48.0)</w:t>
            </w:r>
          </w:p>
        </w:tc>
        <w:tc>
          <w:tcPr>
            <w:tcW w:w="2880" w:type="dxa"/>
          </w:tcPr>
          <w:p w14:paraId="6487306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63AFA1CF" w14:textId="77777777">
        <w:tc>
          <w:tcPr>
            <w:tcW w:w="2880" w:type="dxa"/>
          </w:tcPr>
          <w:p w14:paraId="113838B7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Black</w:t>
            </w:r>
          </w:p>
        </w:tc>
        <w:tc>
          <w:tcPr>
            <w:tcW w:w="2880" w:type="dxa"/>
          </w:tcPr>
          <w:p w14:paraId="34E4903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+5.5% (3.7–7.3)</w:t>
            </w:r>
          </w:p>
        </w:tc>
        <w:tc>
          <w:tcPr>
            <w:tcW w:w="2880" w:type="dxa"/>
          </w:tcPr>
          <w:p w14:paraId="3F7E19C6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4C260137" w14:textId="77777777">
        <w:tc>
          <w:tcPr>
            <w:tcW w:w="2880" w:type="dxa"/>
          </w:tcPr>
          <w:p w14:paraId="63DF7D1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Black</w:t>
            </w:r>
          </w:p>
        </w:tc>
        <w:tc>
          <w:tcPr>
            <w:tcW w:w="2880" w:type="dxa"/>
          </w:tcPr>
          <w:p w14:paraId="0FCE6446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10.4% (−12.9 to −7.8)</w:t>
            </w:r>
          </w:p>
        </w:tc>
        <w:tc>
          <w:tcPr>
            <w:tcW w:w="2880" w:type="dxa"/>
          </w:tcPr>
          <w:p w14:paraId="7BE99C81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68F70384" w14:textId="77777777">
        <w:tc>
          <w:tcPr>
            <w:tcW w:w="2880" w:type="dxa"/>
          </w:tcPr>
          <w:p w14:paraId="69097AA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Hispanic</w:t>
            </w:r>
          </w:p>
        </w:tc>
        <w:tc>
          <w:tcPr>
            <w:tcW w:w="2880" w:type="dxa"/>
          </w:tcPr>
          <w:p w14:paraId="2BB3A3E0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+20.7% (18.7–22.7)</w:t>
            </w:r>
          </w:p>
        </w:tc>
        <w:tc>
          <w:tcPr>
            <w:tcW w:w="2880" w:type="dxa"/>
          </w:tcPr>
          <w:p w14:paraId="25A2933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4C8A40A2" w14:textId="77777777">
        <w:tc>
          <w:tcPr>
            <w:tcW w:w="2880" w:type="dxa"/>
          </w:tcPr>
          <w:p w14:paraId="674ECAEC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Hypernatremia × Hispanic</w:t>
            </w:r>
          </w:p>
        </w:tc>
        <w:tc>
          <w:tcPr>
            <w:tcW w:w="2880" w:type="dxa"/>
          </w:tcPr>
          <w:p w14:paraId="54CBB61F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+19.0% (15.8–22.4)</w:t>
            </w:r>
          </w:p>
        </w:tc>
        <w:tc>
          <w:tcPr>
            <w:tcW w:w="2880" w:type="dxa"/>
          </w:tcPr>
          <w:p w14:paraId="26169CCE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7BBD7272" w14:textId="77777777">
        <w:tc>
          <w:tcPr>
            <w:tcW w:w="2880" w:type="dxa"/>
          </w:tcPr>
          <w:p w14:paraId="6EDE70B9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Hyponatremia × Asian/Pacific Islander</w:t>
            </w:r>
          </w:p>
        </w:tc>
        <w:tc>
          <w:tcPr>
            <w:tcW w:w="2880" w:type="dxa"/>
          </w:tcPr>
          <w:p w14:paraId="66975C4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+17.2% (14.2–20.3)</w:t>
            </w:r>
          </w:p>
        </w:tc>
        <w:tc>
          <w:tcPr>
            <w:tcW w:w="2880" w:type="dxa"/>
          </w:tcPr>
          <w:p w14:paraId="57BCA973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70E5B25C" w14:textId="77777777">
        <w:tc>
          <w:tcPr>
            <w:tcW w:w="2880" w:type="dxa"/>
          </w:tcPr>
          <w:p w14:paraId="2DDC7F2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Hypernatremia × </w:t>
            </w:r>
            <w:r w:rsidRPr="0076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Asian/Pacific Islander</w:t>
            </w:r>
          </w:p>
        </w:tc>
        <w:tc>
          <w:tcPr>
            <w:tcW w:w="2880" w:type="dxa"/>
          </w:tcPr>
          <w:p w14:paraId="7F0762E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+27.3% (22.7–32.0)</w:t>
            </w:r>
          </w:p>
        </w:tc>
        <w:tc>
          <w:tcPr>
            <w:tcW w:w="2880" w:type="dxa"/>
          </w:tcPr>
          <w:p w14:paraId="596ACA7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5AABEDEA" w14:textId="77777777">
        <w:tc>
          <w:tcPr>
            <w:tcW w:w="2880" w:type="dxa"/>
          </w:tcPr>
          <w:p w14:paraId="36F854AE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Hyponatremia × </w:t>
            </w:r>
            <w:proofErr w:type="gramStart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 race</w:t>
            </w:r>
          </w:p>
        </w:tc>
        <w:tc>
          <w:tcPr>
            <w:tcW w:w="2880" w:type="dxa"/>
          </w:tcPr>
          <w:p w14:paraId="6FD5685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+22.4% (19.1–25.9)</w:t>
            </w:r>
          </w:p>
        </w:tc>
        <w:tc>
          <w:tcPr>
            <w:tcW w:w="2880" w:type="dxa"/>
          </w:tcPr>
          <w:p w14:paraId="69116065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A919BB" w:rsidRPr="00767D38" w14:paraId="63213F56" w14:textId="77777777">
        <w:tc>
          <w:tcPr>
            <w:tcW w:w="2880" w:type="dxa"/>
          </w:tcPr>
          <w:p w14:paraId="10D30114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Hypernatremia × </w:t>
            </w:r>
            <w:proofErr w:type="gramStart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gramEnd"/>
            <w:r w:rsidRPr="00767D38">
              <w:rPr>
                <w:rFonts w:ascii="Times New Roman" w:hAnsi="Times New Roman" w:cs="Times New Roman"/>
                <w:sz w:val="24"/>
                <w:szCs w:val="24"/>
              </w:rPr>
              <w:t xml:space="preserve"> race</w:t>
            </w:r>
          </w:p>
        </w:tc>
        <w:tc>
          <w:tcPr>
            <w:tcW w:w="2880" w:type="dxa"/>
          </w:tcPr>
          <w:p w14:paraId="09DD124B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+23.1% (17.9–28.7)</w:t>
            </w:r>
          </w:p>
        </w:tc>
        <w:tc>
          <w:tcPr>
            <w:tcW w:w="2880" w:type="dxa"/>
          </w:tcPr>
          <w:p w14:paraId="0113794D" w14:textId="77777777" w:rsidR="00A919BB" w:rsidRPr="00767D38" w:rsidRDefault="0090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38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117C40FB" w14:textId="2A8B09CF" w:rsidR="00BB225E" w:rsidRPr="00767D38" w:rsidRDefault="00012F53" w:rsidP="00BB225E">
      <w:pPr>
        <w:rPr>
          <w:rFonts w:ascii="Times New Roman" w:hAnsi="Times New Roman" w:cs="Times New Roman"/>
          <w:sz w:val="24"/>
          <w:szCs w:val="24"/>
        </w:rPr>
      </w:pPr>
      <w:r w:rsidRPr="00767D38">
        <w:rPr>
          <w:rFonts w:ascii="Times New Roman" w:hAnsi="Times New Roman" w:cs="Times New Roman"/>
          <w:sz w:val="24"/>
          <w:szCs w:val="24"/>
        </w:rPr>
        <w:t>Additional file 1</w:t>
      </w:r>
      <w:r w:rsidR="00BB225E" w:rsidRPr="00767D38">
        <w:rPr>
          <w:rFonts w:ascii="Times New Roman" w:hAnsi="Times New Roman" w:cs="Times New Roman"/>
          <w:sz w:val="24"/>
          <w:szCs w:val="24"/>
        </w:rPr>
        <w:t xml:space="preserve"> shows multivariable regression analysis examining the association between </w:t>
      </w:r>
      <w:r w:rsidR="00767D38" w:rsidRPr="00767D38">
        <w:rPr>
          <w:rFonts w:ascii="Times New Roman" w:hAnsi="Times New Roman" w:cs="Times New Roman"/>
          <w:sz w:val="24"/>
          <w:szCs w:val="24"/>
        </w:rPr>
        <w:t xml:space="preserve">(A) </w:t>
      </w:r>
      <w:r w:rsidR="00BB225E" w:rsidRPr="00767D38">
        <w:rPr>
          <w:rFonts w:ascii="Times New Roman" w:hAnsi="Times New Roman" w:cs="Times New Roman"/>
          <w:sz w:val="24"/>
          <w:szCs w:val="24"/>
        </w:rPr>
        <w:t>sodium abnormalities and in-hospital mortality</w:t>
      </w:r>
      <w:r w:rsidR="00767D38" w:rsidRPr="00767D38">
        <w:rPr>
          <w:rFonts w:ascii="Times New Roman" w:hAnsi="Times New Roman" w:cs="Times New Roman"/>
          <w:sz w:val="24"/>
          <w:szCs w:val="24"/>
        </w:rPr>
        <w:t xml:space="preserve">; (B) </w:t>
      </w:r>
      <w:r w:rsidR="00BB225E" w:rsidRPr="00767D38">
        <w:rPr>
          <w:rFonts w:ascii="Times New Roman" w:hAnsi="Times New Roman" w:cs="Times New Roman"/>
          <w:sz w:val="24"/>
          <w:szCs w:val="24"/>
        </w:rPr>
        <w:t>discharge to skilled nursing or long-term acute care facilities</w:t>
      </w:r>
      <w:r w:rsidR="00767D38" w:rsidRPr="00767D38">
        <w:rPr>
          <w:rFonts w:ascii="Times New Roman" w:hAnsi="Times New Roman" w:cs="Times New Roman"/>
          <w:sz w:val="24"/>
          <w:szCs w:val="24"/>
        </w:rPr>
        <w:t>;</w:t>
      </w:r>
      <w:r w:rsidR="00BB225E" w:rsidRPr="00767D38">
        <w:rPr>
          <w:rFonts w:ascii="Times New Roman" w:hAnsi="Times New Roman" w:cs="Times New Roman"/>
          <w:sz w:val="24"/>
          <w:szCs w:val="24"/>
        </w:rPr>
        <w:t xml:space="preserve"> and hospitalization costs (C), with assessment of effect modification by age and race. Models are survey-weighted using the National Inpatient Sample sampling design. Odds ratios are derived from multivariable logistic regression models. Cost models use log-transformed total hospital charges and are reported as </w:t>
      </w:r>
      <w:r w:rsidR="00767D38" w:rsidRPr="00767D38">
        <w:rPr>
          <w:rFonts w:ascii="Times New Roman" w:hAnsi="Times New Roman" w:cs="Times New Roman"/>
          <w:sz w:val="24"/>
          <w:szCs w:val="24"/>
        </w:rPr>
        <w:t>percentage</w:t>
      </w:r>
      <w:r w:rsidR="00BB225E" w:rsidRPr="00767D38">
        <w:rPr>
          <w:rFonts w:ascii="Times New Roman" w:hAnsi="Times New Roman" w:cs="Times New Roman"/>
          <w:sz w:val="24"/>
          <w:szCs w:val="24"/>
        </w:rPr>
        <w:t xml:space="preserve"> differences. Interaction terms reflect sodium status × age group and sodium status × race. </w:t>
      </w:r>
      <w:r w:rsidR="00B17F67" w:rsidRPr="00767D38">
        <w:rPr>
          <w:rFonts w:ascii="Times New Roman" w:hAnsi="Times New Roman" w:cs="Times New Roman"/>
          <w:sz w:val="24"/>
          <w:szCs w:val="24"/>
        </w:rPr>
        <w:t>All models were adjusted for clinically relevant covariates; variables with collinearity or instability in interaction models were excluded from final specifications.</w:t>
      </w:r>
    </w:p>
    <w:p w14:paraId="6D59770B" w14:textId="66D584D2" w:rsidR="00BB225E" w:rsidRPr="00767D38" w:rsidRDefault="00BB225E">
      <w:pPr>
        <w:rPr>
          <w:rFonts w:ascii="Times New Roman" w:hAnsi="Times New Roman" w:cs="Times New Roman"/>
          <w:sz w:val="24"/>
          <w:szCs w:val="24"/>
        </w:rPr>
      </w:pPr>
    </w:p>
    <w:sectPr w:rsidR="00BB225E" w:rsidRPr="00767D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37518A"/>
    <w:multiLevelType w:val="hybridMultilevel"/>
    <w:tmpl w:val="E9E6A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62FC0"/>
    <w:multiLevelType w:val="hybridMultilevel"/>
    <w:tmpl w:val="30EC3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439D8"/>
    <w:multiLevelType w:val="hybridMultilevel"/>
    <w:tmpl w:val="68783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775D4"/>
    <w:multiLevelType w:val="hybridMultilevel"/>
    <w:tmpl w:val="66368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414CD"/>
    <w:multiLevelType w:val="hybridMultilevel"/>
    <w:tmpl w:val="94226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B332C"/>
    <w:multiLevelType w:val="hybridMultilevel"/>
    <w:tmpl w:val="CFB02D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4030E"/>
    <w:multiLevelType w:val="hybridMultilevel"/>
    <w:tmpl w:val="AD38D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9893">
    <w:abstractNumId w:val="8"/>
  </w:num>
  <w:num w:numId="2" w16cid:durableId="1506482451">
    <w:abstractNumId w:val="6"/>
  </w:num>
  <w:num w:numId="3" w16cid:durableId="502162110">
    <w:abstractNumId w:val="5"/>
  </w:num>
  <w:num w:numId="4" w16cid:durableId="1998995114">
    <w:abstractNumId w:val="4"/>
  </w:num>
  <w:num w:numId="5" w16cid:durableId="605118063">
    <w:abstractNumId w:val="7"/>
  </w:num>
  <w:num w:numId="6" w16cid:durableId="2077823677">
    <w:abstractNumId w:val="3"/>
  </w:num>
  <w:num w:numId="7" w16cid:durableId="1063210834">
    <w:abstractNumId w:val="2"/>
  </w:num>
  <w:num w:numId="8" w16cid:durableId="562763767">
    <w:abstractNumId w:val="1"/>
  </w:num>
  <w:num w:numId="9" w16cid:durableId="2016683380">
    <w:abstractNumId w:val="0"/>
  </w:num>
  <w:num w:numId="10" w16cid:durableId="1865443012">
    <w:abstractNumId w:val="11"/>
  </w:num>
  <w:num w:numId="11" w16cid:durableId="64036323">
    <w:abstractNumId w:val="15"/>
  </w:num>
  <w:num w:numId="12" w16cid:durableId="37703701">
    <w:abstractNumId w:val="9"/>
  </w:num>
  <w:num w:numId="13" w16cid:durableId="2051487763">
    <w:abstractNumId w:val="14"/>
  </w:num>
  <w:num w:numId="14" w16cid:durableId="1983342926">
    <w:abstractNumId w:val="10"/>
  </w:num>
  <w:num w:numId="15" w16cid:durableId="290482061">
    <w:abstractNumId w:val="13"/>
  </w:num>
  <w:num w:numId="16" w16cid:durableId="290135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53"/>
    <w:rsid w:val="00034616"/>
    <w:rsid w:val="0006063C"/>
    <w:rsid w:val="0015074B"/>
    <w:rsid w:val="0029639D"/>
    <w:rsid w:val="002E6956"/>
    <w:rsid w:val="00326F90"/>
    <w:rsid w:val="00397B58"/>
    <w:rsid w:val="00723DBB"/>
    <w:rsid w:val="00767D38"/>
    <w:rsid w:val="00A919BB"/>
    <w:rsid w:val="00AA1D8D"/>
    <w:rsid w:val="00B17F67"/>
    <w:rsid w:val="00B47730"/>
    <w:rsid w:val="00B93106"/>
    <w:rsid w:val="00BB225E"/>
    <w:rsid w:val="00CB0664"/>
    <w:rsid w:val="00ED5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F0067"/>
  <w14:defaultImageDpi w14:val="300"/>
  <w15:docId w15:val="{A17D2076-F452-40F4-A180-F1AA9D3E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B22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431</Words>
  <Characters>2650</Characters>
  <Application>Microsoft Office Word</Application>
  <DocSecurity>0</DocSecurity>
  <Lines>147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Brent Tai</cp:lastModifiedBy>
  <cp:revision>7</cp:revision>
  <dcterms:created xsi:type="dcterms:W3CDTF">2025-12-13T04:13:00Z</dcterms:created>
  <dcterms:modified xsi:type="dcterms:W3CDTF">2025-12-13T20:17:00Z</dcterms:modified>
  <cp:category/>
</cp:coreProperties>
</file>