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71306C" w14:textId="3E50C429" w:rsidR="00350789" w:rsidRDefault="00901929" w:rsidP="00FF3C92">
      <w:pPr>
        <w:rPr>
          <w:rFonts w:cs="Arial"/>
          <w:b/>
          <w:sz w:val="28"/>
          <w:szCs w:val="28"/>
        </w:rPr>
      </w:pPr>
      <w:bookmarkStart w:id="0" w:name="_GoBack"/>
      <w:bookmarkEnd w:id="0"/>
      <w:r w:rsidRPr="00F54398">
        <w:rPr>
          <w:rFonts w:cs="Arial"/>
          <w:b/>
          <w:sz w:val="28"/>
          <w:szCs w:val="28"/>
        </w:rPr>
        <w:t xml:space="preserve">Social and Behavioral Sciences Human Research Protocol </w:t>
      </w:r>
    </w:p>
    <w:p w14:paraId="4F12EDA5" w14:textId="77777777" w:rsidR="00350789" w:rsidRPr="00F54398" w:rsidRDefault="00350789" w:rsidP="00FF3C92">
      <w:pPr>
        <w:rPr>
          <w:rFonts w:cs="Arial"/>
          <w:b/>
          <w:sz w:val="28"/>
          <w:szCs w:val="28"/>
        </w:rPr>
      </w:pPr>
    </w:p>
    <w:p w14:paraId="59F85A59" w14:textId="7829D3F0" w:rsidR="0077425A" w:rsidRDefault="006E6486" w:rsidP="006E6486">
      <w:pPr>
        <w:rPr>
          <w:rFonts w:cs="Arial"/>
          <w:b/>
          <w:szCs w:val="22"/>
        </w:rPr>
      </w:pPr>
      <w:r w:rsidRPr="00DD53A3">
        <w:rPr>
          <w:rFonts w:cs="Arial"/>
          <w:b/>
          <w:szCs w:val="22"/>
        </w:rPr>
        <w:t>PRINCIPAL INVESTIGATORS</w:t>
      </w:r>
      <w:r w:rsidR="00350789">
        <w:rPr>
          <w:rFonts w:cs="Arial"/>
          <w:b/>
          <w:szCs w:val="22"/>
        </w:rPr>
        <w:t>:</w:t>
      </w:r>
    </w:p>
    <w:p w14:paraId="77950851" w14:textId="77777777" w:rsidR="006E6486" w:rsidRPr="00DD53A3" w:rsidRDefault="006E6486" w:rsidP="006E6486">
      <w:pPr>
        <w:rPr>
          <w:rFonts w:cs="Arial"/>
          <w:szCs w:val="22"/>
        </w:rPr>
      </w:pPr>
      <w:r w:rsidRPr="00DD53A3">
        <w:rPr>
          <w:rFonts w:cs="Arial"/>
          <w:szCs w:val="22"/>
        </w:rPr>
        <w:t>Ravi Parikh, MD, MPP, FACP</w:t>
      </w:r>
    </w:p>
    <w:p w14:paraId="2B6CFE38" w14:textId="77777777" w:rsidR="006E6486" w:rsidRPr="00DD53A3" w:rsidRDefault="006E6486" w:rsidP="006E6486">
      <w:pPr>
        <w:rPr>
          <w:rFonts w:cs="Arial"/>
          <w:szCs w:val="22"/>
        </w:rPr>
      </w:pPr>
      <w:r w:rsidRPr="00DD53A3">
        <w:rPr>
          <w:rFonts w:cs="Arial"/>
          <w:szCs w:val="22"/>
        </w:rPr>
        <w:t>Assistant Professor, Medical Ethics and Health Policy and Medicine</w:t>
      </w:r>
    </w:p>
    <w:p w14:paraId="0F616850" w14:textId="77777777" w:rsidR="006E6486" w:rsidRPr="00DD53A3" w:rsidRDefault="006E6486" w:rsidP="006E6486">
      <w:pPr>
        <w:rPr>
          <w:rFonts w:cs="Arial"/>
          <w:szCs w:val="22"/>
        </w:rPr>
      </w:pPr>
      <w:r w:rsidRPr="00DD53A3">
        <w:rPr>
          <w:rFonts w:cs="Arial"/>
          <w:szCs w:val="22"/>
        </w:rPr>
        <w:t>Perelman School of Medicine, University of Pennsylvania</w:t>
      </w:r>
    </w:p>
    <w:p w14:paraId="26EB80DB" w14:textId="0D951245" w:rsidR="006E6486" w:rsidRDefault="006E6486" w:rsidP="006E6486">
      <w:pPr>
        <w:rPr>
          <w:rFonts w:cs="Arial"/>
          <w:szCs w:val="22"/>
        </w:rPr>
      </w:pPr>
      <w:r w:rsidRPr="00DD53A3">
        <w:rPr>
          <w:rFonts w:cs="Arial"/>
          <w:szCs w:val="22"/>
        </w:rPr>
        <w:t>3400 Civic Center Boulevard</w:t>
      </w:r>
      <w:r w:rsidR="00A91E95">
        <w:rPr>
          <w:rFonts w:cs="Arial"/>
          <w:szCs w:val="22"/>
        </w:rPr>
        <w:t xml:space="preserve">, </w:t>
      </w:r>
      <w:r w:rsidRPr="00DD53A3">
        <w:rPr>
          <w:rFonts w:cs="Arial"/>
          <w:szCs w:val="22"/>
        </w:rPr>
        <w:t>Philadelphia PA 19104</w:t>
      </w:r>
    </w:p>
    <w:p w14:paraId="0174ADB2" w14:textId="264E92A3" w:rsidR="00F53BE5" w:rsidRPr="00F54398" w:rsidRDefault="00791C6F" w:rsidP="006E6486">
      <w:pPr>
        <w:tabs>
          <w:tab w:val="left" w:pos="1110"/>
        </w:tabs>
        <w:rPr>
          <w:rStyle w:val="Hyperlink"/>
          <w:rFonts w:cs="Arial"/>
          <w:color w:val="auto"/>
          <w:szCs w:val="22"/>
          <w:u w:val="none"/>
        </w:rPr>
      </w:pPr>
      <w:hyperlink r:id="rId8" w:history="1">
        <w:r w:rsidR="006E6486" w:rsidRPr="00F54398">
          <w:rPr>
            <w:rStyle w:val="Hyperlink"/>
            <w:rFonts w:cs="Arial"/>
            <w:color w:val="auto"/>
            <w:szCs w:val="22"/>
            <w:u w:val="none"/>
          </w:rPr>
          <w:t>Ravi.Parikh@pennmedicine.upenn.edu</w:t>
        </w:r>
      </w:hyperlink>
    </w:p>
    <w:p w14:paraId="2E31FD17" w14:textId="77777777" w:rsidR="006E6486" w:rsidRPr="00DD53A3" w:rsidRDefault="006E6486" w:rsidP="006E6486">
      <w:pPr>
        <w:tabs>
          <w:tab w:val="left" w:pos="1110"/>
        </w:tabs>
        <w:rPr>
          <w:rFonts w:cs="Arial"/>
          <w:szCs w:val="22"/>
        </w:rPr>
      </w:pPr>
    </w:p>
    <w:p w14:paraId="4EC72CCD" w14:textId="77777777" w:rsidR="006E6486" w:rsidRPr="00DD53A3" w:rsidRDefault="006E6486" w:rsidP="006E6486">
      <w:pPr>
        <w:rPr>
          <w:rFonts w:cs="Arial"/>
          <w:szCs w:val="22"/>
        </w:rPr>
      </w:pPr>
      <w:r w:rsidRPr="00DD53A3">
        <w:rPr>
          <w:rFonts w:cs="Arial"/>
          <w:szCs w:val="22"/>
        </w:rPr>
        <w:t>Samuel U. Takvorian, MD, MS</w:t>
      </w:r>
    </w:p>
    <w:p w14:paraId="4A0E9F52" w14:textId="77777777" w:rsidR="006E6486" w:rsidRPr="00DD53A3" w:rsidRDefault="006E6486" w:rsidP="006E6486">
      <w:pPr>
        <w:rPr>
          <w:rFonts w:cs="Arial"/>
          <w:szCs w:val="22"/>
        </w:rPr>
      </w:pPr>
      <w:r w:rsidRPr="00DD53A3">
        <w:rPr>
          <w:rFonts w:cs="Arial"/>
          <w:szCs w:val="22"/>
        </w:rPr>
        <w:t xml:space="preserve">Instructor of Medicine, Division of Hematology &amp; Oncology </w:t>
      </w:r>
    </w:p>
    <w:p w14:paraId="2E02E761" w14:textId="77777777" w:rsidR="006E6486" w:rsidRPr="00DD53A3" w:rsidRDefault="006E6486" w:rsidP="006E6486">
      <w:pPr>
        <w:rPr>
          <w:rFonts w:cs="Arial"/>
          <w:szCs w:val="22"/>
        </w:rPr>
      </w:pPr>
      <w:r w:rsidRPr="00DD53A3">
        <w:rPr>
          <w:rFonts w:cs="Arial"/>
          <w:szCs w:val="22"/>
        </w:rPr>
        <w:t>Perelman School of Medicine, University of Pennsylvania</w:t>
      </w:r>
    </w:p>
    <w:p w14:paraId="40733EDE" w14:textId="3A74CFAF" w:rsidR="006E6486" w:rsidRDefault="006E6486" w:rsidP="006E6486">
      <w:pPr>
        <w:rPr>
          <w:rFonts w:cs="Arial"/>
          <w:szCs w:val="22"/>
        </w:rPr>
      </w:pPr>
      <w:r w:rsidRPr="00DD53A3">
        <w:rPr>
          <w:rFonts w:cs="Arial"/>
          <w:szCs w:val="22"/>
        </w:rPr>
        <w:t>3400 Civic Center Boulevard</w:t>
      </w:r>
      <w:r w:rsidR="00A91E95">
        <w:rPr>
          <w:rFonts w:cs="Arial"/>
          <w:szCs w:val="22"/>
        </w:rPr>
        <w:t xml:space="preserve">, </w:t>
      </w:r>
      <w:r w:rsidRPr="00DD53A3">
        <w:rPr>
          <w:rFonts w:cs="Arial"/>
          <w:szCs w:val="22"/>
        </w:rPr>
        <w:t>Philadelphia, PA 19104</w:t>
      </w:r>
    </w:p>
    <w:p w14:paraId="3A58A309" w14:textId="2E29F19F" w:rsidR="00F53BE5" w:rsidRPr="00655BCE" w:rsidRDefault="00791C6F" w:rsidP="006E6486">
      <w:pPr>
        <w:rPr>
          <w:rFonts w:cs="Arial"/>
          <w:szCs w:val="22"/>
        </w:rPr>
      </w:pPr>
      <w:hyperlink r:id="rId9" w:history="1">
        <w:r w:rsidR="006E6486" w:rsidRPr="00F54398">
          <w:rPr>
            <w:rStyle w:val="Hyperlink"/>
            <w:rFonts w:cs="Arial"/>
            <w:color w:val="auto"/>
            <w:szCs w:val="22"/>
            <w:u w:val="none"/>
          </w:rPr>
          <w:t>Samuel.Takvorian@pennmedicine.upenn.edu</w:t>
        </w:r>
      </w:hyperlink>
      <w:r w:rsidR="006E6486" w:rsidRPr="00655BCE">
        <w:rPr>
          <w:rFonts w:cs="Arial"/>
          <w:szCs w:val="22"/>
        </w:rPr>
        <w:t xml:space="preserve"> </w:t>
      </w:r>
    </w:p>
    <w:p w14:paraId="4417A6C6" w14:textId="77777777" w:rsidR="006E6486" w:rsidRPr="00DD53A3" w:rsidRDefault="006E6486" w:rsidP="006E6486">
      <w:pPr>
        <w:rPr>
          <w:rFonts w:cs="Arial"/>
          <w:szCs w:val="22"/>
        </w:rPr>
      </w:pPr>
    </w:p>
    <w:p w14:paraId="5A65C8D4" w14:textId="1E86BCCA" w:rsidR="003F27AB" w:rsidRPr="00DD53A3" w:rsidRDefault="001B749A" w:rsidP="00FF3C92">
      <w:pPr>
        <w:rPr>
          <w:rFonts w:cs="Arial"/>
          <w:b/>
          <w:szCs w:val="22"/>
        </w:rPr>
      </w:pPr>
      <w:r w:rsidRPr="00DD53A3">
        <w:rPr>
          <w:rFonts w:cs="Arial"/>
          <w:b/>
          <w:szCs w:val="22"/>
        </w:rPr>
        <w:t>PROTOCOL TITLE</w:t>
      </w:r>
      <w:r w:rsidR="0068628F">
        <w:rPr>
          <w:rFonts w:cs="Arial"/>
          <w:b/>
          <w:szCs w:val="22"/>
        </w:rPr>
        <w:t>:</w:t>
      </w:r>
    </w:p>
    <w:p w14:paraId="0DD65120" w14:textId="473E678C" w:rsidR="003F27AB" w:rsidRDefault="003F27AB" w:rsidP="003F27AB">
      <w:pPr>
        <w:rPr>
          <w:rFonts w:cs="Arial"/>
          <w:szCs w:val="22"/>
        </w:rPr>
      </w:pPr>
      <w:r w:rsidRPr="00DD53A3">
        <w:rPr>
          <w:rFonts w:cs="Arial"/>
          <w:szCs w:val="22"/>
        </w:rPr>
        <w:t>Effect of behavioral nudges to clinicians, patients, or both on Serious Illness Conversation documentation for patients with cancer</w:t>
      </w:r>
    </w:p>
    <w:p w14:paraId="4017459E" w14:textId="76D9E0E2" w:rsidR="0077425A" w:rsidRDefault="0077425A" w:rsidP="003F27AB">
      <w:pPr>
        <w:rPr>
          <w:rFonts w:cs="Arial"/>
          <w:szCs w:val="22"/>
        </w:rPr>
      </w:pPr>
    </w:p>
    <w:p w14:paraId="6A0426A4" w14:textId="2EE5212A" w:rsidR="0077425A" w:rsidRPr="001D1825" w:rsidRDefault="0077425A" w:rsidP="003F27AB">
      <w:pPr>
        <w:rPr>
          <w:rFonts w:cs="Arial"/>
          <w:b/>
          <w:szCs w:val="22"/>
        </w:rPr>
      </w:pPr>
      <w:r w:rsidRPr="001D1825">
        <w:rPr>
          <w:rFonts w:cs="Arial"/>
          <w:b/>
          <w:szCs w:val="22"/>
        </w:rPr>
        <w:t>IRB NUMBER</w:t>
      </w:r>
      <w:r w:rsidR="0068628F">
        <w:rPr>
          <w:rFonts w:cs="Arial"/>
          <w:b/>
          <w:szCs w:val="22"/>
        </w:rPr>
        <w:t>:</w:t>
      </w:r>
    </w:p>
    <w:p w14:paraId="1CBB7DF9" w14:textId="37541292" w:rsidR="0077425A" w:rsidRPr="001D1825" w:rsidRDefault="0077425A" w:rsidP="003F27AB">
      <w:pPr>
        <w:rPr>
          <w:rFonts w:cs="Arial"/>
          <w:szCs w:val="22"/>
        </w:rPr>
      </w:pPr>
      <w:r w:rsidRPr="001D1825">
        <w:rPr>
          <w:rFonts w:cs="Arial"/>
          <w:szCs w:val="22"/>
        </w:rPr>
        <w:t>844816</w:t>
      </w:r>
    </w:p>
    <w:p w14:paraId="2F592A81" w14:textId="5D6B3E27" w:rsidR="0077425A" w:rsidRDefault="0077425A" w:rsidP="003F27AB">
      <w:pPr>
        <w:rPr>
          <w:rFonts w:cs="Arial"/>
          <w:b/>
          <w:szCs w:val="22"/>
        </w:rPr>
      </w:pPr>
    </w:p>
    <w:p w14:paraId="1CE7D32D" w14:textId="5EBB1778" w:rsidR="0077425A" w:rsidRDefault="0077425A" w:rsidP="003F27AB">
      <w:pPr>
        <w:rPr>
          <w:rFonts w:cs="Arial"/>
          <w:b/>
          <w:szCs w:val="22"/>
        </w:rPr>
      </w:pPr>
      <w:r>
        <w:rPr>
          <w:rFonts w:cs="Arial"/>
          <w:b/>
          <w:szCs w:val="22"/>
        </w:rPr>
        <w:t>NIH GRANT NUMBER</w:t>
      </w:r>
      <w:r w:rsidR="0068628F">
        <w:rPr>
          <w:rFonts w:cs="Arial"/>
          <w:b/>
          <w:szCs w:val="22"/>
        </w:rPr>
        <w:t>:</w:t>
      </w:r>
    </w:p>
    <w:p w14:paraId="70C26098" w14:textId="471AA1AC" w:rsidR="0077425A" w:rsidRPr="001D1825" w:rsidRDefault="0077425A" w:rsidP="003F27AB">
      <w:pPr>
        <w:rPr>
          <w:rFonts w:cs="Arial"/>
          <w:szCs w:val="22"/>
        </w:rPr>
      </w:pPr>
      <w:r w:rsidRPr="001D1825">
        <w:rPr>
          <w:rFonts w:cs="Arial"/>
          <w:szCs w:val="22"/>
        </w:rPr>
        <w:t>P50 CA244690</w:t>
      </w:r>
    </w:p>
    <w:p w14:paraId="63B91B60" w14:textId="6A1B9EFE" w:rsidR="0077425A" w:rsidRDefault="0077425A" w:rsidP="003F27AB">
      <w:pPr>
        <w:rPr>
          <w:rFonts w:cs="Arial"/>
          <w:b/>
          <w:szCs w:val="22"/>
        </w:rPr>
      </w:pPr>
    </w:p>
    <w:p w14:paraId="3D9785F4" w14:textId="7D27BC39" w:rsidR="0077425A" w:rsidRDefault="0077425A" w:rsidP="003F27AB">
      <w:pPr>
        <w:rPr>
          <w:rFonts w:cs="Arial"/>
          <w:b/>
          <w:szCs w:val="22"/>
        </w:rPr>
      </w:pPr>
      <w:r>
        <w:rPr>
          <w:rFonts w:cs="Arial"/>
          <w:b/>
          <w:szCs w:val="22"/>
        </w:rPr>
        <w:t>VERSION</w:t>
      </w:r>
    </w:p>
    <w:p w14:paraId="3C88108C" w14:textId="7B101D6A" w:rsidR="0077425A" w:rsidRPr="001D1825" w:rsidRDefault="0077425A" w:rsidP="003F27AB">
      <w:pPr>
        <w:rPr>
          <w:rFonts w:cs="Arial"/>
          <w:szCs w:val="22"/>
        </w:rPr>
      </w:pPr>
      <w:r w:rsidRPr="001D1825">
        <w:rPr>
          <w:rFonts w:cs="Arial"/>
          <w:szCs w:val="22"/>
        </w:rPr>
        <w:t>V1: P50 ISC3 SPP2 protocol 12.14.2020 FINAL</w:t>
      </w:r>
    </w:p>
    <w:p w14:paraId="0ECD461A" w14:textId="34AF25C6" w:rsidR="0077425A" w:rsidRDefault="00984CC5" w:rsidP="003F27AB">
      <w:pPr>
        <w:rPr>
          <w:rFonts w:cs="Arial"/>
          <w:szCs w:val="22"/>
        </w:rPr>
      </w:pPr>
      <w:r>
        <w:rPr>
          <w:rFonts w:cs="Arial"/>
          <w:szCs w:val="22"/>
        </w:rPr>
        <w:t>V2: Protocol_V2_06.10</w:t>
      </w:r>
      <w:r w:rsidR="0077425A" w:rsidRPr="001D1825">
        <w:rPr>
          <w:rFonts w:cs="Arial"/>
          <w:szCs w:val="22"/>
        </w:rPr>
        <w:t>.2021_Clean</w:t>
      </w:r>
      <w:r w:rsidR="0072324D">
        <w:rPr>
          <w:rFonts w:cs="Arial"/>
          <w:szCs w:val="22"/>
        </w:rPr>
        <w:t>_Final</w:t>
      </w:r>
    </w:p>
    <w:p w14:paraId="3E48E2FD" w14:textId="0777DFD3" w:rsidR="00E430D9" w:rsidRPr="001D1825" w:rsidRDefault="00E430D9" w:rsidP="003F27AB">
      <w:pPr>
        <w:rPr>
          <w:rFonts w:cs="Arial"/>
          <w:szCs w:val="22"/>
        </w:rPr>
      </w:pPr>
      <w:r>
        <w:rPr>
          <w:rFonts w:cs="Arial"/>
          <w:szCs w:val="22"/>
        </w:rPr>
        <w:t>V3: Protocol_V3</w:t>
      </w:r>
      <w:r w:rsidR="00C60CBA">
        <w:rPr>
          <w:rFonts w:cs="Arial"/>
          <w:szCs w:val="22"/>
        </w:rPr>
        <w:t>_07.26</w:t>
      </w:r>
      <w:r w:rsidR="002F7C07">
        <w:rPr>
          <w:rFonts w:cs="Arial"/>
          <w:szCs w:val="22"/>
        </w:rPr>
        <w:t>.2021</w:t>
      </w:r>
      <w:r w:rsidR="00694389">
        <w:rPr>
          <w:rFonts w:cs="Arial"/>
          <w:szCs w:val="22"/>
        </w:rPr>
        <w:t>_Clean_Final</w:t>
      </w:r>
    </w:p>
    <w:p w14:paraId="71F2DF83" w14:textId="77777777" w:rsidR="00907CCD" w:rsidRDefault="00907CCD" w:rsidP="00FF3C92">
      <w:pPr>
        <w:pStyle w:val="Header"/>
        <w:tabs>
          <w:tab w:val="clear" w:pos="4320"/>
          <w:tab w:val="clear" w:pos="8640"/>
        </w:tabs>
        <w:rPr>
          <w:rFonts w:cs="Arial"/>
          <w:b/>
          <w:szCs w:val="22"/>
        </w:rPr>
      </w:pPr>
    </w:p>
    <w:p w14:paraId="0D7588D9" w14:textId="22DAD8C8" w:rsidR="009038BE" w:rsidRDefault="009038BE" w:rsidP="00EC60B8">
      <w:pPr>
        <w:rPr>
          <w:rFonts w:cs="Arial"/>
          <w:b/>
          <w:szCs w:val="22"/>
        </w:rPr>
      </w:pPr>
      <w:r>
        <w:rPr>
          <w:rFonts w:cs="Arial"/>
          <w:b/>
          <w:szCs w:val="22"/>
        </w:rPr>
        <w:t>INTRODUCTION AND PURPOSE</w:t>
      </w:r>
      <w:r w:rsidR="0068628F">
        <w:rPr>
          <w:rFonts w:cs="Arial"/>
          <w:b/>
          <w:szCs w:val="22"/>
        </w:rPr>
        <w:t>:</w:t>
      </w:r>
    </w:p>
    <w:p w14:paraId="74578989" w14:textId="426D3451" w:rsidR="00655BCE" w:rsidRDefault="009038BE" w:rsidP="00F54398">
      <w:pPr>
        <w:ind w:firstLine="720"/>
        <w:rPr>
          <w:rFonts w:cs="Arial"/>
          <w:szCs w:val="22"/>
        </w:rPr>
      </w:pPr>
      <w:r w:rsidRPr="00DD53A3">
        <w:rPr>
          <w:rFonts w:cs="Arial"/>
          <w:szCs w:val="22"/>
        </w:rPr>
        <w:t>Patients with cancer often experience physical and emotional distress, utilize unplanned acute care, and undergo medical interventions that are discordant with their wishes.</w:t>
      </w:r>
      <w:r w:rsidR="00414279">
        <w:rPr>
          <w:rFonts w:cs="Arial"/>
          <w:szCs w:val="22"/>
        </w:rPr>
        <w:fldChar w:fldCharType="begin"/>
      </w:r>
      <w:r w:rsidR="003B4B10">
        <w:rPr>
          <w:rFonts w:cs="Arial"/>
          <w:szCs w:val="22"/>
        </w:rPr>
        <w:instrText xml:space="preserve"> ADDIN ZOTERO_ITEM CSL_CITATION {"citationID":"XExJJKkE","properties":{"formattedCitation":"\\super 1\\uc0\\u8211{}6\\nosupersub{}","plainCitation":"1–6","noteIndex":0},"citationItems":[{"id":"POklQDpv/asZ0isXZ","uris":["http://zotero.org/users/6454976/items/QQULCVL9"],"uri":["http://zotero.org/users/6454976/items/QQULCVL9"],"itemData":{"id":1907,"type":"article-journal","abstract":"The purpose of this article is to review the literature and update analyses pertaining to the aggressiveness of cancer care near the end of life. Specifically, we will discuss trends and factors responsible for chemotherapy overuse very near death and underutilization of hospice services. Whether the concept of overly aggressive treatment represents a quality-of-care issue that is acceptable to all involved stakeholders is an open question.","container-title":"Journal of Clinical Oncology: Official Journal of the American Society of Clinical Oncology","DOI":"10.1200/JCO.2007.15.8253","ISSN":"1527-7755","issue":"23","journalAbbreviation":"J. Clin. Oncol.","language":"eng","note":"PMID: 18688053\nPMCID: PMC2654813","page":"3860-3866","source":"PubMed","title":"Aggressiveness of cancer care near the end of life: is it a quality-of-care issue?","title-short":"Aggressiveness of cancer care near the end of life","volume":"26","author":[{"family":"Earle","given":"Craig C."},{"family":"Landrum","given":"Mary Beth"},{"family":"Souza","given":"Jeffrey M."},{"family":"Neville","given":"Bridget A."},{"family":"Weeks","given":"Jane C."},{"family":"Ayanian","given":"John Z."}],"issued":{"date-parts":[["2008",8,10]]}}},{"id":"POklQDpv/5h18k8TG","uris":["http://zotero.org/users/6454976/items/9FMTNPNW"],"uri":["http://zotero.org/users/6454976/items/9FMTNPNW"],"itemData":{"id":1900,"type":"article-journal","abstract":"BACKGROUND: Although many observers believe that cancer chemotherapy is overused at the end of life, there are no published data on this.\nOBJECTIVE: To determine the frequency and duration of chemotherapy use in the last 6 months of life stratified by type of cancer, age, and sex.\nDESIGN: Retrospective cohort analysis.\nSETTING: Administrative databases from Massachusetts and California.\nPATIENTS: All Medicare patients who died of cancer in Massachusetts and 5% of Medicare cancer decedents in California in 1996.\nMEASUREMENTS: Use of intravenous chemotherapy agents, chemotherapy administration, or medical evaluation for chemotherapy from Medicare billing data for each patient in 30-day periods from the date of death backward.\nRESULTS: In Massachusetts, 33% of cancer decedents older than 65 years of age received chemotherapy in the last 6 months of life, 23% in the last 3 months, and 9% in the last month. In California, the percentages were 26%, 20%, and 9%, respectively. Chemotherapy use greatly declined with age. Chemotherapy use was similar for patients with breast, colon, and ovarian cancer and those with cancer generally considered unresponsive to chemotherapy, such as pancreatic, hepatocellular, or renal-cell cancer or melanoma. Patients with types of cancer that are unresponsive to chemotherapy had shorter duration of chemotherapy use.\nCONCLUSION: Among patients who died of cancer, chemotherapy was used frequently in the last 3 months of life. The cancer's responsiveness to chemotherapy does not seem to influence whether dying patients receive chemotherapy at the end of life.","container-title":"Annals of Internal Medicine","DOI":"10.7326/0003-4819-138-8-200304150-00011","ISSN":"1539-3704","issue":"8","journalAbbreviation":"Ann. Intern. Med.","language":"eng","note":"PMID: 12693886","page":"639-643","source":"PubMed","title":"Chemotherapy use among Medicare beneficiaries at the end of life","volume":"138","author":[{"family":"Emanuel","given":"Ezekiel J."},{"family":"Young-Xu","given":"Yinong"},{"family":"Levinsky","given":"Norman G."},{"family":"Gazelle","given":"Gail"},{"family":"Saynina","given":"Olga"},{"family":"Ash","given":"Arlene S."}],"issued":{"date-parts":[["2003",4,15]]}}},{"id":832,"uris":["http://zotero.org/groups/2464975/items/MRNVTXHS"],"uri":["http://zotero.org/groups/2464975/items/MRNVTXHS"],"itemData":{"id":832,"type":"article-journal","abstract":"IMPORTANCE: Patients with advanced-stage cancer are receiving increasingly aggressive medical care near death, despite growing concerns that this reflects poor-quality care.\nOBJECTIVE: To assess the association of aggressive end-of-life care with bereaved family members' perceptions of the quality of end-of-life care and patients' goal attainment.\nDESIGN, SETTING, AND PARTICIPANTS: Interviews with 1146 family members of Medicare patients with advanced-stage lung or colorectal cancer in the Cancer Care Outcomes Research and Surveillance study (a multiregional, prospective, observational study) who died by the end of 2011 (median, 144.5 days after death; interquartile range, 85.0-551.0 days).\nEXPOSURES: Claims-based quality measures of aggressive end-of-life care (ie, intensive care unit [ICU] admission or repeated hospitalizations or emergency department visits during the last month of life; chemotherapy ≤2 weeks of death; no hospice or ≤3 days of hospice services; and deaths occurring in the hospital).\nMAIN OUTCOMES AND MEASURES: Family member-reported quality rating of \"excellent\" for end-of-life care. Secondary outcomes included patients' goal attainment (ie, end-of-life care congruent with patients' wishes and location of death occurred in preferred place).\nRESULTS: Of 1146 patients with cancer (median age, 76.0 years [interquartile range, 65.0-87.0 years]; 55.8% male), bereaved family members reported excellent end-of-life care for 51.3%. Family members reported excellent end-of-life care more often for patients who received hospice care for longer than 3 days (58.8% [352/599]) than those who did not receive hospice care or received 3 or fewer days (43.1% [236/547]) (adjusted difference, 16.5 percentage points [95% CI, 10.7 to 22.4 percentage points]). In contrast, family members of patients admitted to an ICU within 30 days of death reported excellent end-of-life care less often (45.0% [68/151]) than those who were not admitted to an ICU within 30 days of death (52.3% [520/995]) (adjusted difference, -9.4 percentage points [95% CI, -18.2 to -0.6 percentage points]). Similarly, family members of patients who died in the hospital reported excellent end-of-life care less often (42.2% [194/460]) than those who did not die in the hospital (57.4% [394/686]) (adjusted difference, -17.0 percentage points [95% CI, -22.9 to -11.1 percentage points]). Family members of patients who did not receive hospice care or received 3 or fewer days were less likely to report that patients died in their preferred location (40.0% [152/380]) than those who received hospice care for longer than 3 days (72.8% [287/394]) (adjusted difference, -34.4 percentage points [95% CI, -41.7 to -27.0 percentage points]).\nCONCLUSIONS AND RELEVANCE: Among family members of older patients with fee-for service Medicare who died of lung or colorectal cancer, earlier hospice enrollment, avoidance of ICU admissions within 30 days of death, and death occurring outside the hospital were associated with perceptions of better end-of-life care. These findings are supportive of advance care planning consistent with the preferences of patients.","container-title":"JAMA","DOI":"10.1001/jama.2015.18604","ISSN":"1538-3598","issue":"3","journalAbbreviation":"JAMA","language":"eng","note":"PMID: 26784776\nPMCID: PMC4919118","page":"284-292","source":"PubMed","title":"Family Perspectives on Aggressive Cancer Care Near the End of Life","volume":"315","author":[{"family":"Wright","given":"Alexi A."},{"family":"Keating","given":"Nancy L."},{"family":"Ayanian","given":"John Z."},{"family":"Chrischilles","given":"Elizabeth A."},{"family":"Kahn","given":"Katherine L."},{"family":"Ritchie","given":"Christine S."},{"family":"Weeks","given":"Jane C."},{"family":"Earle","given":"Craig C."},{"family":"Landrum","given":"Mary B."}],"issued":{"date-parts":[["2016",1,19]]}}},{"id":831,"uris":["http://zotero.org/groups/2464975/items/9KTC8VM3"],"uri":["http://zotero.org/groups/2464975/items/9KTC8VM3"],"itemData":{"id":831,"type":"article-journal","abstract":"PURPOSE: To determine whether the place of death for patients with cancer is associated with patients' quality of life (QoL) at the end of life (EOL) and psychiatric disorders in bereaved caregivers.\nPATIENTS AND METHODS: Prospective, longitudinal, multisite study of patients with advanced cancer and their caregivers (n = 342 dyads). Patients were followed from enrollment to death, a median of 4.5 months later. Patients' QoL at the EOL was assessed by caregiver report within 2 weeks of death. Bereaved caregivers' mental health was assessed at baseline and 6 months after loss with the Structured Clinical Interview for Diagnostic and Statistical Manual of Mental Disorders, Fourth Edition, and the Prolonged Grief Disorder interview.\nRESULTS: In adjusted analyses, patients with cancer who died in an intensive care unit (ICU) or hospital experienced more physical and emotional distress and worse QoL at the EOL (all P ≤ .03), compared with patients who died at home with hospice. ICU deaths were associated with a heightened risk for posttraumatic stress disorder, compared with home hospice deaths (21.1% [four of 19] v 4.4% [six of 137]; adjusted odds ratio [AOR], 5.00; 95% CI, 1.26 to 19.91; P = .02), after adjustment for caregivers' preexisting psychiatric illnesses. Similarly, hospital deaths were associated with a heightened risk for prolonged grief disorder (21.6% [eight of 37] v 5.2% [four of 77], AOR, 8.83; 95% CI, 1.51 to 51.77; P = .02), compared with home hospice deaths.\nCONCLUSION: Patients with cancer who die in a hospital or ICU have worse QoL compared with those who die at home, and their bereaved caregivers are at increased risk for developing psychiatric illness. Interventions aimed at decreasing terminal hospitalizations or increasing hospice utilization may enhance patients' QoL at the EOL and minimize bereavement-related distress.","container-title":"Journal of Clinical Oncology: Official Journal of the American Society of Clinical Oncology","DOI":"10.1200/JCO.2009.26.3863","ISSN":"1527-7755","issue":"29","journalAbbreviation":"J. Clin. Oncol.","language":"eng","note":"PMID: 20837950\nPMCID: PMC2988637","page":"4457-4464","source":"PubMed","title":"Place of death: correlations with quality of life of patients with cancer and predictors of bereaved caregivers' mental health","title-short":"Place of death","volume":"28","author":[{"family":"Wright","given":"Alexi A."},{"family":"Keating","given":"Nancy L."},{"family":"Balboni","given":"Tracy A."},{"family":"Matulonis","given":"Ursula A."},{"family":"Block","given":"Susan D."},{"family":"Prigerson","given":"Holly G."}],"issued":{"date-parts":[["2010",10,10]]}}},{"id":829,"uris":["http://zotero.org/groups/2464975/items/YHXW75GJ"],"uri":["http://zotero.org/groups/2464975/items/YHXW75GJ"],"itemData":{"id":829,"type":"article-journal","abstract":"CONTEXT/OBJECTIVE: The extent to which patients' preferences for end-of-life (EOL) care are honored may be distorted if preferences are measured long before death, a common approach of existing research. We examined the concordance between cancer patients' states of life-sustaining treatments (LSTs) received in their last month and LST preference states assessed longitudinally over their last six months.\nMETHODS: We examined states of preferred and received LSTs (cardiopulmonary resuscitation, intensive care unit care, chest compression, intubation with mechanical ventilation, intravenous nutrition, and nasogastric tube feeding) in 271 cancer patients' last six months by a transition model with hidden Markov modeling (HMM). The extent of concordance was measured by a percentage and a kappa value.\nRESULTS: HMM identified four LST preference states: life-sustaining preferring, comfort preferring, uncertain, and nutrition preferring. HMM identified four LST states received in patients' last month: generally received LSTs, LSTs uniformly withheld, selectively received LSTs, and received intravenous nutrition only. LSTs received concurred poorly with patients' preferences estimated right before death (39.5% and kappa value: 0.06 [95% CI: -0.02, 0.13]). Patients in the life-sustaining-preferring, uncertain, and nutrition-preferring states primarily received no LSTs, and patients in three of four states received intravenous nutrition against their preferences. Concordance was strongest for comfort-preferring patients.\nCONCLUSIONS: Concordance was poor between patients' preferred and received LST states. Interventions are needed to clarify patients' EOL care goals and to facilitate their understanding about LST's ineffectiveness in prolonging life at EOL. Such interventions might increase patients' comfort preference and ensure concordance between their preferred and received EOL care.","container-title":"Journal of Pain and Symptom Management","DOI":"10.1016/j.jpainsymman.2018.07.003","ISSN":"1873-6513","issue":"4","journalAbbreviation":"J Pain Symptom Manage","language":"eng","note":"PMID: 30025938","page":"509-518.e3","source":"PubMed","title":"Terminally Ill Cancer Patients' Concordance Between Preferred Life-Sustaining Treatment States in Their Last Six Months of Life and Received Life-Sustaining Treatment States in Their Last Month: An Observational Study","title-short":"Terminally Ill Cancer Patients' Concordance Between Preferred Life-Sustaining Treatment States in Their Last Six Months of Life and Received Life-Sustaining Treatment States in Their Last Month","volume":"56","author":[{"family":"Wen","given":"Fur-Hsing"},{"family":"Chen","given":"Jen-Shi"},{"family":"Su","given":"Po-Jung"},{"family":"Chang","given":"Wen-Cheng"},{"family":"Hsieh","given":"Chia-Hsun"},{"family":"Hou","given":"Ming-Mo"},{"family":"Chou","given":"Wen-Chi"},{"family":"Tang","given":"Siew Tzuh"}],"issued":{"date-parts":[["2018"]]}}},{"id":830,"uris":["http://zotero.org/groups/2464975/items/4DFN922B"],"uri":["http://zotero.org/groups/2464975/items/4DFN922B"],"itemData":{"id":830,"type":"article-journal","abstract":"PURPOSE: To characterize the aggressiveness of end-of-life cancer treatment for older adults on Medicare, and its relationship to the availability of healthcare resources.\nPATIENTS AND METHODS: We analyzed Medicare claims of 28,777 patients 65 years and older who died within 1 year of a diagnosis of lung, breast, colorectal, or other gastrointestinal cancer between 1993 and 1996 while living in one of 11 US regions monitored by the Surveillance, Epidemiology, and End Results Program.\nRESULTS: Rates of treatment with chemotherapy increased from 27.9% in 1993 to 29.5% in 1996 (P =.02). Among those who received chemotherapy, 15.7% were still receiving treatment within 2 weeks of death, increasing from 13.8% in 1993 to 18.5% in 1996 (P &lt;.001). From 1993 to 1996, increasing proportions of patients had more than one emergency department visit (7.2% v 9.2%; P &lt;.001), hospitalization (7.8% v 9.1%; P =.008), or were admitted to an intensive care unit (7.1% v 9.4%; P =.009) in the last month of life. Although fewer patients died in acute-care hospitals (32.9% v 29.5%; P &lt;.001) and more used hospice services (28.3% v 38.8%; P &lt;.001), an increasing proportion of patients who received hospice care initiated this service only within the last 3 days of life (14.3% v 17.0%; P =.004). Black patients were more likely than white patients to experience aggressive intervention in nonteaching hospitals but not in teaching hospitals. Greater local availability of hospices was associated with less aggressive treatment near death on multivariate analysis.\nCONCLUSION: The treatment of cancer patients near death is becoming increasingly aggressive over time.","container-title":"Journal of Clinical Oncology: Official Journal of the American Society of Clinical Oncology","DOI":"10.1200/JCO.2004.08.136","ISSN":"0732-183X","issue":"2","journalAbbreviation":"J. Clin. Oncol.","language":"eng","note":"PMID: 14722041","page":"315-321","source":"PubMed","title":"Trends in the aggressiveness of cancer care near the end of life","volume":"22","author":[{"family":"Earle","given":"Craig C."},{"family":"Neville","given":"Bridget A."},{"family":"Landrum","given":"Mary Beth"},{"family":"Ayanian","given":"John Z."},{"family":"Block","given":"Susan D."},{"family":"Weeks","given":"Jane C."}],"issued":{"date-parts":[["2004",1,15]]}}}],"schema":"https://github.com/citation-style-language/schema/raw/master/csl-citation.json"} </w:instrText>
      </w:r>
      <w:r w:rsidR="00414279">
        <w:rPr>
          <w:rFonts w:cs="Arial"/>
          <w:szCs w:val="22"/>
        </w:rPr>
        <w:fldChar w:fldCharType="separate"/>
      </w:r>
      <w:r w:rsidR="00414279" w:rsidRPr="00414279">
        <w:rPr>
          <w:rFonts w:cs="Arial"/>
          <w:szCs w:val="24"/>
          <w:vertAlign w:val="superscript"/>
        </w:rPr>
        <w:t>1–6</w:t>
      </w:r>
      <w:r w:rsidR="00414279">
        <w:rPr>
          <w:rFonts w:cs="Arial"/>
          <w:szCs w:val="22"/>
        </w:rPr>
        <w:fldChar w:fldCharType="end"/>
      </w:r>
      <w:r w:rsidRPr="00DD53A3">
        <w:rPr>
          <w:rFonts w:cs="Arial"/>
          <w:szCs w:val="22"/>
        </w:rPr>
        <w:t xml:space="preserve"> Given the COVID-19 pandemic, these </w:t>
      </w:r>
      <w:r>
        <w:rPr>
          <w:rFonts w:cs="Arial"/>
          <w:szCs w:val="22"/>
        </w:rPr>
        <w:t>adverse outcomes are amplified, particularly for</w:t>
      </w:r>
      <w:r w:rsidRPr="00DD53A3">
        <w:rPr>
          <w:rFonts w:cs="Arial"/>
          <w:szCs w:val="22"/>
        </w:rPr>
        <w:t xml:space="preserve"> </w:t>
      </w:r>
      <w:r>
        <w:rPr>
          <w:rFonts w:cs="Arial"/>
          <w:szCs w:val="22"/>
        </w:rPr>
        <w:t>racial/ethnic</w:t>
      </w:r>
      <w:r w:rsidRPr="00DD53A3">
        <w:rPr>
          <w:rFonts w:cs="Arial"/>
          <w:szCs w:val="22"/>
        </w:rPr>
        <w:t xml:space="preserve"> </w:t>
      </w:r>
      <w:r>
        <w:rPr>
          <w:rFonts w:cs="Arial"/>
          <w:szCs w:val="22"/>
        </w:rPr>
        <w:t>minorities</w:t>
      </w:r>
      <w:r w:rsidRPr="00DD53A3">
        <w:rPr>
          <w:rFonts w:cs="Arial"/>
          <w:szCs w:val="22"/>
        </w:rPr>
        <w:t>. Serious illness conversations (SICs) that elicit patients’ values, goals, and care preferences, particularly early in the disease trajectory, are an evidence-based practice, improve patient mood and quality of life,</w:t>
      </w:r>
      <w:r w:rsidR="000B3DB3">
        <w:rPr>
          <w:rFonts w:cs="Arial"/>
          <w:szCs w:val="22"/>
        </w:rPr>
        <w:fldChar w:fldCharType="begin"/>
      </w:r>
      <w:r w:rsidR="00655791">
        <w:rPr>
          <w:rFonts w:cs="Arial"/>
          <w:szCs w:val="22"/>
        </w:rPr>
        <w:instrText xml:space="preserve"> ADDIN ZOTERO_ITEM CSL_CITATION {"citationID":"0TzUqy8b","properties":{"formattedCitation":"\\super 7\\uc0\\u8211{}12\\nosupersub{}","plainCitation":"7–12","noteIndex":0},"citationItems":[{"id":828,"uris":["http://zotero.org/groups/2464975/items/S4TKAD56"],"uri":["http://zotero.org/groups/2464975/items/S4TKAD56"],"itemData":{"id":828,"type":"article-journal","abstract":"CONTEXT: Talking about death can be difficult. Without evidence that end-of-life discussions improve patient outcomes, physicians must balance their desire to honor patient autonomy against a concern of inflicting psychological harm.\nOBJECTIVE: To determine whether end-of-life discussions with physicians are associated with fewer aggressive interventions.\nDESIGN, SETTING, AND PARTICIPANTS: A US multisite, prospective, longitudinal cohort study of patients with advanced cancer and their informal caregivers (n = 332 dyads), September 2002-February 2008. Patients were followed up from enrollment to death, a median of 4.4 months later. Bereaved caregivers' psychiatric illness and quality of life was assessed a median of 6.5 months later.\nMAIN OUTCOME MEASURES: Aggressive medical care (eg, ventilation, resuscitation) and hospice in the final week of life. Secondary outcomes included patients' mental health and caregivers' bereavement adjustment.\nRESULTS: One hundred twenty-three of 332 (37.0%) patients reported having end-of-life discussions before baseline. Such discussions were not associated with higher rates of major depressive disorder (8.3% vs 5.8%; adjusted odds ratio [OR], 1.33; 95% confidence interval [CI], 0.54-3.32), or more worry (mean McGill score, 6.5 vs 7.0; P = .19). After propensity-score weighted adjustment, end-of-life discussions were associated with lower rates of ventilation (1.6% vs 11.0%; adjusted OR, 0.26; 95% CI, 0.08-0.83), resuscitation (0.8% vs 6.7%; adjusted OR, 0.16; 95% CI, 0.03-0.80), ICU admission (4.1% vs 12.4%; adjusted OR, 0.35; 95% CI, 0.14-0.90), and earlier hospice enrollment (65.6% vs 44.5%; adjusted OR, 1.65;95% CI, 1.04-2.63). In adjusted analyses, more aggressive medical care was associated with worse patient quality of life (6.4 vs 4.6; F = 3.61, P = .01) and higher risk of major depressive disorder in bereaved caregivers (adjusted OR, 3.37; 95% CI, 1.12-10.13), whereas longer hospice stays were associated with better patient quality of life (mean score, 5.6 vs 6.9; F = 3.70, P = .01). Better patient quality of life was associated with better caregiver quality of life at follow-up (beta = .20; P = .001).\nCONCLUSIONS: End-of-life discussions are associated with less aggressive medical care near death and earlier hospice referrals. Aggressive care is associated with worse patient quality of life and worse bereavement adjustment.","container-title":"JAMA","DOI":"10.1001/jama.300.14.1665","ISSN":"1538-3598","issue":"14","journalAbbreviation":"JAMA","language":"eng","note":"PMID: 18840840\nPMCID: PMC2853806","page":"1665-1673","source":"PubMed","title":"Associations between end-of-life discussions, patient mental health, medical care near death, and caregiver bereavement adjustment","volume":"300","author":[{"family":"Wright","given":"Alexi A."},{"family":"Zhang","given":"Baohui"},{"family":"Ray","given":"Alaka"},{"family":"Mack","given":"Jennifer W."},{"family":"Trice","given":"Elizabeth"},{"family":"Balboni","given":"Tracy"},{"family":"Mitchell","given":"Susan L."},{"family":"Jackson","given":"Vicki A."},{"family":"Block","given":"Susan D."},{"family":"Maciejewski","given":"Paul K."},{"family":"Prigerson","given":"Holly G."}],"issued":{"date-parts":[["2008",10,8]]}}},{"id":835,"uris":["http://zotero.org/groups/2464975/items/GSD94QPV"],"uri":["http://zotero.org/groups/2464975/items/GSD94QPV"],"itemData":{"id":835,"type":"article-journal","abstract":"PURPOSE: Physicians have an ethical obligation to honor patients' values for care, including at the end of life (EOL). We sought to evaluate factors that help patients to receive care consistent with their preferences.\nMETHODS: This was a longitudinal multi-institutional cohort study. We measured baseline preferences for life-extending versus symptom-directed care and actual EOL care received in 325 patients with advanced cancer. We also measured associated sociodemographic, health, and communication characteristics, including EOL discussions between patients and physicians.\nRESULTS: Preferences were assessed a median of 125 days before death. Overall, 68% of patients (220 of 325 patients) received EOL care consistent with baseline preferences. The proportion was slightly higher among patients who recognized they were terminally ill (74%, 90 of 121 patients; P = .05). Patients who recognized their terminal illness were more likely to prefer symptom-directed care (83%, 100 of 121 patients; v 66%, 127 of 191 patients; P = .003). However, some patients who were aware they were terminally ill wished to receive life-extending care (17%, 21 of 121 patients). Patients who reported having discussed their wishes for EOL care with a physician (39%, 125 of 322 patients) were more likely to receive care that was consistent with their preferences, both in the full sample (odds ratio [OR] = 2.26; P &lt; .0001) and among patients who were aware they were terminally ill (OR = 3.94; P = .0005). Among patients who received no life-extending measures, physical distress was lower (mean score, 3.1 v 4.1; P = .03) among patients for whom such care was consistent with preferences.\nCONCLUSION: Patients with cancer are more likely to receive EOL care that is consistent with their preferences when they have had the opportunity to discuss their wishes for EOL care with a physician.","container-title":"Journal of Clinical Oncology: Official Journal of the American Society of Clinical Oncology","DOI":"10.1200/JCO.2009.25.4672","ISSN":"1527-7755","issue":"7","journalAbbreviation":"J. Clin. Oncol.","language":"eng","note":"PMID: 20124172\nPMCID: PMC2834470","page":"1203-1208","source":"PubMed","title":"End-of-life discussions, goal attainment, and distress at the end of life: predictors and outcomes of receipt of care consistent with preferences","title-short":"End-of-life discussions, goal attainment, and distress at the end of life","volume":"28","author":[{"family":"Mack","given":"Jennifer W."},{"family":"Weeks","given":"Jane C."},{"family":"Wright","given":"Alexi A."},{"family":"Block","given":"Susan D."},{"family":"Prigerson","given":"Holly G."}],"issued":{"date-parts":[["2010",3,1]]}}},{"id":834,"uris":["http://zotero.org/groups/2464975/items/PA352AJD"],"uri":["http://zotero.org/groups/2464975/items/PA352AJD"],"itemData":{"id":834,"type":"article-journal","abstract":"OBJECTIVE: To investigate the impact of advance care planning on end of life care in elderly patients.\nDESIGN: Prospective randomised controlled trial.\nSETTING: Single centre study in a university hospital in Melbourne, Australia.\nPARTICIPANTS: 309 legally competent medical inpatients aged 80 or more and followed for six months or until death.\nINTERVENTIONS: Participants were randomised to receive usual care or usual care plus facilitated advance care planning. Advance care planning aimed to assist patients to reflect on their goals, values, and beliefs; to consider future medical treatment preferences; to appoint a surrogate; and to document their wishes.\nMAIN OUTCOME MEASURES: The primary outcome was whether a patient's end of life wishes were known and respected. Other outcomes included patient and family satisfaction with hospital stay and levels of stress, anxiety, and depression in relatives of patients who died.\nRESULTS: 154 of the 309 patients were randomised to advance care planning, 125 (81%) received advance care planning, and 108 (84%) expressed wishes or appointed a surrogate, or both. Of the 56 patients who died by six months, end of life wishes were much more likely to be known and followed in the intervention group (25/29, 86%) compared with the control group (8/27, 30%; P&lt;0.001). In the intervention group, family members of patients who died had significantly less stress (intervention 5, control 15; P&lt;0.001), anxiety (intervention 0, control 3; P=0.02), and depression (intervention 0, control 5; P=0.002) than those of the control patients. Patient and family satisfaction was higher in the intervention group.\nCONCLUSIONS: Advance care planning improves end of life care and patient and family satisfaction and reduces stress, anxiety, and depression in surviving relatives. Trial registration Australian New Zealand clinical trials registry ACTRN12608000539336.","container-title":"BMJ (Clinical research ed.)","DOI":"10.1136/bmj.c1345","ISSN":"1756-1833","journalAbbreviation":"BMJ","language":"eng","note":"PMID: 20332506\nPMCID: PMC2844949","page":"c1345","source":"PubMed","title":"The impact of advance care planning on end of life care in elderly patients: randomised controlled trial","title-short":"The impact of advance care planning on end of life care in elderly patients","volume":"340","author":[{"family":"Detering","given":"Karen M."},{"family":"Hancock","given":"Andrew D."},{"family":"Reade","given":"Michael C."},{"family":"Silvester","given":"William"}],"issued":{"date-parts":[["2010",3,23]]}}},{"id":833,"uris":["http://zotero.org/groups/2464975/items/N5BZSQSS"],"uri":["http://zotero.org/groups/2464975/items/N5BZSQSS"],"itemData":{"id":833,"type":"article-journal","abstract":"BACKGROUND: Advance care planning is the process of discussing and recording patient preferences concerning goals of care for patients who may lose capacity or communication ability in the future. Advance care planning could potentially improve end-of-life care, but the methods/tools used are varied and of uncertain benefit. Outcome measures used in existing studies are highly variable.\nAIM: To present an overview of studies on the effects of advance care planning and gain insight in the effectiveness of different types of advance care planning.\nDESIGN: Systematic review.\nDATA SOURCES: We systematically searched PubMed, EMBASE and PsycINFO databases for experimental and observational studies on the effects of advance care planning published in 2000-2012.\nRESULTS: The search yielded 3571 papers, of which 113 were relevant for this review. For each study, the level of evidence was graded. Most studies were observational (95%), originated from the United States (81%) and were performed in hospitals (49%) or nursing homes (32%). Do-not-resuscitate orders (39%) and written advance directives (34%) were most often studied. Advance care planning was often found to decrease life-sustaining treatment, increase use of hospice and palliative care and prevent hospitalisation. Complex advance care planning interventions seem to increase compliance with patients' end-of-life wishes.\nCONCLUSION: The effects of different types of advance care planning have been studied in various settings and populations using different outcome measures. There is evidence that advance care planning positively impacts the quality of end-of-life care. Complex advance care planning interventions may be more effective in meeting patients' preferences than written documents alone. More studies are needed with an experimental design, in different settings, including the community.","container-title":"Palliative Medicine","DOI":"10.1177/0269216314526272","ISSN":"1477-030X","issue":"8","journalAbbreviation":"Palliat Med","language":"eng","note":"PMID: 24651708","page":"1000-1025","source":"PubMed","title":"The effects of advance care planning on end-of-life care: a systematic review","title-short":"The effects of advance care planning on end-of-life care","volume":"28","author":[{"family":"Brinkman-Stoppelenburg","given":"Arianne"},{"family":"Rietjens","given":"Judith A. C."},{"family":"Heide","given":"Agnes","non-dropping-particle":"van der"}],"issued":{"date-parts":[["2014",9]]}}},{"id":825,"uris":["http://zotero.org/groups/2464975/items/KFL4B9S4"],"uri":["http://zotero.org/groups/2464975/items/KFL4B9S4"],"itemData":{"id":825,"type":"article-journal","abstract":"Importance: High-quality conversations between clinicians and seriously ill patients about values and goals are associated with improved outcomes but occur infrequently.\nObjective: To examine feasibility, acceptability, and effect of a communication quality-improvement intervention (Serious Illness Care Program) on patient outcomes.\nDesign, Setting, and Participants: A cluster randomized clinical trial of the Serious Illness Care Program in an outpatient oncology setting was conducted. Patients with advanced cancer (n = 278) and oncology clinicians (n = 91) participated between September 1, 2012, and June 30, 2016. Data analysis was performed from September 1, 2016, to December 27, 2018. All analyses were conducted based on intention to treat.\nInterventions: Tools, training, and system changes.\nMain Outcomes and Measures: The coprimary outcomes included goal-concordant care (Life Priorities) and peacefulness (Peace, Equanimity, and Acceptance in the Cancer Experience questionnaire) at the end of life. Secondary outcomes included therapeutic alliance (Human Connection Scale), anxiety (Generalized Anxiety Disorder 7 scale), depression (Patient Health Questionnaire 9), and survival. Uptake and effectiveness of clinician training, clinician use of the conversation tool, and conversation duration were evaluated.\nResults: Data from 91 clinicians in 41 clusters (72.9% participation; intervention, n = 48; control, n = 43; 52 [57.1%] women) and 278 patients (45.8% participation; intervention, n = 134; control, n = 144; 148 [53.2%] women) were analyzed. Forty-seven clinicians (97.9%) rated the training as effective (mean [SD] score, 4.3 [0.7] of 5.0 possible); of 39 who received a reminder, 34 (87.2%) completed at least 1 conversation (median duration, 19 minutes; range, 5-70). Peacefulness, therapeutic alliance, anxiety, and depression did not differ at baseline. The coprimary outcomes were evaluated in 64 patients; no significant differences were found between the intervention and control groups. However, the trial demonstrated significant reductions in the proportion of patients with moderate to severe anxiety (10.2% vs 5.0%; P = .05) and depression symptoms (20.8% vs 10.6%; P = .04) in the intervention group at 14 weeks after baseline. Anxiety reduction was sustained at 24 weeks (10.4% vs 4.2%; P = .02), but depression reduction was not sustained (17.8% vs 12.5%; P = .31). Survival and therapeutic alliance did not differ between groups.\nConclusions and Relevance: The results of this cluster randomized clinical trial were null with respect to the coprimary outcomes of goal-concordant care and peacefulness at the end of life. Methodologic challenges for the primary outcomes, including measure selection and sample size, limit the conclusions that can be drawn from the study. However, the significant reductions in anxiety and depression in the intervention group are clinically meaningful and require further study.\nTrial Registration: ClinicalTrials.gov identifier: NCT01786811.","container-title":"JAMA internal medicine","DOI":"10.1001/jamainternmed.2019.0077","ISSN":"2168-6114","issue":"6","journalAbbreviation":"JAMA Intern Med","language":"eng","note":"PMID: 30870563\nPMCID: PMC6547155","page":"751-759","source":"PubMed","title":"Effect of the Serious Illness Care Program in Outpatient Oncology: A Cluster Randomized Clinical Trial","title-short":"Effect of the Serious Illness Care Program in Outpatient Oncology","volume":"179","author":[{"family":"Bernacki","given":"Rachelle"},{"family":"Paladino","given":"Joanna"},{"family":"Neville","given":"Bridget A."},{"family":"Hutchings","given":"Mathilde"},{"family":"Kavanagh","given":"Jane"},{"family":"Geerse","given":"Olaf P."},{"family":"Lakin","given":"Joshua"},{"family":"Sanders","given":"Justin J."},{"family":"Miller","given":"Kate"},{"family":"Lipsitz","given":"Stuart"},{"family":"Gawande","given":"Atul A."},{"family":"Block","given":"Susan D."}],"issued":{"date-parts":[["2019"]],"season":"01"}}},{"id":824,"uris":["http://zotero.org/groups/2464975/items/7RTEH4KV"],"uri":["http://zotero.org/groups/2464975/items/7RTEH4KV"],"itemData":{"id":824,"type":"article-journal","abstract":"Importance: Earlier clinician-patient conversations about patients' values, goals, and preferences in serious illness (ie, serious illness conversations) are associated with better outcomes but occur inconsistently in cancer care.\nObjective: To evaluate the efficacy of a communication quality-improvement intervention in improving the occurrence, timing, quality, and accessibility of documented serious illness conversations between oncology clinicians and patients with advanced cancer.\nDesign, Setting, Participants: This cluster randomized clinical trial in outpatient oncology was conducted at the Dana-Farber Cancer Institute and included physicians, advanced-practice clinicians, and patients with cancer who were at high risk of death.\nMain Outcomes and Measures: The primary outcomes (goal-concordant care and peacefulness at the end of life) are published elsewhere. Secondary outcomes are reported herein, including (1) documentation of at least 1 serious illness conversation before death, (2) timing of the initial conversation before death, (3) quality of conversations, and (4) their accessibility in the electronic medical record (EMR).\nResults: We enrolled 91 clinicians (48 intervention, 43 control) and 278 patients (134 intervention, 144 control). Of enrolled patients, 58% died during the study (n=161); mean age was 62.3 years (95% CI, 58.9-65.6 years); 55% were women (n=88). These patients were cared for by 76 of the 91 enrolled clinicians (37 intervention, 39 control); years in practice, 11.5 (95% CI, 9.2-13.8); 57% female (n=43). Medical record review after patients' death demonstrated that a significantly higher proportion of intervention patients had a documented discussion compared with controls (96% vs 79%, P = .005) and intervention conversations occurred a median of 2.4 months earlier (median, 143 days vs 71 days, P &lt; .001). Conversation documentation for intervention patients was significantly more comprehensive and patient centered, with a greater focus on values or goals (89% vs 44%, P &lt; .001), prognosis or illness understanding (91% vs 48%, P &lt; .001), and life-sustaining treatment preferences (63% vs 32%, P = .004). Documentation about end-of-life care planning did not differ between arms (80% intervention vs 68% control, P = .08). Significantly more intervention patients had documentation that was accessible in the EMR (61% vs 11%, P &lt; .001).\nConclusions and Relevance: This communication quality-improvement intervention resulted in more, earlier, better, and more accessible serious illness conversations documented in the EMR. To our knowledge, this is the first such study to demonstrate improvement in all 4 of these outcomes.\nTrial Registration: ClinicalTrials.gov identifier: NCT01786811.","container-title":"JAMA oncology","DOI":"10.1001/jamaoncol.2019.0292","ISSN":"2374-2445","issue":"6","journalAbbreviation":"JAMA Oncol","language":"eng","note":"PMID: 30870556","page":"801-809","source":"PubMed","title":"Evaluating an Intervention to Improve Communication Between Oncology Clinicians and Patients With Life-Limiting Cancer: A Cluster Randomized Clinical Trial of the Serious Illness Care Program","title-short":"Evaluating an Intervention to Improve Communication Between Oncology Clinicians and Patients With Life-Limiting Cancer","volume":"5","author":[{"family":"Paladino","given":"Joanna"},{"family":"Bernacki","given":"Rachelle"},{"family":"Neville","given":"Bridget A."},{"family":"Kavanagh","given":"Jane"},{"family":"Miranda","given":"Stephen P."},{"family":"Palmor","given":"Marissa"},{"family":"Lakin","given":"Joshua"},{"family":"Desai","given":"Meghna"},{"family":"Lamas","given":"Daniela"},{"family":"Sanders","given":"Justin J."},{"family":"Gass","given":"Jonathon"},{"family":"Henrich","given":"Natalie"},{"family":"Lipsitz","given":"Stuart"},{"family":"Fromme","given":"Erik"},{"family":"Gawande","given":"Atul A."},{"family":"Block","given":"Susan D."}],"issued":{"date-parts":[["2019",6,1]]}}}],"schema":"https://github.com/citation-style-language/schema/raw/master/csl-citation.json"} </w:instrText>
      </w:r>
      <w:r w:rsidR="000B3DB3">
        <w:rPr>
          <w:rFonts w:cs="Arial"/>
          <w:szCs w:val="22"/>
        </w:rPr>
        <w:fldChar w:fldCharType="separate"/>
      </w:r>
      <w:r w:rsidR="000B3DB3" w:rsidRPr="000B3DB3">
        <w:rPr>
          <w:rFonts w:cs="Arial"/>
          <w:szCs w:val="24"/>
          <w:vertAlign w:val="superscript"/>
        </w:rPr>
        <w:t>7–12</w:t>
      </w:r>
      <w:r w:rsidR="000B3DB3">
        <w:rPr>
          <w:rFonts w:cs="Arial"/>
          <w:szCs w:val="22"/>
        </w:rPr>
        <w:fldChar w:fldCharType="end"/>
      </w:r>
      <w:r w:rsidRPr="00DD53A3">
        <w:rPr>
          <w:rFonts w:cs="Arial"/>
          <w:szCs w:val="22"/>
        </w:rPr>
        <w:t xml:space="preserve"> and are recommended by national guidelines.</w:t>
      </w:r>
      <w:r w:rsidR="000B3DB3">
        <w:rPr>
          <w:rFonts w:cs="Arial"/>
          <w:szCs w:val="22"/>
        </w:rPr>
        <w:fldChar w:fldCharType="begin"/>
      </w:r>
      <w:r w:rsidR="00655791">
        <w:rPr>
          <w:rFonts w:cs="Arial"/>
          <w:szCs w:val="22"/>
        </w:rPr>
        <w:instrText xml:space="preserve"> ADDIN ZOTERO_ITEM CSL_CITATION {"citationID":"XbtgELri","properties":{"formattedCitation":"\\super 13\\uc0\\u8211{}15\\nosupersub{}","plainCitation":"13–15","noteIndex":0},"citationItems":[{"id":822,"uris":["http://zotero.org/groups/2464975/items/4ABBQZJV"],"uri":["http://zotero.org/groups/2464975/items/4ABBQZJV"],"itemData":{"id":822,"type":"article-journal","abstract":"PURPOSE: Integrated into routine oncology care, palliative care can improve symptom burden, quality of life, and patient and caregiver satisfaction. However, not all oncology practices have access to specialist palliative medicine. This project endeavored to define what constitutes high-quality primary palliative care as delivered by medical oncology practices.\nMETHODS: An expert steering committee outlined 966 palliative care service items, in nine domains, each describing a candidate element of primary palliative care delivery for patients with advanced cancer or high symptom burden. Using modified Delphi methodology, 31 multidisciplinary panelists rated each service item on three constructs: importance, feasibility, and scope within medical oncology practice.\nRESULTS: Panelists endorsed the highest proportion of palliative care service items in the domains of End-of-Life Care (81%); Communication and Shared Decision Making (79%); and Advance Care Planning (78%). The lowest proportions were in Spiritual and Cultural Assessment and Management (35%) and Psychosocial Assessment and Management (39%). In the largest domain, Symptom Assessment and Management, there was consensus that all symptoms should be assessed and managed at a basic level, with more comprehensive management for common symptoms such as nausea, vomiting, diarrhea, dyspnea, and pain. Within the Appropriate Palliative Care and Hospice Referral domain, there was consensus that oncology practices should be able to describe the difference between palliative care and hospice to patients and refer patients appropriately.\nCONCLUSION: This statement describes the elements comprising high-quality primary palliative care for patients with advanced cancer or high symptom burden, as delivered by oncology practices. Oncology providers wishing to enhance palliative care delivery may find this information useful to inform operational changes and quality improvement efforts.","container-title":"Journal of Oncology Practice","DOI":"10.1200/JOP.2016.010686","ISSN":"1935-469X","issue":"9","journalAbbreviation":"J Oncol Pract","language":"eng","note":"PMID: 27531376","page":"e828-838","source":"PubMed","title":"Defining High-Quality Palliative Care in Oncology Practice: An American Society of Clinical Oncology/American Academy of Hospice and Palliative Medicine Guidance Statement","title-short":"Defining High-Quality Palliative Care in Oncology Practice","volume":"12","author":[{"family":"Bickel","given":"Kathleen E."},{"family":"McNiff","given":"Kristen"},{"family":"Buss","given":"Mary K."},{"family":"Kamal","given":"Arif"},{"family":"Lupu","given":"Dale"},{"family":"Abernethy","given":"Amy P."},{"family":"Broder","given":"Michael S."},{"family":"Shapiro","given":"Charles L."},{"family":"Acheson","given":"Anupama Kurup"},{"family":"Malin","given":"Jennifer"},{"family":"Evans","given":"Tracey"},{"family":"Krzyzanowska","given":"Monika K."}],"issued":{"date-parts":[["2016"]]}}},{"id":821,"uris":["http://zotero.org/groups/2464975/items/QM5NKH3F"],"uri":["http://zotero.org/groups/2464975/items/QM5NKH3F"],"itemData":{"id":821,"type":"article-journal","abstract":"An understanding of patients' care goals in the context of a serious illness is an essential element of high-quality care, allowing clinicians to align the care provided with what is most important to the patient. Early discussions about goals of care are associated with better quality of life, reduced use of nonbeneficial medical care near death, enhanced goal-consistent care, positive family outcomes, and reduced costs. Existing evidence does not support the commonly held belief that communication about end-of-life issues increases patient distress. However, conversations about care goals are often conducted by physicians who do not know the patient, do not routinely address patients' nonmedical goals, and often fail to provide patients with sufficient information about prognosis to allow appropriate decisions; in addition, they tend to occur so late in the patient's illness that their impact on care processes is reduced. This article (1) reviews the evidence and describes best practices in conversations about serious illness care goals and (2) offers practical advice for clinicians and health care systems about developing a systematic approach to quality and timing of such communication to assure that each patient has a personalized serious illness care plan. Best practices in discussing goals of care include the following: sharing prognostic information, eliciting decision-making preferences, understanding fears and goals, exploring views on trade-offs and impaired function, and wishes for family involvement. Several interventions hold promise in systematizing conversations with patients about serious illness care goals: better education of physicians; systems to identify and trigger early discussions for appropriate patients; patient and family education; structured formats to guide discussions; dedicated, structured sections in the electronic health record for recording information; and continuous measurement. We conclude that communication about serious illness care goals is an intervention that should be systematically integrated into our clinical care structures and processes.","container-title":"JAMA internal medicine","DOI":"10.1001/jamainternmed.2014.5271","ISSN":"2168-6114","issue":"12","journalAbbreviation":"JAMA Intern Med","language":"eng","note":"PMID: 25330167","page":"1994-2003","source":"PubMed","title":"Communication about serious illness care goals: a review and synthesis of best practices","title-short":"Communication about serious illness care goals","volume":"174","author":[{"family":"Bernacki","given":"Rachelle E."},{"family":"Block","given":"Susan D."},{"literal":"American College of Physicians High Value Care Task Force"}],"issued":{"date-parts":[["2014",12]]}}},{"id":827,"uris":["http://zotero.org/groups/2464975/items/CWEELPK8"],"uri":["http://zotero.org/groups/2464975/items/CWEELPK8"],"itemData":{"id":827,"type":"book","language":"en","note":"container-title: Dying in America: Improving Quality and Honoring Individual Preferences Near the End of Life","publisher":"National Academies Press (US)","source":"www.ncbi.nlm.nih.gov","title":"Committee on Approaching Death: Addressing Key End-Of-Life Issues","title-short":"COMMITTEE ON APPROACHING DEATH","URL":"https://www.ncbi.nlm.nih.gov/books/NBK285678/","accessed":{"date-parts":[["2020",9,4]]},"issued":{"date-parts":[["2015",3,19]]}}}],"schema":"https://github.com/citation-style-language/schema/raw/master/csl-citation.json"} </w:instrText>
      </w:r>
      <w:r w:rsidR="000B3DB3">
        <w:rPr>
          <w:rFonts w:cs="Arial"/>
          <w:szCs w:val="22"/>
        </w:rPr>
        <w:fldChar w:fldCharType="separate"/>
      </w:r>
      <w:r w:rsidR="000B3DB3" w:rsidRPr="000B3DB3">
        <w:rPr>
          <w:rFonts w:cs="Arial"/>
          <w:szCs w:val="24"/>
          <w:vertAlign w:val="superscript"/>
        </w:rPr>
        <w:t>13–15</w:t>
      </w:r>
      <w:r w:rsidR="000B3DB3">
        <w:rPr>
          <w:rFonts w:cs="Arial"/>
          <w:szCs w:val="22"/>
        </w:rPr>
        <w:fldChar w:fldCharType="end"/>
      </w:r>
      <w:r w:rsidRPr="00DD53A3">
        <w:rPr>
          <w:rFonts w:cs="Arial"/>
          <w:szCs w:val="22"/>
        </w:rPr>
        <w:t xml:space="preserve"> Preliminary data suggests that SICs among patients with cancer are associated with improved quality of life, increased hospice utilization, and decreased acute care utilization. However, most patients with advanced cancer die without a documented SIC and </w:t>
      </w:r>
      <w:r w:rsidRPr="00DD53A3">
        <w:rPr>
          <w:rFonts w:cs="Arial"/>
          <w:szCs w:val="22"/>
          <w:lang w:val="en"/>
        </w:rPr>
        <w:t xml:space="preserve">there are well-documented health disparities in implementation </w:t>
      </w:r>
      <w:r>
        <w:rPr>
          <w:rFonts w:cs="Arial"/>
          <w:szCs w:val="22"/>
          <w:lang w:val="en"/>
        </w:rPr>
        <w:t>for</w:t>
      </w:r>
      <w:r w:rsidRPr="00DD53A3">
        <w:rPr>
          <w:rFonts w:cs="Arial"/>
          <w:szCs w:val="22"/>
          <w:lang w:val="en"/>
        </w:rPr>
        <w:t xml:space="preserve"> racial and ethnic minorit</w:t>
      </w:r>
      <w:r>
        <w:rPr>
          <w:rFonts w:cs="Arial"/>
          <w:szCs w:val="22"/>
          <w:lang w:val="en"/>
        </w:rPr>
        <w:t>ies</w:t>
      </w:r>
      <w:r w:rsidRPr="00DD53A3">
        <w:rPr>
          <w:rFonts w:cs="Arial"/>
          <w:szCs w:val="22"/>
          <w:lang w:val="en"/>
        </w:rPr>
        <w:t>.</w:t>
      </w:r>
      <w:r w:rsidR="000B3DB3">
        <w:rPr>
          <w:rFonts w:cs="Arial"/>
          <w:szCs w:val="22"/>
          <w:lang w:val="en"/>
        </w:rPr>
        <w:fldChar w:fldCharType="begin"/>
      </w:r>
      <w:r w:rsidR="00655791">
        <w:rPr>
          <w:rFonts w:cs="Arial"/>
          <w:szCs w:val="22"/>
          <w:lang w:val="en"/>
        </w:rPr>
        <w:instrText xml:space="preserve"> ADDIN ZOTERO_ITEM CSL_CITATION {"citationID":"wkVU6cxp","properties":{"formattedCitation":"\\super 16\\uc0\\u8211{}21\\nosupersub{}","plainCitation":"16–21","noteIndex":0},"citationItems":[{"id":826,"uris":["http://zotero.org/groups/2464975/items/JUCBRVFJ"],"uri":["http://zotero.org/groups/2464975/items/JUCBRVFJ"],"itemData":{"id":826,"type":"article-journal","abstract":"PURPOSE: Advance directives (AD) have been heralded as vehicles to promote patient autonomy and have been decried as ineffective. Efforts to improve advance care planning (ACP) and AD documents are wide ranging but have not been prospectively studied.\nMATERIALS AND METHODS: In an institutional review board-approved, single-blind, randomized, controlled trial, we compared an interactive, educational ACP decision aid to standard ACP among patients with advanced cancer. We hypothesized that use of the decision aid would increase physician awareness of patients' health care wishes and increase physician adherence to patients' end-of-life wishes compared with standard ACP.\nRESULTS: A total of 200 patients were randomly assigned to two study arms. We analyzed data from medical records and interviews with physicians and family members for 121 patients who died by August 2016. No differences in physician awareness or adherence were found between the ACP decision aid and standard ACP groups. End-of-life treatment wishes and discussion of wishes were documented for 70% and 64% of the patients, respectively, but only 35% had an actual AD in the medical record. According to family members, end-of-life care was consistent with the patients' stated wishes 94% of the time. Similarly, according to physicians, it was consistent for 98%. However, according to AD documents, delivered care was consistent with desired care in only 65%. Considerably fewer patients than predicted died, and data from physicians were difficult to obtain.\nCONCLUSION: ACP type did not influence documentation of patient wishes or end-of-life care received. Future prospective studies must account for challenges in prognostication and point-of-care data collection at the end of life.","container-title":"Journal of Oncology Practice","DOI":"10.1200/JOP.18.00044","ISSN":"1935-469X","issue":"1","journalAbbreviation":"J Oncol Pract","language":"eng","note":"PMID: 30543761","page":"e65-e73","source":"PubMed","title":"Advance Care Planning Among Patients With Advanced Cancer","volume":"15","author":[{"family":"Schubart","given":"Jane R."},{"family":"Levi","given":"Benjamin H."},{"family":"Bain","given":"Megan M."},{"family":"Farace","given":"Elana"},{"family":"Green","given":"Michael J."}],"issued":{"date-parts":[["2019"]]}}},{"id":801,"uris":["http://zotero.org/groups/2464975/items/VC3VI4WJ"],"uri":["http://zotero.org/groups/2464975/items/VC3VI4WJ"],"itemData":{"id":801,"type":"article-journal","abstract":"Background\nCurrent, ongoing national surveys do not include questions about end-of-life (EOL) issues. In particular, population-based data are lacking regarding the factors associated with advance directive completion.\nPurpose\nTo characterize U.S. adults who did and did not have an advance directive and examine factors associated with their completion, such as the presence of a chronic condition and regular source of health care.\nMethods\nData were analyzed in 2013 from adults aged 18 years and older who participated in the 2009 or 2010 HealthStyles Survey, a mail panel survey designed to be representative of the U.S. population. Likelihood ratio tests were used to examine the associations between advance directive completion and demographic and socioeconomic variables (education, income, employment status); presence of a chronic condition; regular source of health care; and self-reported EOL concerns or discussions. Multiple logistic regression analyses identified independent predictors related to advance directive completion.\nResults\nOf the 7946 respondents, 26.3% had an advance directive. The most frequently reported reason for not having one was lack of awareness. Advance directive completion was associated with older age, more education, and higher income and was less frequent among non-white respondents. Respondents with advance directives also were more likely to report having a chronic disease and a regular source of care. Advance directives were less frequent among those who reported not knowing if they had an EOL concern.\nConclusions\nThese data indicate racial and educational disparities in advance directive completion and highlight the need for education about their role in facilitating EOL decisions.","container-title":"American Journal of Preventive Medicine","DOI":"10.1016/j.amepre.2013.09.008","ISSN":"0749-3797","issue":"1","journalAbbreviation":"American Journal of Preventive Medicine","language":"en","page":"65-70","source":"ScienceDirect","title":"Completion of Advance Directives Among U.S. Consumers","volume":"46","author":[{"family":"Rao","given":"Jaya K."},{"family":"Anderson","given":"Lynda A."},{"family":"Lin","given":"Feng-Chang"},{"family":"Laux","given":"Jeffrey P."}],"issued":{"date-parts":[["2014",1,1]]}}},{"id":806,"uris":["http://zotero.org/groups/2464975/items/GM6LHIC6"],"uri":["http://zotero.org/groups/2464975/items/GM6LHIC6"],"itemData":{"id":806,"type":"article-journal","abstract":"This paper analyzes the association between race and the presence of advance care plan documents (living wills, do not resuscitate (DNR) orders, and do not hospitalize (DNH) orders) in nursing home residents. We conducted secondary analysis of publicly available survey data from the 1996 Medical Expenditure Panel Survey—Nursing Home Component, a nationally representative survey of nursing home residents in the United States. There were 3,747 participants in the survey, weighted to represent 1.56 million nursing home residents in the United States. We found that 20% of U.S. nursing home residents in 1996 had documentation of living wills, 48% had DNR orders, and 4% had DNH orders. African Americans are about one-third as likely as Caucasians to have living wills and one-fifth as likely as Caucasians to have DNR orders; Hispanics are about one-third as likely as Caucasians to have DNR orders and just as likely as Caucasians to have living wills. In conclusion, we found that the presence of advance care plans is related to race, even after controlling for health and other demographic factors. These findings call attention to an area where further research is needed to determine whether residents' (and their families') preferences are being elicited and documented.","container-title":"Journal of the American Geriatrics Society","DOI":"10.1046/j.1532-5415.2002.50073.x","ISSN":"1532-5415","issue":"2","language":"en","note":"_eprint: https://onlinelibrary.wiley.com/doi/pdf/10.1046/j.1532-5415.2002.50073.x","page":"378-381","source":"Wiley Online Library","title":"Persistence of Racial Disparities in Advance Care Plan Documents Among Nursing Home Residents","volume":"50","author":[{"family":"Degenholtz","given":"Howard B."},{"family":"Arnold","given":"Robert A."},{"family":"Meisel","given":"Alan"},{"family":"Lave","given":"Judith R."}],"issued":{"date-parts":[["2002"]]}}},{"id":802,"uris":["http://zotero.org/groups/2464975/items/R3MG667T"],"uri":["http://zotero.org/groups/2464975/items/R3MG667T"],"itemData":{"id":802,"type":"article-journal","abstract":"Two decades after the Patient Self Determination Act it is unknown how often physicians have advance care planning (ACP) discussions with hospitalized patients. The objective of this study is to investigate use of ACP discussions in a multi-ethnic, multi-lingual hospitalized population. Cross-sectional communication study of hospitalized patients. The Participants are 369 patients at one urban county hospital and one academic medical center. Interventions are not applicable. Participants were asked at baseline and a post-discharge interview whether hospital physicians had discussed either (a) what type of treatment they would want if they could not make decisions for themselves or (b) whether they would want cardiopulmonary resuscitation if needed. We compared patient characteristics for those who did and did not have an ACP discussion. Only 151 (41%) participants reported an ACP discussion. Rates of ACP were low across ethnic, language, education and age groups. In a multivariate model, scoring higher on a co-morbidity scale was associated with higher odds of reporting having had an ACP discussion during hospitalization; this finding remained after adjusting for time period and site of data collection. Multiethnic, multi-lingual hospitalized patients reported low rates of ACP discussions with their physicians regardless of ethnicity, English proficiency, education level or age.","container-title":"Journal of Immigrant and Minority Health","DOI":"10.1007/s10903-010-9361-5","ISSN":"1557-1920","issue":"3","journalAbbreviation":"J Immigrant Minority Health","language":"en","page":"620-624","source":"Springer Link","title":"Physician Use of Advance Care Planning Discussions in a Diverse Hospitalized Population","volume":"13","author":[{"family":"Kulkarni","given":"Sonali P."},{"family":"Karliner","given":"Leah S."},{"family":"Auerbach","given":"Andrew D."},{"family":"Pérez-Stable","given":"Eliseo J."}],"issued":{"date-parts":[["2011",6,1]]}}},{"id":797,"uris":["http://zotero.org/groups/2464975/items/8K5PSH9J"],"uri":["http://zotero.org/groups/2464975/items/8K5PSH9J"],"itemData":{"id":797,"type":"article-journal","abstract":"Purpose\nDespite well-documented racial and ethnic differences in advance care planning (ACP), we know little about why these differences exist. This study tested proposed mediators of racial/ethnic differences in ACP.\n\nPatients and Methods\nWe studied 312 non-Hispanic white, 83 non-Hispanic black, and 73 Hispanic patients with advanced cancer in the Coping with Cancer study, a federally funded multisite prospective cohort study designed to examine racial/ethnic disparities in ACP and end-of-life care. We assessed the impact of terminal illness acknowledgment, religiousness, and treatment preferences on racial/ethnic differences in ACP.\n\nResults\nCompared with white patients, black and Hispanic patients were less likely to have an ACP (white patients, 80%; black patients, 47%; Hispanic patients, 47%) and more likely to want life-prolonging care even if he or she had only a few days left to live (white patients, 14%; black patients, 45%; Hispanic patients, 34%) and to consider religion very important (white patients, 44%; black patients, 88%; Hispanic patients, 73%; all P &lt; .001, comparison of black or Hispanic patients with white patients). Hispanic patients were less likely and black patients marginally less likely to acknowledge their terminally ill status (white patients, 39% v Hispanic patients, 11%; P &lt; .001; white v black patients, 27%; P = .05). Racial/ethnic differences in ACP persisted after adjustment for clinical and demographic factors, terminal illness acknowledgment, religiousness, and treatment preferences (has ACP, black v white patients, adjusted relative risk, 0.64 [95% CI, 0.49 to 0.83]; Hispanic v white patients, 0.65 [95% CI, 0.47 to 0.89]).\n\nConclusion\nAlthough black and Hispanic patients are less likely to consider themselves terminally ill and more likely to want intensive treatment, these factors did not explain observed disparities in ACP.","container-title":"Journal of Clinical Oncology","DOI":"10.1200/JCO.2007.14.8452","ISSN":"0732-183X","issue":"25","journalAbbreviation":"J Clin Oncol","note":"PMID: 18757326\nPMCID: PMC2654372","page":"4131-4137","source":"PubMed Central","title":"Racial and Ethnic Differences in Advance Care Planning Among Patients With Cancer: Impact of Terminal Illness Acknowledgment, Religiousness, and Treatment Preferences","title-short":"Racial and Ethnic Differences in Advance Care Planning Among Patients With Cancer","volume":"26","author":[{"family":"Smith","given":"Alexander K."},{"family":"McCarthy","given":"Ellen P."},{"family":"Paulk","given":"Elizabeth"},{"family":"Balboni","given":"Tracy A."},{"family":"Maciejewski","given":"Paul K."},{"family":"Block","given":"Susan D."},{"family":"Prigerson","given":"Holly G."}],"issued":{"date-parts":[["2008",9,1]]}}},{"id":804,"uris":["http://zotero.org/groups/2464975/items/LHE9V9D6"],"uri":["http://zotero.org/groups/2464975/items/LHE9V9D6"],"itemData":{"id":804,"type":"article-journal","abstract":"Background:Ethnic/racial minorities encounter disparities in healthcare, which may carry into end-of-life (EOL) care. Advanced cancer, highly prevalent and morbid, presents with worsening symptoms, heightening the need for supportive and EOL care.Purpose:To conduct a systematic review examining ethnic/racial disparities in EOL care for cancer patients.Design:We searched four electronic databases for all original research examining EOL care use, preferences, and beliefs for cancer patients from ethnic/racial minority groups.Results:Twenty-five studies were included: 20 quantitative and five qualitative. All had a full-text English language article and focused on the ethnic/racial minority groups of African Americans, Hispanics Americans, or Asian Americans. Key themes included EOL decision making processes, family involvement, provider communication, religion and spirituality, and patient preferences. Hospice was the most studied EOL care, and was most used among Whites, followed by use among Hispanics, and least used by African and Asian Americans. African Americans perceived a greater need for hospice, yet more frequently had inadequate knowledge. African Americans preferred aggressive treatment, yet EOL care provided was often inconsistent with preferences. Hispanics and African Americans less often documented advance care plans, citing religious coping and spirituality as factors.Conclusion:EOL care differences among ethnic/racial minority cancer patients were found in the processes, preferences, and beliefs regarding their care. Further steps are needed to explore the exact causes of differences, yet possible explanations include religious or cultural differences, caregiver respect for patient autonomy, access barriers, and knowledge of EOL care options.","container-title":"American Journal of Hospice and Palliative Medicine®","DOI":"10.1177/1049909114565658","ISSN":"1049-9091","issue":"3","journalAbbreviation":"Am J Hosp Palliat Care","language":"en","note":"publisher: SAGE Publications Inc","page":"291-305","source":"SAGE Journals","title":"End-of-Life Care for People With Cancer From Ethnic Minority Groups: A Systematic Review","title-short":"End-of-Life Care for People With Cancer From Ethnic Minority Groups","volume":"33","author":[{"family":"LoPresti","given":"Melissa A."},{"family":"Dement","given":"Fritz"},{"family":"Gold","given":"Heather T."}],"issued":{"date-parts":[["2016",4,1]]}}}],"schema":"https://github.com/citation-style-language/schema/raw/master/csl-citation.json"} </w:instrText>
      </w:r>
      <w:r w:rsidR="000B3DB3">
        <w:rPr>
          <w:rFonts w:cs="Arial"/>
          <w:szCs w:val="22"/>
          <w:lang w:val="en"/>
        </w:rPr>
        <w:fldChar w:fldCharType="separate"/>
      </w:r>
      <w:r w:rsidR="000B3DB3" w:rsidRPr="000B3DB3">
        <w:rPr>
          <w:rFonts w:cs="Arial"/>
          <w:szCs w:val="24"/>
          <w:vertAlign w:val="superscript"/>
        </w:rPr>
        <w:t>16–21</w:t>
      </w:r>
      <w:r w:rsidR="000B3DB3">
        <w:rPr>
          <w:rFonts w:cs="Arial"/>
          <w:szCs w:val="22"/>
          <w:lang w:val="en"/>
        </w:rPr>
        <w:fldChar w:fldCharType="end"/>
      </w:r>
      <w:r w:rsidRPr="00DD53A3">
        <w:rPr>
          <w:rFonts w:cs="Arial"/>
          <w:szCs w:val="22"/>
        </w:rPr>
        <w:t xml:space="preserve"> Current strategies to promote SICs, including the multi-component strategies </w:t>
      </w:r>
      <w:r>
        <w:rPr>
          <w:rFonts w:cs="Arial"/>
          <w:szCs w:val="22"/>
        </w:rPr>
        <w:t>of</w:t>
      </w:r>
      <w:r w:rsidRPr="00DD53A3">
        <w:rPr>
          <w:rFonts w:cs="Arial"/>
          <w:szCs w:val="22"/>
        </w:rPr>
        <w:t xml:space="preserve"> the </w:t>
      </w:r>
      <w:r w:rsidRPr="00DD53A3">
        <w:rPr>
          <w:rFonts w:cs="Arial"/>
          <w:i/>
          <w:szCs w:val="22"/>
        </w:rPr>
        <w:t>Serious Illness Conversation Program</w:t>
      </w:r>
      <w:r w:rsidRPr="00DD53A3">
        <w:rPr>
          <w:rFonts w:cs="Arial"/>
          <w:szCs w:val="22"/>
        </w:rPr>
        <w:t>, focus primarily on clinician education and have marginally increased the timeliness and frequency of SICs, and reduced patient anxiety and depression.</w:t>
      </w:r>
      <w:r w:rsidR="00E05B7A">
        <w:rPr>
          <w:rFonts w:cs="Arial"/>
          <w:szCs w:val="22"/>
        </w:rPr>
        <w:fldChar w:fldCharType="begin"/>
      </w:r>
      <w:r w:rsidR="00655791">
        <w:rPr>
          <w:rFonts w:cs="Arial"/>
          <w:szCs w:val="22"/>
        </w:rPr>
        <w:instrText xml:space="preserve"> ADDIN ZOTERO_ITEM CSL_CITATION {"citationID":"fYwLUDCT","properties":{"formattedCitation":"\\super 11,12\\nosupersub{}","plainCitation":"11,12","noteIndex":0},"citationItems":[{"id":825,"uris":["http://zotero.org/groups/2464975/items/KFL4B9S4"],"uri":["http://zotero.org/groups/2464975/items/KFL4B9S4"],"itemData":{"id":825,"type":"article-journal","abstract":"Importance: High-quality conversations between clinicians and seriously ill patients about values and goals are associated with improved outcomes but occur infrequently.\nObjective: To examine feasibility, acceptability, and effect of a communication quality-improvement intervention (Serious Illness Care Program) on patient outcomes.\nDesign, Setting, and Participants: A cluster randomized clinical trial of the Serious Illness Care Program in an outpatient oncology setting was conducted. Patients with advanced cancer (n = 278) and oncology clinicians (n = 91) participated between September 1, 2012, and June 30, 2016. Data analysis was performed from September 1, 2016, to December 27, 2018. All analyses were conducted based on intention to treat.\nInterventions: Tools, training, and system changes.\nMain Outcomes and Measures: The coprimary outcomes included goal-concordant care (Life Priorities) and peacefulness (Peace, Equanimity, and Acceptance in the Cancer Experience questionnaire) at the end of life. Secondary outcomes included therapeutic alliance (Human Connection Scale), anxiety (Generalized Anxiety Disorder 7 scale), depression (Patient Health Questionnaire 9), and survival. Uptake and effectiveness of clinician training, clinician use of the conversation tool, and conversation duration were evaluated.\nResults: Data from 91 clinicians in 41 clusters (72.9% participation; intervention, n = 48; control, n = 43; 52 [57.1%] women) and 278 patients (45.8% participation; intervention, n = 134; control, n = 144; 148 [53.2%] women) were analyzed. Forty-seven clinicians (97.9%) rated the training as effective (mean [SD] score, 4.3 [0.7] of 5.0 possible); of 39 who received a reminder, 34 (87.2%) completed at least 1 conversation (median duration, 19 minutes; range, 5-70). Peacefulness, therapeutic alliance, anxiety, and depression did not differ at baseline. The coprimary outcomes were evaluated in 64 patients; no significant differences were found between the intervention and control groups. However, the trial demonstrated significant reductions in the proportion of patients with moderate to severe anxiety (10.2% vs 5.0%; P = .05) and depression symptoms (20.8% vs 10.6%; P = .04) in the intervention group at 14 weeks after baseline. Anxiety reduction was sustained at 24 weeks (10.4% vs 4.2%; P = .02), but depression reduction was not sustained (17.8% vs 12.5%; P = .31). Survival and therapeutic alliance did not differ between groups.\nConclusions and Relevance: The results of this cluster randomized clinical trial were null with respect to the coprimary outcomes of goal-concordant care and peacefulness at the end of life. Methodologic challenges for the primary outcomes, including measure selection and sample size, limit the conclusions that can be drawn from the study. However, the significant reductions in anxiety and depression in the intervention group are clinically meaningful and require further study.\nTrial Registration: ClinicalTrials.gov identifier: NCT01786811.","container-title":"JAMA internal medicine","DOI":"10.1001/jamainternmed.2019.0077","ISSN":"2168-6114","issue":"6","journalAbbreviation":"JAMA Intern Med","language":"eng","note":"PMID: 30870563\nPMCID: PMC6547155","page":"751-759","source":"PubMed","title":"Effect of the Serious Illness Care Program in Outpatient Oncology: A Cluster Randomized Clinical Trial","title-short":"Effect of the Serious Illness Care Program in Outpatient Oncology","volume":"179","author":[{"family":"Bernacki","given":"Rachelle"},{"family":"Paladino","given":"Joanna"},{"family":"Neville","given":"Bridget A."},{"family":"Hutchings","given":"Mathilde"},{"family":"Kavanagh","given":"Jane"},{"family":"Geerse","given":"Olaf P."},{"family":"Lakin","given":"Joshua"},{"family":"Sanders","given":"Justin J."},{"family":"Miller","given":"Kate"},{"family":"Lipsitz","given":"Stuart"},{"family":"Gawande","given":"Atul A."},{"family":"Block","given":"Susan D."}],"issued":{"date-parts":[["2019"]],"season":"01"}}},{"id":824,"uris":["http://zotero.org/groups/2464975/items/7RTEH4KV"],"uri":["http://zotero.org/groups/2464975/items/7RTEH4KV"],"itemData":{"id":824,"type":"article-journal","abstract":"Importance: Earlier clinician-patient conversations about patients' values, goals, and preferences in serious illness (ie, serious illness conversations) are associated with better outcomes but occur inconsistently in cancer care.\nObjective: To evaluate the efficacy of a communication quality-improvement intervention in improving the occurrence, timing, quality, and accessibility of documented serious illness conversations between oncology clinicians and patients with advanced cancer.\nDesign, Setting, Participants: This cluster randomized clinical trial in outpatient oncology was conducted at the Dana-Farber Cancer Institute and included physicians, advanced-practice clinicians, and patients with cancer who were at high risk of death.\nMain Outcomes and Measures: The primary outcomes (goal-concordant care and peacefulness at the end of life) are published elsewhere. Secondary outcomes are reported herein, including (1) documentation of at least 1 serious illness conversation before death, (2) timing of the initial conversation before death, (3) quality of conversations, and (4) their accessibility in the electronic medical record (EMR).\nResults: We enrolled 91 clinicians (48 intervention, 43 control) and 278 patients (134 intervention, 144 control). Of enrolled patients, 58% died during the study (n=161); mean age was 62.3 years (95% CI, 58.9-65.6 years); 55% were women (n=88). These patients were cared for by 76 of the 91 enrolled clinicians (37 intervention, 39 control); years in practice, 11.5 (95% CI, 9.2-13.8); 57% female (n=43). Medical record review after patients' death demonstrated that a significantly higher proportion of intervention patients had a documented discussion compared with controls (96% vs 79%, P = .005) and intervention conversations occurred a median of 2.4 months earlier (median, 143 days vs 71 days, P &lt; .001). Conversation documentation for intervention patients was significantly more comprehensive and patient centered, with a greater focus on values or goals (89% vs 44%, P &lt; .001), prognosis or illness understanding (91% vs 48%, P &lt; .001), and life-sustaining treatment preferences (63% vs 32%, P = .004). Documentation about end-of-life care planning did not differ between arms (80% intervention vs 68% control, P = .08). Significantly more intervention patients had documentation that was accessible in the EMR (61% vs 11%, P &lt; .001).\nConclusions and Relevance: This communication quality-improvement intervention resulted in more, earlier, better, and more accessible serious illness conversations documented in the EMR. To our knowledge, this is the first such study to demonstrate improvement in all 4 of these outcomes.\nTrial Registration: ClinicalTrials.gov identifier: NCT01786811.","container-title":"JAMA oncology","DOI":"10.1001/jamaoncol.2019.0292","ISSN":"2374-2445","issue":"6","journalAbbreviation":"JAMA Oncol","language":"eng","note":"PMID: 30870556","page":"801-809","source":"PubMed","title":"Evaluating an Intervention to Improve Communication Between Oncology Clinicians and Patients With Life-Limiting Cancer: A Cluster Randomized Clinical Trial of the Serious Illness Care Program","title-short":"Evaluating an Intervention to Improve Communication Between Oncology Clinicians and Patients With Life-Limiting Cancer","volume":"5","author":[{"family":"Paladino","given":"Joanna"},{"family":"Bernacki","given":"Rachelle"},{"family":"Neville","given":"Bridget A."},{"family":"Kavanagh","given":"Jane"},{"family":"Miranda","given":"Stephen P."},{"family":"Palmor","given":"Marissa"},{"family":"Lakin","given":"Joshua"},{"family":"Desai","given":"Meghna"},{"family":"Lamas","given":"Daniela"},{"family":"Sanders","given":"Justin J."},{"family":"Gass","given":"Jonathon"},{"family":"Henrich","given":"Natalie"},{"family":"Lipsitz","given":"Stuart"},{"family":"Fromme","given":"Erik"},{"family":"Gawande","given":"Atul A."},{"family":"Block","given":"Susan D."}],"issued":{"date-parts":[["2019",6,1]]}}}],"schema":"https://github.com/citation-style-language/schema/raw/master/csl-citation.json"} </w:instrText>
      </w:r>
      <w:r w:rsidR="00E05B7A">
        <w:rPr>
          <w:rFonts w:cs="Arial"/>
          <w:szCs w:val="22"/>
        </w:rPr>
        <w:fldChar w:fldCharType="separate"/>
      </w:r>
      <w:r w:rsidR="00E05B7A" w:rsidRPr="00E05B7A">
        <w:rPr>
          <w:rFonts w:cs="Arial"/>
          <w:szCs w:val="24"/>
          <w:vertAlign w:val="superscript"/>
        </w:rPr>
        <w:t>11,12</w:t>
      </w:r>
      <w:r w:rsidR="00E05B7A">
        <w:rPr>
          <w:rFonts w:cs="Arial"/>
          <w:szCs w:val="22"/>
        </w:rPr>
        <w:fldChar w:fldCharType="end"/>
      </w:r>
      <w:r w:rsidRPr="00DD53A3">
        <w:rPr>
          <w:rFonts w:cs="Arial"/>
          <w:szCs w:val="22"/>
        </w:rPr>
        <w:t xml:space="preserve"> While core elements of this program are transferable—such as its structured guide—clinical use remains low. For example, even after training, clinicians at Penn Medicine document SICs for fewer than 5% of patients with advanced cancer.</w:t>
      </w:r>
      <w:r w:rsidR="00E05B7A">
        <w:rPr>
          <w:rFonts w:cs="Arial"/>
          <w:szCs w:val="22"/>
        </w:rPr>
        <w:fldChar w:fldCharType="begin"/>
      </w:r>
      <w:r w:rsidR="00655791">
        <w:rPr>
          <w:rFonts w:cs="Arial"/>
          <w:szCs w:val="22"/>
        </w:rPr>
        <w:instrText xml:space="preserve"> ADDIN ZOTERO_ITEM CSL_CITATION {"citationID":"CwgjGnRP","properties":{"formattedCitation":"\\super 22\\nosupersub{}","plainCitation":"22","noteIndex":0},"citationItems":[{"id":1097,"uris":["http://zotero.org/groups/2464975/items/4BGL7XK3"],"uri":["http://zotero.org/groups/2464975/items/4BGL7XK3"],"itemData":{"id":1097,"type":"article-journal","container-title":"JAMA oncology","DOI":"10.1001/jamaoncol.2020.0746","ISSN":"2374-2445","journalAbbreviation":"JAMA Oncol","language":"eng","note":"PMID: 32352478\nPMCID: PMC7193524","source":"PubMed","title":"Association of Behavioral Nudges With High-Value Evidence-Based Prescribing in Oncology","author":[{"family":"Takvorian","given":"Samuel U."},{"family":"Ladage","given":"Vrushabh P."},{"family":"Wileyto","given":"E. Paul"},{"family":"Mace","given":"Drew S."},{"family":"Beidas","given":"Rinad S."},{"family":"Shulman","given":"Lawrence N."},{"family":"Bekelman","given":"Justin E."}],"issued":{"date-parts":[["2020",4,30]]}}}],"schema":"https://github.com/citation-style-language/schema/raw/master/csl-citation.json"} </w:instrText>
      </w:r>
      <w:r w:rsidR="00E05B7A">
        <w:rPr>
          <w:rFonts w:cs="Arial"/>
          <w:szCs w:val="22"/>
        </w:rPr>
        <w:fldChar w:fldCharType="separate"/>
      </w:r>
      <w:r w:rsidR="00655791" w:rsidRPr="00655791">
        <w:rPr>
          <w:rFonts w:cs="Arial"/>
          <w:szCs w:val="24"/>
          <w:vertAlign w:val="superscript"/>
        </w:rPr>
        <w:t>22</w:t>
      </w:r>
      <w:r w:rsidR="00E05B7A">
        <w:rPr>
          <w:rFonts w:cs="Arial"/>
          <w:szCs w:val="22"/>
        </w:rPr>
        <w:fldChar w:fldCharType="end"/>
      </w:r>
      <w:r w:rsidRPr="00DD53A3">
        <w:rPr>
          <w:rFonts w:cs="Arial"/>
          <w:szCs w:val="22"/>
        </w:rPr>
        <w:t xml:space="preserve"> There is </w:t>
      </w:r>
      <w:r w:rsidRPr="00DD53A3">
        <w:rPr>
          <w:rFonts w:cs="Arial"/>
          <w:szCs w:val="22"/>
          <w:u w:val="single"/>
        </w:rPr>
        <w:t>critical need</w:t>
      </w:r>
      <w:r w:rsidRPr="00DD53A3">
        <w:rPr>
          <w:rFonts w:cs="Arial"/>
          <w:szCs w:val="22"/>
        </w:rPr>
        <w:t xml:space="preserve"> to develop, test, and disseminate strategies to improve the frequency of SICs</w:t>
      </w:r>
      <w:r w:rsidR="00655BCE">
        <w:rPr>
          <w:rFonts w:cs="Arial"/>
          <w:szCs w:val="22"/>
        </w:rPr>
        <w:t>.</w:t>
      </w:r>
    </w:p>
    <w:p w14:paraId="1A8D007E" w14:textId="0CBC1592" w:rsidR="0068628F" w:rsidRDefault="006815D6" w:rsidP="00F54398">
      <w:pPr>
        <w:ind w:firstLine="720"/>
      </w:pPr>
      <w:r w:rsidRPr="00DD53A3">
        <w:rPr>
          <w:rFonts w:cs="Arial"/>
          <w:szCs w:val="22"/>
        </w:rPr>
        <w:t>Implementation strategies informed by behavioral economics are ideally suited to</w:t>
      </w:r>
      <w:r>
        <w:rPr>
          <w:rFonts w:cs="Arial"/>
          <w:szCs w:val="22"/>
        </w:rPr>
        <w:t xml:space="preserve"> address this problem, which is </w:t>
      </w:r>
      <w:r w:rsidRPr="00DD53A3">
        <w:rPr>
          <w:rFonts w:cs="Arial"/>
          <w:szCs w:val="22"/>
        </w:rPr>
        <w:t xml:space="preserve">fundamentally </w:t>
      </w:r>
      <w:r>
        <w:rPr>
          <w:rFonts w:cs="Arial"/>
          <w:szCs w:val="22"/>
        </w:rPr>
        <w:t xml:space="preserve">one of </w:t>
      </w:r>
      <w:r w:rsidRPr="00DD53A3">
        <w:rPr>
          <w:rFonts w:cs="Arial"/>
          <w:szCs w:val="22"/>
        </w:rPr>
        <w:t xml:space="preserve">clinician and patient behavior change. </w:t>
      </w:r>
      <w:r>
        <w:rPr>
          <w:rFonts w:ascii="Helvetica" w:hAnsi="Helvetica" w:cs="Helvetica"/>
          <w:color w:val="333333"/>
        </w:rPr>
        <w:t>By intentionally modifying the way choices are framed, behavioral nudges can lead to desirable changes in clinician behavior while preserving clinician choice.</w:t>
      </w:r>
      <w:r w:rsidR="00E05B7A">
        <w:rPr>
          <w:rFonts w:ascii="Helvetica" w:hAnsi="Helvetica" w:cs="Helvetica"/>
          <w:color w:val="333333"/>
        </w:rPr>
        <w:fldChar w:fldCharType="begin"/>
      </w:r>
      <w:r w:rsidR="00655791">
        <w:rPr>
          <w:rFonts w:ascii="Helvetica" w:hAnsi="Helvetica" w:cs="Helvetica"/>
          <w:color w:val="333333"/>
        </w:rPr>
        <w:instrText xml:space="preserve"> ADDIN ZOTERO_ITEM CSL_CITATION {"citationID":"pPkGviLz","properties":{"formattedCitation":"\\super 22\\uc0\\u8211{}25\\nosupersub{}","plainCitation":"22–25","noteIndex":0},"citationItems":[{"id":788,"uris":["http://zotero.org/groups/2464975/items/IGWMQLDT"],"uri":["http://zotero.org/groups/2464975/items/IGWMQLDT"],"itemData":{"id":788,"type":"article-journal","abstract":"IMPORTANCE: Interventions based on behavioral science might reduce inappropriate antibiotic prescribing.\nOBJECTIVE: To assess effects of behavioral interventions and rates of inappropriate (not guideline-concordant) antibiotic prescribing during ambulatory visits for acute respiratory tract infections.\nDESIGN, SETTING, AND PARTICIPANTS: Cluster randomized clinical trial conducted among 47 primary care practices in Boston and Los Angeles. Participants were 248 enrolled clinicians randomized to receive 0, 1, 2, or 3 interventions for 18 months. All clinicians received education on antibiotic prescribing guidelines on enrollment. Interventions began between November 1, 2011, and October 1, 2012. Follow-up for the latest-starting sites ended on April 1, 2014. Adult patients with comorbidities and concomitant infections were excluded.\nINTERVENTIONS: Three behavioral interventions, implemented alone or in combination: suggested alternatives presented electronic order sets suggesting nonantibiotic treatments; accountable justification prompted clinicians to enter free-text justifications for prescribing antibiotics into patients' electronic health records; peer comparison sent emails to clinicians that compared their antibiotic prescribing rates with those of \"top performers\" (those with the lowest inappropriate prescribing rates).\nMAIN OUTCOMES AND MEASURES: Antibiotic prescribing rates for visits with antibiotic-inappropriate diagnoses (nonspecific upper respiratory tract infections, acute bronchitis, and influenza) from 18 months preintervention to 18 months afterward, adjusting each intervention's effects for co-occurring interventions and preintervention trends, with random effects for practices and clinicians.\nRESULTS: There were 14,753 visits (mean patient age, 47 years; 69% women) for antibiotic-inappropriate acute respiratory tract infections during the baseline period and 16,959 visits (mean patient age, 48 years; 67% women) during the intervention period. Mean antibiotic prescribing rates decreased from 24.1% at intervention start to 13.1% at intervention month 18 (absolute difference, -11.0%) for control practices; from 22.1% to 6.1% (absolute difference, -16.0%) for suggested alternatives (difference in differences, -5.0% [95% CI, -7.8% to 0.1%]; P = .66 for differences in trajectories); from 23.2% to 5.2% (absolute difference, -18.1%) for accountable justification (difference in differences, -7.0% [95% CI, -9.1% to -2.9%]; P &lt; .001); and from 19.9% to 3.7% (absolute difference, -16.3%) for peer comparison (difference in differences, -5.2% [95% CI, -6.9% to -1.6%]; P &lt; .001). There were no statistically significant interactions (neither synergy nor interference) between interventions.\nCONCLUSIONS AND RELEVANCE: Among primary care practices, the use of accountable justification and peer comparison as behavioral interventions resulted in lower rates of inappropriate antibiotic prescribing for acute respiratory tract infections.\nTRIAL REGISTRATION: clinicaltrials.gov Identifier: NCT01454947.","container-title":"JAMA","DOI":"10.1001/jama.2016.0275","ISSN":"1538-3598","issue":"6","journalAbbreviation":"JAMA","language":"eng","note":"PMID: 26864410\nPMCID: PMC6689234","page":"562-570","source":"PubMed","title":"Effect of Behavioral Interventions on Inappropriate Antibiotic Prescribing Among Primary Care Practices: A Randomized Clinical Trial","title-short":"Effect of Behavioral Interventions on Inappropriate Antibiotic Prescribing Among Primary Care Practices","volume":"315","author":[{"family":"Meeker","given":"Daniella"},{"family":"Linder","given":"Jeffrey A."},{"family":"Fox","given":"Craig R."},{"family":"Friedberg","given":"Mark W."},{"family":"Persell","given":"Stephen D."},{"family":"Goldstein","given":"Noah J."},{"family":"Knight","given":"Tara K."},{"family":"Hay","given":"Joel W."},{"family":"Doctor","given":"Jason N."}],"issued":{"date-parts":[["2016",2,9]]}}},{"id":1097,"uris":["http://zotero.org/groups/2464975/items/4BGL7XK3"],"uri":["http://zotero.org/groups/2464975/items/4BGL7XK3"],"itemData":{"id":1097,"type":"article-journal","container-title":"JAMA oncology","DOI":"10.1001/jamaoncol.2020.0746","ISSN":"2374-2445","journalAbbreviation":"JAMA Oncol","language":"eng","note":"PMID: 32352478\nPMCID: PMC7193524","source":"PubMed","title":"Association of Behavioral Nudges With High-Value Evidence-Based Prescribing in Oncology","author":[{"family":"Takvorian","given":"Samuel U."},{"family":"Ladage","given":"Vrushabh P."},{"family":"Wileyto","given":"E. Paul"},{"family":"Mace","given":"Drew S."},{"family":"Beidas","given":"Rinad S."},{"family":"Shulman","given":"Lawrence N."},{"family":"Bekelman","given":"Justin E."}],"issued":{"date-parts":[["2020",4,30]]}}},{"id":2412,"uris":["http://zotero.org/groups/2464975/items/B2YUC9RW"],"uri":["http://zotero.org/groups/2464975/items/B2YUC9RW"],"itemData":{"id":2412,"type":"article-journal","container-title":"JAMA internal medicine","DOI":"10.1001/jamainternmed.2016.1691","ISSN":"2168-6114","issue":"6","journalAbbreviation":"JAMA Intern Med","language":"eng","note":"PMID: 27159011\nPMCID: PMC7240800","page":"847-848","source":"PubMed","title":"Generic Medication Prescription Rates After Health System-Wide Redesign of Default Options Within the Electronic Health Record","volume":"176","author":[{"family":"Patel","given":"Mitesh S."},{"family":"Day","given":"Susan C."},{"family":"Halpern","given":"Scott D."},{"family":"Hanson","given":"C. William"},{"family":"Martinez","given":"Joseph R."},{"family":"Honeywell","given":"Steven"},{"family":"Volpp","given":"Kevin G."}],"issued":{"date-parts":[["2016"]],"season":"01"}}},{"id":2411,"uris":["http://zotero.org/groups/2464975/items/Q8FB2M5D"],"uri":["http://zotero.org/groups/2464975/items/Q8FB2M5D"],"itemData":{"id":2411,"type":"article-journal","container-title":"The New England Journal of Medicine","DOI":"10.1056/NEJMp1712984","ISSN":"1533-4406","issue":"3","journalAbbreviation":"N Engl J Med","language":"eng","note":"PMID: 29342387\nPMCID: PMC6143141","page":"214-216","source":"PubMed","title":"Nudge Units to Improve the Delivery of Health Care","volume":"378","author":[{"family":"Patel","given":"Mitesh S."},{"family":"Volpp","given":"Kevin G."},{"family":"Asch","given":"David A."}],"issued":{"date-parts":[["2018",1,18]]}}}],"schema":"https://github.com/citation-style-language/schema/raw/master/csl-citation.json"} </w:instrText>
      </w:r>
      <w:r w:rsidR="00E05B7A">
        <w:rPr>
          <w:rFonts w:ascii="Helvetica" w:hAnsi="Helvetica" w:cs="Helvetica"/>
          <w:color w:val="333333"/>
        </w:rPr>
        <w:fldChar w:fldCharType="separate"/>
      </w:r>
      <w:r w:rsidR="00655791" w:rsidRPr="00655791">
        <w:rPr>
          <w:rFonts w:ascii="Helvetica" w:hAnsi="Helvetica" w:cs="Helvetica"/>
          <w:szCs w:val="24"/>
          <w:vertAlign w:val="superscript"/>
        </w:rPr>
        <w:t>22–25</w:t>
      </w:r>
      <w:r w:rsidR="00E05B7A">
        <w:rPr>
          <w:rFonts w:ascii="Helvetica" w:hAnsi="Helvetica" w:cs="Helvetica"/>
          <w:color w:val="333333"/>
        </w:rPr>
        <w:fldChar w:fldCharType="end"/>
      </w:r>
      <w:r>
        <w:rPr>
          <w:rFonts w:ascii="Helvetica" w:hAnsi="Helvetica" w:cs="Helvetica"/>
          <w:color w:val="333333"/>
        </w:rPr>
        <w:t xml:space="preserve"> </w:t>
      </w:r>
      <w:r w:rsidRPr="00DD53A3">
        <w:rPr>
          <w:rFonts w:cs="Arial"/>
          <w:szCs w:val="22"/>
        </w:rPr>
        <w:t xml:space="preserve">Our preliminary work demonstrates the effectiveness of an implementation strategy focusing on a clinician nudge, consisting of performance feedback and </w:t>
      </w:r>
      <w:r w:rsidRPr="00DD53A3">
        <w:rPr>
          <w:rFonts w:cs="Arial"/>
          <w:szCs w:val="22"/>
        </w:rPr>
        <w:lastRenderedPageBreak/>
        <w:t>targeted text messages identifying patients at high risk of mortality based on a validated machine learning prognostic algorithm.</w:t>
      </w:r>
      <w:r w:rsidR="00E05B7A">
        <w:rPr>
          <w:rFonts w:cs="Arial"/>
          <w:szCs w:val="22"/>
        </w:rPr>
        <w:fldChar w:fldCharType="begin"/>
      </w:r>
      <w:r w:rsidR="00655791">
        <w:rPr>
          <w:rFonts w:cs="Arial"/>
          <w:szCs w:val="22"/>
        </w:rPr>
        <w:instrText xml:space="preserve"> ADDIN ZOTERO_ITEM CSL_CITATION {"citationID":"6LFtt21q","properties":{"formattedCitation":"\\super 26\\nosupersub{}","plainCitation":"26","noteIndex":0},"citationItems":[{"id":813,"uris":["http://zotero.org/groups/2464975/items/TZFHFMRD"],"uri":["http://zotero.org/groups/2464975/items/TZFHFMRD"],"itemData":{"id":813,"type":"article-journal","abstract":"12002Background: Most patients with cancer die without a documented serious illness conversation (SIC) about prognosis and goals. Interventions that increase SICs between oncology clinicians and patients may improve goal-concordant care and end-of-life outcomes. Methods: In this stepped-wedge cluster randomized trial (NCT03984773), we tested the effect of an intervention delivering machine learning-based mortality estimates with behavioral nudges to oncologists to increase SICs among patients with cancer. The clinician-focused intervention consisted of 1) weekly emails providing individual SIC performance feedback (number of SICs in the past month) and peer comparisons; 2) a list of patients scheduled for the next week with a ≥10% predicted risk of 6 month mortality by a validated machine learning prognostic algorithm, and 3) automated opt-out text prompts on the patient’s appointment day to consider an SIC. Eight medical oncology clinics were randomized to receive the intervention in a stepped-wedge fashion every four weeks for a total of 16 weeks. Medical oncology clinicians were included if they were trained to use the SIC Guide (Ariadne Labs, Boston MA). Patients were included if they had an outpatient encounter with an eligible clinician between June 17 and November 1, 2019. The primary outcome was the percent of patient encounters with a documented SIC. Intention to treat analyses adjusted for clinic and wedge fixed effects and clustered at the oncologist level. Results: The sample consisted of 78 clinicians and 14,607 patients. The mean age of patients was 61.7 years, 55.7% were female, 70.4% were white, and 19.6% were black. The percent of patient encounters with an SIC was 1.2% (106/8536) during the pre-intervention period and 4.0% (401/10,152) during the intervention period. In intention to treat adjusted analyses, the intervention led to a significant increase in SICs (adjusted odds ratio, 3.7; 95% CI, 2.5 to 5.4, P value &lt; 0.0001). Conclusions: An intervention consisting of machine learning mortality estimates and behavioral nudges to oncology clinicians increased SICs by three-fold over 16 weeks, a significant difference.This is one of the first studies evaluating a machine learning-based behavioral intervention to improve serious illness communication in oncology. Secondary analyses (completed April 2020) will clarify whether this intervention leads to a sustained increase in SIC rates and improves goal-concordant care and end-of-life outcomes. Clinical trial information: NCT03984773.","collection-title":"In press","container-title":"Journal of Clinical Oncology","DOI":"10.1200/JCO.2020.38.15_suppl.12002","ISSN":"0732-183X","issue":"15_suppl","journalAbbreviation":"JCO","note":"publisher: American Society of Clinical Oncology","page":"12002-12002","source":"ascopubs.org (Atypon)","title":"Effect of integrating machine learning mortality estimates with behavioral nudges to increase serious illness conversions among patients with cancer: A stepped-wedge cluster randomized trial.","title-short":"Effect of integrating machine learning mortality estimates with behavioral nudges to increase serious illness conversions among patients with cancer","volume":"38","author":[{"family":"Manz","given":"Chris"},{"family":"Parikh","given":"Ravi Bharat"},{"family":"Evans","given":"Chalanda N."},{"family":"Chivers","given":"Corey"},{"family":"Regli","given":"Susan B"},{"family":"Changolkar","given":"Sujatha"},{"family":"Bekelman","given":"Justin E."},{"family":"Small","given":"Dylan"},{"family":"Rareshide","given":"Charles A.L."},{"family":"O'Connor","given":"Nina"},{"family":"Schuchter","given":"Lynn Mara"},{"family":"Shulman","given":"Lawrence N."},{"family":"Patel","given":"Mitesh S."}],"issued":{"date-parts":[["2020",5,20]]}}}],"schema":"https://github.com/citation-style-language/schema/raw/master/csl-citation.json"} </w:instrText>
      </w:r>
      <w:r w:rsidR="00E05B7A">
        <w:rPr>
          <w:rFonts w:cs="Arial"/>
          <w:szCs w:val="22"/>
        </w:rPr>
        <w:fldChar w:fldCharType="separate"/>
      </w:r>
      <w:r w:rsidR="00655791" w:rsidRPr="00655791">
        <w:rPr>
          <w:rFonts w:cs="Arial"/>
          <w:szCs w:val="24"/>
          <w:vertAlign w:val="superscript"/>
        </w:rPr>
        <w:t>26</w:t>
      </w:r>
      <w:r w:rsidR="00E05B7A">
        <w:rPr>
          <w:rFonts w:cs="Arial"/>
          <w:szCs w:val="22"/>
        </w:rPr>
        <w:fldChar w:fldCharType="end"/>
      </w:r>
      <w:r w:rsidRPr="00DD53A3">
        <w:rPr>
          <w:rFonts w:cs="Arial"/>
          <w:szCs w:val="22"/>
        </w:rPr>
        <w:t xml:space="preserve"> This strategy led to a threefold increase in SIC documentation for high-risk patients</w:t>
      </w:r>
      <w:r>
        <w:rPr>
          <w:rFonts w:cs="Arial"/>
          <w:szCs w:val="22"/>
        </w:rPr>
        <w:t>, equitably across racial/ethnic minority subgroups,</w:t>
      </w:r>
      <w:r w:rsidRPr="00DD53A3">
        <w:rPr>
          <w:rFonts w:cs="Arial"/>
          <w:szCs w:val="22"/>
        </w:rPr>
        <w:t xml:space="preserve"> and is now in routine use across Penn</w:t>
      </w:r>
      <w:r w:rsidR="00F54398">
        <w:rPr>
          <w:rFonts w:cs="Arial"/>
          <w:szCs w:val="22"/>
        </w:rPr>
        <w:t xml:space="preserve"> </w:t>
      </w:r>
      <w:r w:rsidRPr="00DD53A3">
        <w:rPr>
          <w:rFonts w:cs="Arial"/>
          <w:szCs w:val="22"/>
        </w:rPr>
        <w:t>Medicine practice sites. However, clinicians still did not document SICs for over half of patients, illustrating the limitations of a clinician-directed implementation strategy alone.</w:t>
      </w:r>
      <w:r w:rsidR="00E05B7A">
        <w:rPr>
          <w:rFonts w:cs="Arial"/>
          <w:szCs w:val="22"/>
        </w:rPr>
        <w:fldChar w:fldCharType="begin"/>
      </w:r>
      <w:r w:rsidR="00655791">
        <w:rPr>
          <w:rFonts w:cs="Arial"/>
          <w:szCs w:val="22"/>
        </w:rPr>
        <w:instrText xml:space="preserve"> ADDIN ZOTERO_ITEM CSL_CITATION {"citationID":"Kyc4WFtg","properties":{"formattedCitation":"\\super 26\\nosupersub{}","plainCitation":"26","noteIndex":0},"citationItems":[{"id":813,"uris":["http://zotero.org/groups/2464975/items/TZFHFMRD"],"uri":["http://zotero.org/groups/2464975/items/TZFHFMRD"],"itemData":{"id":813,"type":"article-journal","abstract":"12002Background: Most patients with cancer die without a documented serious illness conversation (SIC) about prognosis and goals. Interventions that increase SICs between oncology clinicians and patients may improve goal-concordant care and end-of-life outcomes. Methods: In this stepped-wedge cluster randomized trial (NCT03984773), we tested the effect of an intervention delivering machine learning-based mortality estimates with behavioral nudges to oncologists to increase SICs among patients with cancer. The clinician-focused intervention consisted of 1) weekly emails providing individual SIC performance feedback (number of SICs in the past month) and peer comparisons; 2) a list of patients scheduled for the next week with a ≥10% predicted risk of 6 month mortality by a validated machine learning prognostic algorithm, and 3) automated opt-out text prompts on the patient’s appointment day to consider an SIC. Eight medical oncology clinics were randomized to receive the intervention in a stepped-wedge fashion every four weeks for a total of 16 weeks. Medical oncology clinicians were included if they were trained to use the SIC Guide (Ariadne Labs, Boston MA). Patients were included if they had an outpatient encounter with an eligible clinician between June 17 and November 1, 2019. The primary outcome was the percent of patient encounters with a documented SIC. Intention to treat analyses adjusted for clinic and wedge fixed effects and clustered at the oncologist level. Results: The sample consisted of 78 clinicians and 14,607 patients. The mean age of patients was 61.7 years, 55.7% were female, 70.4% were white, and 19.6% were black. The percent of patient encounters with an SIC was 1.2% (106/8536) during the pre-intervention period and 4.0% (401/10,152) during the intervention period. In intention to treat adjusted analyses, the intervention led to a significant increase in SICs (adjusted odds ratio, 3.7; 95% CI, 2.5 to 5.4, P value &lt; 0.0001). Conclusions: An intervention consisting of machine learning mortality estimates and behavioral nudges to oncology clinicians increased SICs by three-fold over 16 weeks, a significant difference.This is one of the first studies evaluating a machine learning-based behavioral intervention to improve serious illness communication in oncology. Secondary analyses (completed April 2020) will clarify whether this intervention leads to a sustained increase in SIC rates and improves goal-concordant care and end-of-life outcomes. Clinical trial information: NCT03984773.","collection-title":"In press","container-title":"Journal of Clinical Oncology","DOI":"10.1200/JCO.2020.38.15_suppl.12002","ISSN":"0732-183X","issue":"15_suppl","journalAbbreviation":"JCO","note":"publisher: American Society of Clinical Oncology","page":"12002-12002","source":"ascopubs.org (Atypon)","title":"Effect of integrating machine learning mortality estimates with behavioral nudges to increase serious illness conversions among patients with cancer: A stepped-wedge cluster randomized trial.","title-short":"Effect of integrating machine learning mortality estimates with behavioral nudges to increase serious illness conversions among patients with cancer","volume":"38","author":[{"family":"Manz","given":"Chris"},{"family":"Parikh","given":"Ravi Bharat"},{"family":"Evans","given":"Chalanda N."},{"family":"Chivers","given":"Corey"},{"family":"Regli","given":"Susan B"},{"family":"Changolkar","given":"Sujatha"},{"family":"Bekelman","given":"Justin E."},{"family":"Small","given":"Dylan"},{"family":"Rareshide","given":"Charles A.L."},{"family":"O'Connor","given":"Nina"},{"family":"Schuchter","given":"Lynn Mara"},{"family":"Shulman","given":"Lawrence N."},{"family":"Patel","given":"Mitesh S."}],"issued":{"date-parts":[["2020",5,20]]}}}],"schema":"https://github.com/citation-style-language/schema/raw/master/csl-citation.json"} </w:instrText>
      </w:r>
      <w:r w:rsidR="00E05B7A">
        <w:rPr>
          <w:rFonts w:cs="Arial"/>
          <w:szCs w:val="22"/>
        </w:rPr>
        <w:fldChar w:fldCharType="separate"/>
      </w:r>
      <w:r w:rsidR="00655791" w:rsidRPr="00655791">
        <w:rPr>
          <w:rFonts w:cs="Arial"/>
          <w:szCs w:val="24"/>
          <w:vertAlign w:val="superscript"/>
        </w:rPr>
        <w:t>26</w:t>
      </w:r>
      <w:r w:rsidR="00E05B7A">
        <w:rPr>
          <w:rFonts w:cs="Arial"/>
          <w:szCs w:val="22"/>
        </w:rPr>
        <w:fldChar w:fldCharType="end"/>
      </w:r>
      <w:r w:rsidRPr="00DD53A3">
        <w:rPr>
          <w:rFonts w:cs="Arial"/>
          <w:szCs w:val="22"/>
        </w:rPr>
        <w:t xml:space="preserve"> </w:t>
      </w:r>
      <w:r w:rsidR="002A32AF" w:rsidRPr="00F501CA">
        <w:rPr>
          <w:rFonts w:eastAsiaTheme="minorEastAsia" w:cs="Arial"/>
          <w:color w:val="000000"/>
          <w:szCs w:val="22"/>
        </w:rPr>
        <w:t xml:space="preserve">The </w:t>
      </w:r>
      <w:r w:rsidR="002A32AF">
        <w:rPr>
          <w:rFonts w:eastAsiaTheme="minorEastAsia" w:cs="Arial"/>
          <w:color w:val="000000"/>
          <w:szCs w:val="22"/>
          <w:u w:val="single"/>
        </w:rPr>
        <w:t>purpose</w:t>
      </w:r>
      <w:r w:rsidR="002A32AF" w:rsidRPr="00F501CA">
        <w:rPr>
          <w:rFonts w:eastAsiaTheme="minorEastAsia" w:cs="Arial"/>
          <w:color w:val="000000"/>
          <w:szCs w:val="22"/>
        </w:rPr>
        <w:t xml:space="preserve"> of this </w:t>
      </w:r>
      <w:r w:rsidR="002A32AF">
        <w:rPr>
          <w:rFonts w:eastAsiaTheme="minorEastAsia" w:cs="Arial"/>
          <w:color w:val="000000"/>
          <w:szCs w:val="22"/>
        </w:rPr>
        <w:t>study</w:t>
      </w:r>
      <w:r w:rsidR="002A32AF" w:rsidRPr="00F501CA">
        <w:rPr>
          <w:rFonts w:eastAsiaTheme="minorEastAsia" w:cs="Arial"/>
          <w:color w:val="000000"/>
          <w:szCs w:val="22"/>
        </w:rPr>
        <w:t xml:space="preserve"> is to test </w:t>
      </w:r>
      <w:r w:rsidR="002A32AF">
        <w:rPr>
          <w:rFonts w:eastAsiaTheme="minorEastAsia" w:cs="Arial"/>
          <w:color w:val="000000"/>
          <w:szCs w:val="22"/>
        </w:rPr>
        <w:t xml:space="preserve">behavioral economics-informed multilevel implementation strategies to prompt clinicians and patients to engage in early SICs. </w:t>
      </w:r>
      <w:r w:rsidRPr="00DD53A3">
        <w:rPr>
          <w:rFonts w:cs="Arial"/>
          <w:szCs w:val="22"/>
        </w:rPr>
        <w:t xml:space="preserve">This </w:t>
      </w:r>
      <w:r>
        <w:rPr>
          <w:rFonts w:cs="Arial"/>
          <w:szCs w:val="22"/>
        </w:rPr>
        <w:t>study</w:t>
      </w:r>
      <w:r w:rsidRPr="00DD53A3">
        <w:rPr>
          <w:rFonts w:cs="Arial"/>
          <w:szCs w:val="22"/>
        </w:rPr>
        <w:t xml:space="preserve"> will expand </w:t>
      </w:r>
      <w:r>
        <w:rPr>
          <w:rFonts w:cs="Arial"/>
          <w:szCs w:val="22"/>
        </w:rPr>
        <w:t>on</w:t>
      </w:r>
      <w:r w:rsidR="002A32AF">
        <w:rPr>
          <w:rFonts w:cs="Arial"/>
          <w:szCs w:val="22"/>
        </w:rPr>
        <w:t xml:space="preserve"> these preliminary </w:t>
      </w:r>
      <w:r w:rsidRPr="00DD53A3">
        <w:rPr>
          <w:rFonts w:cs="Arial"/>
          <w:szCs w:val="22"/>
        </w:rPr>
        <w:t xml:space="preserve">findings to evaluate the synergy between clinician- </w:t>
      </w:r>
      <w:r w:rsidRPr="00DD53A3">
        <w:rPr>
          <w:rFonts w:cs="Arial"/>
          <w:i/>
          <w:szCs w:val="22"/>
        </w:rPr>
        <w:t>and</w:t>
      </w:r>
      <w:r w:rsidRPr="00DD53A3">
        <w:rPr>
          <w:rFonts w:cs="Arial"/>
          <w:szCs w:val="22"/>
        </w:rPr>
        <w:t xml:space="preserve"> patient-d</w:t>
      </w:r>
      <w:r>
        <w:rPr>
          <w:rFonts w:cs="Arial"/>
          <w:szCs w:val="22"/>
        </w:rPr>
        <w:t>irected nudges to increase SIC documentation.</w:t>
      </w:r>
    </w:p>
    <w:p w14:paraId="7B609242" w14:textId="77777777" w:rsidR="0068628F" w:rsidRDefault="0068628F" w:rsidP="0068628F">
      <w:pPr>
        <w:pStyle w:val="Header"/>
        <w:rPr>
          <w:rFonts w:cs="Arial"/>
          <w:b/>
          <w:szCs w:val="22"/>
        </w:rPr>
      </w:pPr>
    </w:p>
    <w:p w14:paraId="241BA692" w14:textId="0D95A830" w:rsidR="003E23E7" w:rsidRDefault="003E23E7" w:rsidP="0068628F">
      <w:pPr>
        <w:pStyle w:val="Header"/>
        <w:rPr>
          <w:rFonts w:cs="Arial"/>
          <w:b/>
          <w:szCs w:val="22"/>
        </w:rPr>
      </w:pPr>
      <w:r>
        <w:rPr>
          <w:rFonts w:cs="Arial"/>
          <w:b/>
          <w:szCs w:val="22"/>
        </w:rPr>
        <w:t>OBJECTIVES</w:t>
      </w:r>
      <w:r w:rsidR="0068628F">
        <w:rPr>
          <w:rFonts w:cs="Arial"/>
          <w:b/>
          <w:szCs w:val="22"/>
        </w:rPr>
        <w:t>:</w:t>
      </w:r>
    </w:p>
    <w:p w14:paraId="53D1E1FD" w14:textId="77777777" w:rsidR="003E23E7" w:rsidRDefault="003E23E7" w:rsidP="00917290">
      <w:pPr>
        <w:pStyle w:val="Header"/>
        <w:rPr>
          <w:rFonts w:cs="Arial"/>
          <w:b/>
          <w:szCs w:val="22"/>
        </w:rPr>
      </w:pPr>
    </w:p>
    <w:p w14:paraId="35D79488" w14:textId="77777777" w:rsidR="00733DE9" w:rsidRDefault="00733DE9" w:rsidP="00733DE9">
      <w:pPr>
        <w:rPr>
          <w:rFonts w:eastAsiaTheme="minorEastAsia" w:cs="Arial"/>
          <w:i/>
          <w:iCs/>
          <w:color w:val="000000"/>
          <w:szCs w:val="22"/>
        </w:rPr>
      </w:pPr>
      <w:r>
        <w:rPr>
          <w:rFonts w:eastAsiaTheme="minorEastAsia" w:cs="Arial"/>
          <w:color w:val="000000"/>
          <w:szCs w:val="22"/>
          <w:u w:val="single"/>
        </w:rPr>
        <w:t xml:space="preserve">Aim </w:t>
      </w:r>
      <w:r w:rsidRPr="003B40DA">
        <w:rPr>
          <w:rFonts w:eastAsiaTheme="minorEastAsia" w:cs="Arial"/>
          <w:color w:val="000000"/>
          <w:szCs w:val="22"/>
          <w:u w:val="single"/>
        </w:rPr>
        <w:t>1</w:t>
      </w:r>
      <w:r>
        <w:rPr>
          <w:rFonts w:eastAsiaTheme="minorEastAsia" w:cs="Arial"/>
          <w:color w:val="000000"/>
          <w:szCs w:val="22"/>
        </w:rPr>
        <w:t xml:space="preserve">: </w:t>
      </w:r>
      <w:r w:rsidRPr="003B40DA">
        <w:rPr>
          <w:rFonts w:eastAsiaTheme="minorEastAsia" w:cs="Arial"/>
          <w:bCs/>
          <w:color w:val="000000"/>
          <w:szCs w:val="22"/>
        </w:rPr>
        <w:t xml:space="preserve">Conduct a pragmatic four-arm </w:t>
      </w:r>
      <w:r>
        <w:rPr>
          <w:rFonts w:eastAsiaTheme="minorEastAsia" w:cs="Arial"/>
          <w:bCs/>
          <w:color w:val="000000"/>
          <w:szCs w:val="22"/>
        </w:rPr>
        <w:t>randomized controlled trial</w:t>
      </w:r>
      <w:r w:rsidRPr="003B40DA">
        <w:rPr>
          <w:rFonts w:eastAsiaTheme="minorEastAsia" w:cs="Arial"/>
          <w:bCs/>
          <w:color w:val="000000"/>
          <w:szCs w:val="22"/>
        </w:rPr>
        <w:t xml:space="preserve"> to test the effectiveness of nudges to clinicians, nudges to patients, or nudges to both</w:t>
      </w:r>
      <w:r w:rsidRPr="003B40DA">
        <w:rPr>
          <w:rFonts w:eastAsiaTheme="minorEastAsia" w:cs="Arial"/>
          <w:color w:val="000000"/>
          <w:szCs w:val="22"/>
        </w:rPr>
        <w:t xml:space="preserve"> in increasing the frequency</w:t>
      </w:r>
      <w:r>
        <w:rPr>
          <w:rFonts w:eastAsiaTheme="minorEastAsia" w:cs="Arial"/>
          <w:color w:val="000000"/>
          <w:szCs w:val="22"/>
        </w:rPr>
        <w:t xml:space="preserve"> and timeliness</w:t>
      </w:r>
      <w:r w:rsidRPr="003B40DA">
        <w:rPr>
          <w:rFonts w:eastAsiaTheme="minorEastAsia" w:cs="Arial"/>
          <w:color w:val="000000"/>
          <w:szCs w:val="22"/>
        </w:rPr>
        <w:t xml:space="preserve"> of </w:t>
      </w:r>
      <w:r>
        <w:rPr>
          <w:rFonts w:eastAsiaTheme="minorEastAsia" w:cs="Arial"/>
          <w:color w:val="000000"/>
          <w:szCs w:val="22"/>
        </w:rPr>
        <w:t>SIC</w:t>
      </w:r>
      <w:r w:rsidRPr="003B40DA">
        <w:rPr>
          <w:rFonts w:eastAsiaTheme="minorEastAsia" w:cs="Arial"/>
          <w:color w:val="000000"/>
          <w:szCs w:val="22"/>
        </w:rPr>
        <w:t xml:space="preserve"> documentation, </w:t>
      </w:r>
      <w:r>
        <w:rPr>
          <w:rFonts w:eastAsiaTheme="minorEastAsia" w:cs="Arial"/>
          <w:color w:val="000000"/>
          <w:szCs w:val="22"/>
        </w:rPr>
        <w:t>compared</w:t>
      </w:r>
      <w:r w:rsidRPr="003B40DA">
        <w:rPr>
          <w:rFonts w:eastAsiaTheme="minorEastAsia" w:cs="Arial"/>
          <w:color w:val="000000"/>
          <w:szCs w:val="22"/>
        </w:rPr>
        <w:t xml:space="preserve"> to usual practice.</w:t>
      </w:r>
    </w:p>
    <w:p w14:paraId="2A69F548" w14:textId="77777777" w:rsidR="00733DE9" w:rsidRDefault="00733DE9" w:rsidP="00CA4806"/>
    <w:p w14:paraId="3DF396C2" w14:textId="77777777" w:rsidR="003E23E7" w:rsidRDefault="008024AA" w:rsidP="003E23E7">
      <w:pPr>
        <w:pStyle w:val="Header"/>
        <w:numPr>
          <w:ilvl w:val="0"/>
          <w:numId w:val="21"/>
        </w:numPr>
        <w:rPr>
          <w:rFonts w:cs="Arial"/>
          <w:b/>
          <w:i/>
          <w:szCs w:val="22"/>
        </w:rPr>
      </w:pPr>
      <w:r>
        <w:rPr>
          <w:rFonts w:cs="Arial"/>
          <w:b/>
          <w:i/>
          <w:szCs w:val="22"/>
        </w:rPr>
        <w:t>Primary objective:</w:t>
      </w:r>
    </w:p>
    <w:p w14:paraId="44EB74E1" w14:textId="5C01E136" w:rsidR="003E23E7" w:rsidRDefault="008024AA" w:rsidP="002A435B">
      <w:pPr>
        <w:pStyle w:val="Header"/>
        <w:ind w:left="720"/>
        <w:rPr>
          <w:rFonts w:cs="Arial"/>
          <w:szCs w:val="22"/>
        </w:rPr>
      </w:pPr>
      <w:r>
        <w:rPr>
          <w:rFonts w:cs="Arial"/>
          <w:szCs w:val="22"/>
        </w:rPr>
        <w:t xml:space="preserve">Test the </w:t>
      </w:r>
      <w:r w:rsidR="002A435B">
        <w:rPr>
          <w:rFonts w:cs="Arial"/>
          <w:szCs w:val="22"/>
        </w:rPr>
        <w:t xml:space="preserve">effect of nudges to clinicians, nudges to patients, </w:t>
      </w:r>
      <w:r w:rsidR="008B6C0A">
        <w:rPr>
          <w:rFonts w:cs="Arial"/>
          <w:szCs w:val="22"/>
        </w:rPr>
        <w:t xml:space="preserve">or </w:t>
      </w:r>
      <w:r w:rsidR="002A435B">
        <w:rPr>
          <w:rFonts w:cs="Arial"/>
          <w:szCs w:val="22"/>
        </w:rPr>
        <w:t xml:space="preserve">nudges to both, compared to usual practice, on SIC documentation, among </w:t>
      </w:r>
      <w:r>
        <w:rPr>
          <w:rFonts w:cs="Arial"/>
          <w:szCs w:val="22"/>
        </w:rPr>
        <w:t xml:space="preserve">high-risk </w:t>
      </w:r>
      <w:r w:rsidR="00750065">
        <w:rPr>
          <w:rFonts w:cs="Arial"/>
          <w:szCs w:val="22"/>
        </w:rPr>
        <w:t>patients</w:t>
      </w:r>
      <w:r w:rsidR="00945C79">
        <w:rPr>
          <w:rFonts w:cs="Arial"/>
          <w:szCs w:val="22"/>
        </w:rPr>
        <w:t>.</w:t>
      </w:r>
    </w:p>
    <w:p w14:paraId="17EFC4DE" w14:textId="77777777" w:rsidR="003E23E7" w:rsidRDefault="003E23E7" w:rsidP="003E23E7">
      <w:pPr>
        <w:pStyle w:val="Header"/>
        <w:ind w:left="720"/>
        <w:rPr>
          <w:rFonts w:cs="Arial"/>
          <w:szCs w:val="22"/>
        </w:rPr>
      </w:pPr>
    </w:p>
    <w:p w14:paraId="6460260E" w14:textId="77777777" w:rsidR="003E23E7" w:rsidRDefault="003E23E7" w:rsidP="003E23E7">
      <w:pPr>
        <w:pStyle w:val="Header"/>
        <w:numPr>
          <w:ilvl w:val="0"/>
          <w:numId w:val="21"/>
        </w:numPr>
        <w:rPr>
          <w:rFonts w:cs="Arial"/>
          <w:b/>
          <w:i/>
          <w:szCs w:val="22"/>
        </w:rPr>
      </w:pPr>
      <w:r w:rsidRPr="00A50D88">
        <w:rPr>
          <w:rFonts w:cs="Arial"/>
          <w:b/>
          <w:i/>
          <w:szCs w:val="22"/>
        </w:rPr>
        <w:t>Secondary</w:t>
      </w:r>
      <w:r>
        <w:rPr>
          <w:rFonts w:cs="Arial"/>
          <w:b/>
          <w:i/>
          <w:szCs w:val="22"/>
        </w:rPr>
        <w:t xml:space="preserve"> objectives</w:t>
      </w:r>
      <w:r w:rsidRPr="00A50D88">
        <w:rPr>
          <w:rFonts w:cs="Arial"/>
          <w:b/>
          <w:i/>
          <w:szCs w:val="22"/>
        </w:rPr>
        <w:t>:</w:t>
      </w:r>
    </w:p>
    <w:p w14:paraId="57A0C3C5" w14:textId="4F29B2F4" w:rsidR="008024AA" w:rsidRDefault="002A435B" w:rsidP="008024AA">
      <w:pPr>
        <w:pStyle w:val="Header"/>
        <w:ind w:left="720"/>
        <w:rPr>
          <w:rFonts w:cs="Arial"/>
          <w:szCs w:val="22"/>
        </w:rPr>
      </w:pPr>
      <w:r>
        <w:rPr>
          <w:rFonts w:cs="Arial"/>
          <w:szCs w:val="22"/>
        </w:rPr>
        <w:t xml:space="preserve">Test the effect of nudges to clinicians, nudges to patients, </w:t>
      </w:r>
      <w:r w:rsidR="008B6C0A">
        <w:rPr>
          <w:rFonts w:cs="Arial"/>
          <w:szCs w:val="22"/>
        </w:rPr>
        <w:t xml:space="preserve">or </w:t>
      </w:r>
      <w:r>
        <w:rPr>
          <w:rFonts w:cs="Arial"/>
          <w:szCs w:val="22"/>
        </w:rPr>
        <w:t xml:space="preserve">nudges to both, compared to usual practice, on the </w:t>
      </w:r>
      <w:r w:rsidR="008024AA">
        <w:rPr>
          <w:rFonts w:cs="Arial"/>
          <w:szCs w:val="22"/>
        </w:rPr>
        <w:t xml:space="preserve">following secondary outcomes: </w:t>
      </w:r>
    </w:p>
    <w:p w14:paraId="4D8350DB" w14:textId="77777777" w:rsidR="008024AA" w:rsidRDefault="008024AA" w:rsidP="008024AA">
      <w:pPr>
        <w:pStyle w:val="Header"/>
        <w:numPr>
          <w:ilvl w:val="0"/>
          <w:numId w:val="33"/>
        </w:numPr>
        <w:rPr>
          <w:rFonts w:cs="Arial"/>
          <w:szCs w:val="22"/>
        </w:rPr>
      </w:pPr>
      <w:r>
        <w:rPr>
          <w:rFonts w:cs="Arial"/>
          <w:szCs w:val="22"/>
        </w:rPr>
        <w:t>SIC docume</w:t>
      </w:r>
      <w:r w:rsidR="003F5DAB">
        <w:rPr>
          <w:rFonts w:cs="Arial"/>
          <w:szCs w:val="22"/>
        </w:rPr>
        <w:t>ntation, among all patients</w:t>
      </w:r>
    </w:p>
    <w:p w14:paraId="41C1B7CD" w14:textId="77777777" w:rsidR="008024AA" w:rsidRDefault="00797E3C" w:rsidP="008024AA">
      <w:pPr>
        <w:pStyle w:val="Header"/>
        <w:numPr>
          <w:ilvl w:val="0"/>
          <w:numId w:val="33"/>
        </w:numPr>
        <w:rPr>
          <w:rFonts w:cs="Arial"/>
          <w:szCs w:val="22"/>
        </w:rPr>
      </w:pPr>
      <w:r>
        <w:rPr>
          <w:rFonts w:cs="Arial"/>
          <w:szCs w:val="22"/>
        </w:rPr>
        <w:t>P</w:t>
      </w:r>
      <w:r w:rsidR="008024AA">
        <w:rPr>
          <w:rFonts w:cs="Arial"/>
          <w:szCs w:val="22"/>
        </w:rPr>
        <w:t>alliative c</w:t>
      </w:r>
      <w:r w:rsidR="003F5DAB">
        <w:rPr>
          <w:rFonts w:cs="Arial"/>
          <w:szCs w:val="22"/>
        </w:rPr>
        <w:t>are referral, among high-risk patients</w:t>
      </w:r>
    </w:p>
    <w:p w14:paraId="3FB50FEF" w14:textId="3DDB0693" w:rsidR="00B87440" w:rsidRPr="002A435B" w:rsidRDefault="00797E3C" w:rsidP="002A435B">
      <w:pPr>
        <w:pStyle w:val="Header"/>
        <w:numPr>
          <w:ilvl w:val="0"/>
          <w:numId w:val="33"/>
        </w:numPr>
        <w:rPr>
          <w:rFonts w:cs="Arial"/>
          <w:szCs w:val="22"/>
        </w:rPr>
      </w:pPr>
      <w:r>
        <w:rPr>
          <w:rFonts w:cs="Arial"/>
          <w:szCs w:val="22"/>
        </w:rPr>
        <w:t>A</w:t>
      </w:r>
      <w:r w:rsidR="008024AA">
        <w:rPr>
          <w:rFonts w:cs="Arial"/>
          <w:szCs w:val="22"/>
        </w:rPr>
        <w:t>ggressive end</w:t>
      </w:r>
      <w:r w:rsidR="00B87440">
        <w:rPr>
          <w:rFonts w:cs="Arial"/>
          <w:szCs w:val="22"/>
        </w:rPr>
        <w:t>-</w:t>
      </w:r>
      <w:r w:rsidR="008024AA">
        <w:rPr>
          <w:rFonts w:cs="Arial"/>
          <w:szCs w:val="22"/>
        </w:rPr>
        <w:t>of</w:t>
      </w:r>
      <w:r w:rsidR="00B87440">
        <w:rPr>
          <w:rFonts w:cs="Arial"/>
          <w:szCs w:val="22"/>
        </w:rPr>
        <w:t>-</w:t>
      </w:r>
      <w:r w:rsidR="008024AA">
        <w:rPr>
          <w:rFonts w:cs="Arial"/>
          <w:szCs w:val="22"/>
        </w:rPr>
        <w:t>life care (</w:t>
      </w:r>
      <w:r w:rsidR="008024AA" w:rsidRPr="00AB4A74">
        <w:rPr>
          <w:rFonts w:cs="Arial"/>
          <w:szCs w:val="22"/>
        </w:rPr>
        <w:t xml:space="preserve">any of the following three criteria: chemotherapy within 14 days before death, </w:t>
      </w:r>
      <w:r w:rsidR="008024AA">
        <w:rPr>
          <w:rFonts w:cs="Arial"/>
          <w:szCs w:val="22"/>
        </w:rPr>
        <w:t xml:space="preserve">hospitalization within 30 days before death, or </w:t>
      </w:r>
      <w:r w:rsidR="008024AA" w:rsidRPr="00AB4A74">
        <w:rPr>
          <w:rFonts w:cs="Arial"/>
          <w:szCs w:val="22"/>
        </w:rPr>
        <w:t>admission to hospice 3 days or less before death</w:t>
      </w:r>
      <w:r w:rsidR="003F5DAB">
        <w:rPr>
          <w:rFonts w:cs="Arial"/>
          <w:szCs w:val="22"/>
        </w:rPr>
        <w:t>), among high-risk patients</w:t>
      </w:r>
      <w:r w:rsidR="00AA567E">
        <w:rPr>
          <w:rFonts w:cs="Arial"/>
          <w:szCs w:val="22"/>
        </w:rPr>
        <w:t xml:space="preserve"> who die</w:t>
      </w:r>
    </w:p>
    <w:p w14:paraId="20312336" w14:textId="77777777" w:rsidR="00733DE9" w:rsidRDefault="00733DE9" w:rsidP="00B87440">
      <w:pPr>
        <w:pStyle w:val="Header"/>
        <w:ind w:left="720"/>
        <w:rPr>
          <w:rFonts w:cs="Arial"/>
          <w:szCs w:val="22"/>
        </w:rPr>
      </w:pPr>
    </w:p>
    <w:p w14:paraId="18208ADD" w14:textId="0A45469D" w:rsidR="00733DE9" w:rsidRDefault="00733DE9" w:rsidP="00733DE9">
      <w:pPr>
        <w:rPr>
          <w:rFonts w:eastAsiaTheme="minorEastAsia" w:cs="Arial"/>
          <w:i/>
          <w:iCs/>
          <w:color w:val="000000"/>
          <w:szCs w:val="22"/>
        </w:rPr>
      </w:pPr>
      <w:r>
        <w:rPr>
          <w:rFonts w:eastAsiaTheme="minorEastAsia" w:cs="Arial"/>
          <w:iCs/>
          <w:color w:val="000000"/>
          <w:szCs w:val="22"/>
          <w:u w:val="single"/>
        </w:rPr>
        <w:t xml:space="preserve">Aim </w:t>
      </w:r>
      <w:r w:rsidRPr="003B40DA">
        <w:rPr>
          <w:rFonts w:eastAsiaTheme="minorEastAsia" w:cs="Arial"/>
          <w:iCs/>
          <w:color w:val="000000"/>
          <w:szCs w:val="22"/>
          <w:u w:val="single"/>
        </w:rPr>
        <w:t>2</w:t>
      </w:r>
      <w:r>
        <w:rPr>
          <w:rFonts w:eastAsiaTheme="minorEastAsia" w:cs="Arial"/>
          <w:iCs/>
          <w:color w:val="000000"/>
          <w:szCs w:val="22"/>
        </w:rPr>
        <w:t xml:space="preserve">: </w:t>
      </w:r>
      <w:r w:rsidRPr="003B40DA">
        <w:rPr>
          <w:rFonts w:eastAsia="Calibri" w:cs="Arial"/>
          <w:szCs w:val="22"/>
        </w:rPr>
        <w:t xml:space="preserve">Conduct a quantitative evaluation using secondary data </w:t>
      </w:r>
      <w:r w:rsidR="0065292A">
        <w:rPr>
          <w:rFonts w:eastAsia="Calibri" w:cs="Arial"/>
          <w:szCs w:val="22"/>
        </w:rPr>
        <w:t>(obtained via EMR</w:t>
      </w:r>
      <w:r w:rsidR="000E0449">
        <w:rPr>
          <w:rFonts w:eastAsia="Calibri" w:cs="Arial"/>
          <w:szCs w:val="22"/>
        </w:rPr>
        <w:t xml:space="preserve"> and census</w:t>
      </w:r>
      <w:r w:rsidR="0065292A">
        <w:rPr>
          <w:rFonts w:eastAsia="Calibri" w:cs="Arial"/>
          <w:szCs w:val="22"/>
        </w:rPr>
        <w:t xml:space="preserve">, for patients, and by survey, for clinicians) </w:t>
      </w:r>
      <w:r w:rsidRPr="003B40DA">
        <w:rPr>
          <w:rFonts w:eastAsia="Calibri" w:cs="Arial"/>
          <w:szCs w:val="22"/>
        </w:rPr>
        <w:t xml:space="preserve">to identify moderators of </w:t>
      </w:r>
      <w:r w:rsidRPr="003B40DA">
        <w:rPr>
          <w:rFonts w:eastAsiaTheme="minorEastAsia" w:cs="Arial"/>
          <w:color w:val="000000"/>
          <w:szCs w:val="22"/>
        </w:rPr>
        <w:t xml:space="preserve">implementation effects on SIC </w:t>
      </w:r>
      <w:r>
        <w:rPr>
          <w:rFonts w:eastAsiaTheme="minorEastAsia" w:cs="Arial"/>
          <w:color w:val="000000"/>
          <w:szCs w:val="22"/>
        </w:rPr>
        <w:t>documentation</w:t>
      </w:r>
      <w:r w:rsidRPr="0001692A">
        <w:rPr>
          <w:rFonts w:eastAsiaTheme="minorEastAsia" w:cs="Arial"/>
          <w:color w:val="000000"/>
          <w:szCs w:val="22"/>
        </w:rPr>
        <w:t>.</w:t>
      </w:r>
      <w:r w:rsidR="0065292A" w:rsidRPr="0001692A">
        <w:rPr>
          <w:rFonts w:eastAsiaTheme="minorEastAsia" w:cs="Arial"/>
          <w:color w:val="000000"/>
          <w:szCs w:val="22"/>
        </w:rPr>
        <w:t xml:space="preserve"> [Note: the clinician survey will be conducted within a separate study funded by this grant and has been submitted for IRB approval as a separate protocol; data across the studies will be linked by clinician name and study ID.]</w:t>
      </w:r>
    </w:p>
    <w:p w14:paraId="337BF543" w14:textId="77777777" w:rsidR="00733DE9" w:rsidRDefault="00733DE9" w:rsidP="00CA4806"/>
    <w:p w14:paraId="357CCEED" w14:textId="77777777" w:rsidR="002A32AF" w:rsidRPr="002A32AF" w:rsidRDefault="002A32AF" w:rsidP="00CA4806">
      <w:pPr>
        <w:pStyle w:val="Header"/>
        <w:numPr>
          <w:ilvl w:val="0"/>
          <w:numId w:val="39"/>
        </w:numPr>
        <w:rPr>
          <w:rFonts w:cs="Arial"/>
          <w:b/>
          <w:i/>
          <w:szCs w:val="22"/>
        </w:rPr>
      </w:pPr>
      <w:r w:rsidRPr="002A32AF">
        <w:rPr>
          <w:rFonts w:cs="Arial"/>
          <w:b/>
          <w:i/>
          <w:szCs w:val="22"/>
        </w:rPr>
        <w:t xml:space="preserve">Primary objective: </w:t>
      </w:r>
    </w:p>
    <w:p w14:paraId="09AC0615" w14:textId="4AD71985" w:rsidR="0054444A" w:rsidRPr="00B87440" w:rsidRDefault="002A435B" w:rsidP="002455AE">
      <w:pPr>
        <w:pStyle w:val="Header"/>
        <w:ind w:left="720"/>
        <w:rPr>
          <w:rFonts w:cs="Arial"/>
          <w:szCs w:val="22"/>
        </w:rPr>
      </w:pPr>
      <w:r>
        <w:rPr>
          <w:rFonts w:cs="Arial"/>
          <w:szCs w:val="22"/>
        </w:rPr>
        <w:t xml:space="preserve">Evaluate for heterogeneity of implementation effects on SIC documentation by </w:t>
      </w:r>
      <w:r w:rsidRPr="002A435B">
        <w:rPr>
          <w:rFonts w:cs="Arial"/>
          <w:szCs w:val="22"/>
        </w:rPr>
        <w:t xml:space="preserve">race/ethnicity, income, and </w:t>
      </w:r>
      <w:r>
        <w:rPr>
          <w:rFonts w:cs="Arial"/>
          <w:szCs w:val="22"/>
        </w:rPr>
        <w:t xml:space="preserve">geographic </w:t>
      </w:r>
      <w:r w:rsidRPr="002A435B">
        <w:rPr>
          <w:rFonts w:cs="Arial"/>
          <w:szCs w:val="22"/>
        </w:rPr>
        <w:t>location</w:t>
      </w:r>
      <w:r w:rsidR="0065292A">
        <w:rPr>
          <w:rFonts w:cs="Arial"/>
          <w:szCs w:val="22"/>
        </w:rPr>
        <w:t xml:space="preserve"> </w:t>
      </w:r>
      <w:r w:rsidR="0065292A" w:rsidRPr="008F547D">
        <w:rPr>
          <w:rFonts w:cs="Arial"/>
          <w:szCs w:val="22"/>
        </w:rPr>
        <w:t>as well as by clinician and inner setting factors</w:t>
      </w:r>
      <w:r w:rsidRPr="002A435B">
        <w:rPr>
          <w:rFonts w:cs="Arial"/>
          <w:szCs w:val="22"/>
        </w:rPr>
        <w:t>.</w:t>
      </w:r>
    </w:p>
    <w:p w14:paraId="7DB89A76" w14:textId="77777777" w:rsidR="003E23E7" w:rsidRDefault="003E23E7" w:rsidP="00F54398">
      <w:pPr>
        <w:pStyle w:val="Header"/>
        <w:tabs>
          <w:tab w:val="clear" w:pos="4320"/>
          <w:tab w:val="clear" w:pos="8640"/>
        </w:tabs>
        <w:ind w:left="360"/>
        <w:rPr>
          <w:rFonts w:cs="Arial"/>
          <w:b/>
          <w:szCs w:val="22"/>
        </w:rPr>
      </w:pPr>
    </w:p>
    <w:p w14:paraId="2E0A9947" w14:textId="5CF9F9F4" w:rsidR="003B4302" w:rsidRDefault="00901929" w:rsidP="00FF3C92">
      <w:pPr>
        <w:pStyle w:val="Header"/>
        <w:tabs>
          <w:tab w:val="clear" w:pos="4320"/>
          <w:tab w:val="clear" w:pos="8640"/>
        </w:tabs>
        <w:rPr>
          <w:rFonts w:cs="Arial"/>
          <w:b/>
          <w:szCs w:val="22"/>
        </w:rPr>
      </w:pPr>
      <w:r w:rsidRPr="00DD53A3">
        <w:rPr>
          <w:rFonts w:cs="Arial"/>
          <w:b/>
          <w:szCs w:val="22"/>
        </w:rPr>
        <w:t>BACKGROUND</w:t>
      </w:r>
      <w:r w:rsidR="003E23E7">
        <w:rPr>
          <w:rFonts w:cs="Arial"/>
          <w:b/>
          <w:szCs w:val="22"/>
        </w:rPr>
        <w:t xml:space="preserve"> AND RATIONALE</w:t>
      </w:r>
      <w:r w:rsidR="0068628F">
        <w:rPr>
          <w:rFonts w:cs="Arial"/>
          <w:b/>
          <w:szCs w:val="22"/>
        </w:rPr>
        <w:t>:</w:t>
      </w:r>
    </w:p>
    <w:p w14:paraId="67A70EBC" w14:textId="139B9DC0" w:rsidR="0004449D" w:rsidRDefault="0004449D" w:rsidP="00F54398">
      <w:pPr>
        <w:ind w:firstLine="720"/>
        <w:rPr>
          <w:rFonts w:cs="Arial"/>
          <w:szCs w:val="22"/>
        </w:rPr>
      </w:pPr>
      <w:r w:rsidRPr="00DD53A3">
        <w:rPr>
          <w:rFonts w:cs="Arial"/>
          <w:szCs w:val="22"/>
        </w:rPr>
        <w:t>Serious illness conversations (SICs) that elicit patients’ values, goals, and care preferences, particularly early in the disease trajectory, are an evidence-based practice, improve patient mood and quality of life,</w:t>
      </w:r>
      <w:r w:rsidR="00E05B7A">
        <w:rPr>
          <w:rFonts w:cs="Arial"/>
          <w:szCs w:val="22"/>
        </w:rPr>
        <w:fldChar w:fldCharType="begin"/>
      </w:r>
      <w:r w:rsidR="00655791">
        <w:rPr>
          <w:rFonts w:cs="Arial"/>
          <w:szCs w:val="22"/>
        </w:rPr>
        <w:instrText xml:space="preserve"> ADDIN ZOTERO_ITEM CSL_CITATION {"citationID":"zOe6Izrr","properties":{"formattedCitation":"\\super 7\\uc0\\u8211{}12\\nosupersub{}","plainCitation":"7–12","noteIndex":0},"citationItems":[{"id":828,"uris":["http://zotero.org/groups/2464975/items/S4TKAD56"],"uri":["http://zotero.org/groups/2464975/items/S4TKAD56"],"itemData":{"id":828,"type":"article-journal","abstract":"CONTEXT: Talking about death can be difficult. Without evidence that end-of-life discussions improve patient outcomes, physicians must balance their desire to honor patient autonomy against a concern of inflicting psychological harm.\nOBJECTIVE: To determine whether end-of-life discussions with physicians are associated with fewer aggressive interventions.\nDESIGN, SETTING, AND PARTICIPANTS: A US multisite, prospective, longitudinal cohort study of patients with advanced cancer and their informal caregivers (n = 332 dyads), September 2002-February 2008. Patients were followed up from enrollment to death, a median of 4.4 months later. Bereaved caregivers' psychiatric illness and quality of life was assessed a median of 6.5 months later.\nMAIN OUTCOME MEASURES: Aggressive medical care (eg, ventilation, resuscitation) and hospice in the final week of life. Secondary outcomes included patients' mental health and caregivers' bereavement adjustment.\nRESULTS: One hundred twenty-three of 332 (37.0%) patients reported having end-of-life discussions before baseline. Such discussions were not associated with higher rates of major depressive disorder (8.3% vs 5.8%; adjusted odds ratio [OR], 1.33; 95% confidence interval [CI], 0.54-3.32), or more worry (mean McGill score, 6.5 vs 7.0; P = .19). After propensity-score weighted adjustment, end-of-life discussions were associated with lower rates of ventilation (1.6% vs 11.0%; adjusted OR, 0.26; 95% CI, 0.08-0.83), resuscitation (0.8% vs 6.7%; adjusted OR, 0.16; 95% CI, 0.03-0.80), ICU admission (4.1% vs 12.4%; adjusted OR, 0.35; 95% CI, 0.14-0.90), and earlier hospice enrollment (65.6% vs 44.5%; adjusted OR, 1.65;95% CI, 1.04-2.63). In adjusted analyses, more aggressive medical care was associated with worse patient quality of life (6.4 vs 4.6; F = 3.61, P = .01) and higher risk of major depressive disorder in bereaved caregivers (adjusted OR, 3.37; 95% CI, 1.12-10.13), whereas longer hospice stays were associated with better patient quality of life (mean score, 5.6 vs 6.9; F = 3.70, P = .01). Better patient quality of life was associated with better caregiver quality of life at follow-up (beta = .20; P = .001).\nCONCLUSIONS: End-of-life discussions are associated with less aggressive medical care near death and earlier hospice referrals. Aggressive care is associated with worse patient quality of life and worse bereavement adjustment.","container-title":"JAMA","DOI":"10.1001/jama.300.14.1665","ISSN":"1538-3598","issue":"14","journalAbbreviation":"JAMA","language":"eng","note":"PMID: 18840840\nPMCID: PMC2853806","page":"1665-1673","source":"PubMed","title":"Associations between end-of-life discussions, patient mental health, medical care near death, and caregiver bereavement adjustment","volume":"300","author":[{"family":"Wright","given":"Alexi A."},{"family":"Zhang","given":"Baohui"},{"family":"Ray","given":"Alaka"},{"family":"Mack","given":"Jennifer W."},{"family":"Trice","given":"Elizabeth"},{"family":"Balboni","given":"Tracy"},{"family":"Mitchell","given":"Susan L."},{"family":"Jackson","given":"Vicki A."},{"family":"Block","given":"Susan D."},{"family":"Maciejewski","given":"Paul K."},{"family":"Prigerson","given":"Holly G."}],"issued":{"date-parts":[["2008",10,8]]}}},{"id":835,"uris":["http://zotero.org/groups/2464975/items/GSD94QPV"],"uri":["http://zotero.org/groups/2464975/items/GSD94QPV"],"itemData":{"id":835,"type":"article-journal","abstract":"PURPOSE: Physicians have an ethical obligation to honor patients' values for care, including at the end of life (EOL). We sought to evaluate factors that help patients to receive care consistent with their preferences.\nMETHODS: This was a longitudinal multi-institutional cohort study. We measured baseline preferences for life-extending versus symptom-directed care and actual EOL care received in 325 patients with advanced cancer. We also measured associated sociodemographic, health, and communication characteristics, including EOL discussions between patients and physicians.\nRESULTS: Preferences were assessed a median of 125 days before death. Overall, 68% of patients (220 of 325 patients) received EOL care consistent with baseline preferences. The proportion was slightly higher among patients who recognized they were terminally ill (74%, 90 of 121 patients; P = .05). Patients who recognized their terminal illness were more likely to prefer symptom-directed care (83%, 100 of 121 patients; v 66%, 127 of 191 patients; P = .003). However, some patients who were aware they were terminally ill wished to receive life-extending care (17%, 21 of 121 patients). Patients who reported having discussed their wishes for EOL care with a physician (39%, 125 of 322 patients) were more likely to receive care that was consistent with their preferences, both in the full sample (odds ratio [OR] = 2.26; P &lt; .0001) and among patients who were aware they were terminally ill (OR = 3.94; P = .0005). Among patients who received no life-extending measures, physical distress was lower (mean score, 3.1 v 4.1; P = .03) among patients for whom such care was consistent with preferences.\nCONCLUSION: Patients with cancer are more likely to receive EOL care that is consistent with their preferences when they have had the opportunity to discuss their wishes for EOL care with a physician.","container-title":"Journal of Clinical Oncology: Official Journal of the American Society of Clinical Oncology","DOI":"10.1200/JCO.2009.25.4672","ISSN":"1527-7755","issue":"7","journalAbbreviation":"J. Clin. Oncol.","language":"eng","note":"PMID: 20124172\nPMCID: PMC2834470","page":"1203-1208","source":"PubMed","title":"End-of-life discussions, goal attainment, and distress at the end of life: predictors and outcomes of receipt of care consistent with preferences","title-short":"End-of-life discussions, goal attainment, and distress at the end of life","volume":"28","author":[{"family":"Mack","given":"Jennifer W."},{"family":"Weeks","given":"Jane C."},{"family":"Wright","given":"Alexi A."},{"family":"Block","given":"Susan D."},{"family":"Prigerson","given":"Holly G."}],"issued":{"date-parts":[["2010",3,1]]}}},{"id":834,"uris":["http://zotero.org/groups/2464975/items/PA352AJD"],"uri":["http://zotero.org/groups/2464975/items/PA352AJD"],"itemData":{"id":834,"type":"article-journal","abstract":"OBJECTIVE: To investigate the impact of advance care planning on end of life care in elderly patients.\nDESIGN: Prospective randomised controlled trial.\nSETTING: Single centre study in a university hospital in Melbourne, Australia.\nPARTICIPANTS: 309 legally competent medical inpatients aged 80 or more and followed for six months or until death.\nINTERVENTIONS: Participants were randomised to receive usual care or usual care plus facilitated advance care planning. Advance care planning aimed to assist patients to reflect on their goals, values, and beliefs; to consider future medical treatment preferences; to appoint a surrogate; and to document their wishes.\nMAIN OUTCOME MEASURES: The primary outcome was whether a patient's end of life wishes were known and respected. Other outcomes included patient and family satisfaction with hospital stay and levels of stress, anxiety, and depression in relatives of patients who died.\nRESULTS: 154 of the 309 patients were randomised to advance care planning, 125 (81%) received advance care planning, and 108 (84%) expressed wishes or appointed a surrogate, or both. Of the 56 patients who died by six months, end of life wishes were much more likely to be known and followed in the intervention group (25/29, 86%) compared with the control group (8/27, 30%; P&lt;0.001). In the intervention group, family members of patients who died had significantly less stress (intervention 5, control 15; P&lt;0.001), anxiety (intervention 0, control 3; P=0.02), and depression (intervention 0, control 5; P=0.002) than those of the control patients. Patient and family satisfaction was higher in the intervention group.\nCONCLUSIONS: Advance care planning improves end of life care and patient and family satisfaction and reduces stress, anxiety, and depression in surviving relatives. Trial registration Australian New Zealand clinical trials registry ACTRN12608000539336.","container-title":"BMJ (Clinical research ed.)","DOI":"10.1136/bmj.c1345","ISSN":"1756-1833","journalAbbreviation":"BMJ","language":"eng","note":"PMID: 20332506\nPMCID: PMC2844949","page":"c1345","source":"PubMed","title":"The impact of advance care planning on end of life care in elderly patients: randomised controlled trial","title-short":"The impact of advance care planning on end of life care in elderly patients","volume":"340","author":[{"family":"Detering","given":"Karen M."},{"family":"Hancock","given":"Andrew D."},{"family":"Reade","given":"Michael C."},{"family":"Silvester","given":"William"}],"issued":{"date-parts":[["2010",3,23]]}}},{"id":833,"uris":["http://zotero.org/groups/2464975/items/N5BZSQSS"],"uri":["http://zotero.org/groups/2464975/items/N5BZSQSS"],"itemData":{"id":833,"type":"article-journal","abstract":"BACKGROUND: Advance care planning is the process of discussing and recording patient preferences concerning goals of care for patients who may lose capacity or communication ability in the future. Advance care planning could potentially improve end-of-life care, but the methods/tools used are varied and of uncertain benefit. Outcome measures used in existing studies are highly variable.\nAIM: To present an overview of studies on the effects of advance care planning and gain insight in the effectiveness of different types of advance care planning.\nDESIGN: Systematic review.\nDATA SOURCES: We systematically searched PubMed, EMBASE and PsycINFO databases for experimental and observational studies on the effects of advance care planning published in 2000-2012.\nRESULTS: The search yielded 3571 papers, of which 113 were relevant for this review. For each study, the level of evidence was graded. Most studies were observational (95%), originated from the United States (81%) and were performed in hospitals (49%) or nursing homes (32%). Do-not-resuscitate orders (39%) and written advance directives (34%) were most often studied. Advance care planning was often found to decrease life-sustaining treatment, increase use of hospice and palliative care and prevent hospitalisation. Complex advance care planning interventions seem to increase compliance with patients' end-of-life wishes.\nCONCLUSION: The effects of different types of advance care planning have been studied in various settings and populations using different outcome measures. There is evidence that advance care planning positively impacts the quality of end-of-life care. Complex advance care planning interventions may be more effective in meeting patients' preferences than written documents alone. More studies are needed with an experimental design, in different settings, including the community.","container-title":"Palliative Medicine","DOI":"10.1177/0269216314526272","ISSN":"1477-030X","issue":"8","journalAbbreviation":"Palliat Med","language":"eng","note":"PMID: 24651708","page":"1000-1025","source":"PubMed","title":"The effects of advance care planning on end-of-life care: a systematic review","title-short":"The effects of advance care planning on end-of-life care","volume":"28","author":[{"family":"Brinkman-Stoppelenburg","given":"Arianne"},{"family":"Rietjens","given":"Judith A. C."},{"family":"Heide","given":"Agnes","non-dropping-particle":"van der"}],"issued":{"date-parts":[["2014",9]]}}},{"id":825,"uris":["http://zotero.org/groups/2464975/items/KFL4B9S4"],"uri":["http://zotero.org/groups/2464975/items/KFL4B9S4"],"itemData":{"id":825,"type":"article-journal","abstract":"Importance: High-quality conversations between clinicians and seriously ill patients about values and goals are associated with improved outcomes but occur infrequently.\nObjective: To examine feasibility, acceptability, and effect of a communication quality-improvement intervention (Serious Illness Care Program) on patient outcomes.\nDesign, Setting, and Participants: A cluster randomized clinical trial of the Serious Illness Care Program in an outpatient oncology setting was conducted. Patients with advanced cancer (n = 278) and oncology clinicians (n = 91) participated between September 1, 2012, and June 30, 2016. Data analysis was performed from September 1, 2016, to December 27, 2018. All analyses were conducted based on intention to treat.\nInterventions: Tools, training, and system changes.\nMain Outcomes and Measures: The coprimary outcomes included goal-concordant care (Life Priorities) and peacefulness (Peace, Equanimity, and Acceptance in the Cancer Experience questionnaire) at the end of life. Secondary outcomes included therapeutic alliance (Human Connection Scale), anxiety (Generalized Anxiety Disorder 7 scale), depression (Patient Health Questionnaire 9), and survival. Uptake and effectiveness of clinician training, clinician use of the conversation tool, and conversation duration were evaluated.\nResults: Data from 91 clinicians in 41 clusters (72.9% participation; intervention, n = 48; control, n = 43; 52 [57.1%] women) and 278 patients (45.8% participation; intervention, n = 134; control, n = 144; 148 [53.2%] women) were analyzed. Forty-seven clinicians (97.9%) rated the training as effective (mean [SD] score, 4.3 [0.7] of 5.0 possible); of 39 who received a reminder, 34 (87.2%) completed at least 1 conversation (median duration, 19 minutes; range, 5-70). Peacefulness, therapeutic alliance, anxiety, and depression did not differ at baseline. The coprimary outcomes were evaluated in 64 patients; no significant differences were found between the intervention and control groups. However, the trial demonstrated significant reductions in the proportion of patients with moderate to severe anxiety (10.2% vs 5.0%; P = .05) and depression symptoms (20.8% vs 10.6%; P = .04) in the intervention group at 14 weeks after baseline. Anxiety reduction was sustained at 24 weeks (10.4% vs 4.2%; P = .02), but depression reduction was not sustained (17.8% vs 12.5%; P = .31). Survival and therapeutic alliance did not differ between groups.\nConclusions and Relevance: The results of this cluster randomized clinical trial were null with respect to the coprimary outcomes of goal-concordant care and peacefulness at the end of life. Methodologic challenges for the primary outcomes, including measure selection and sample size, limit the conclusions that can be drawn from the study. However, the significant reductions in anxiety and depression in the intervention group are clinically meaningful and require further study.\nTrial Registration: ClinicalTrials.gov identifier: NCT01786811.","container-title":"JAMA internal medicine","DOI":"10.1001/jamainternmed.2019.0077","ISSN":"2168-6114","issue":"6","journalAbbreviation":"JAMA Intern Med","language":"eng","note":"PMID: 30870563\nPMCID: PMC6547155","page":"751-759","source":"PubMed","title":"Effect of the Serious Illness Care Program in Outpatient Oncology: A Cluster Randomized Clinical Trial","title-short":"Effect of the Serious Illness Care Program in Outpatient Oncology","volume":"179","author":[{"family":"Bernacki","given":"Rachelle"},{"family":"Paladino","given":"Joanna"},{"family":"Neville","given":"Bridget A."},{"family":"Hutchings","given":"Mathilde"},{"family":"Kavanagh","given":"Jane"},{"family":"Geerse","given":"Olaf P."},{"family":"Lakin","given":"Joshua"},{"family":"Sanders","given":"Justin J."},{"family":"Miller","given":"Kate"},{"family":"Lipsitz","given":"Stuart"},{"family":"Gawande","given":"Atul A."},{"family":"Block","given":"Susan D."}],"issued":{"date-parts":[["2019"]],"season":"01"}}},{"id":824,"uris":["http://zotero.org/groups/2464975/items/7RTEH4KV"],"uri":["http://zotero.org/groups/2464975/items/7RTEH4KV"],"itemData":{"id":824,"type":"article-journal","abstract":"Importance: Earlier clinician-patient conversations about patients' values, goals, and preferences in serious illness (ie, serious illness conversations) are associated with better outcomes but occur inconsistently in cancer care.\nObjective: To evaluate the efficacy of a communication quality-improvement intervention in improving the occurrence, timing, quality, and accessibility of documented serious illness conversations between oncology clinicians and patients with advanced cancer.\nDesign, Setting, Participants: This cluster randomized clinical trial in outpatient oncology was conducted at the Dana-Farber Cancer Institute and included physicians, advanced-practice clinicians, and patients with cancer who were at high risk of death.\nMain Outcomes and Measures: The primary outcomes (goal-concordant care and peacefulness at the end of life) are published elsewhere. Secondary outcomes are reported herein, including (1) documentation of at least 1 serious illness conversation before death, (2) timing of the initial conversation before death, (3) quality of conversations, and (4) their accessibility in the electronic medical record (EMR).\nResults: We enrolled 91 clinicians (48 intervention, 43 control) and 278 patients (134 intervention, 144 control). Of enrolled patients, 58% died during the study (n=161); mean age was 62.3 years (95% CI, 58.9-65.6 years); 55% were women (n=88). These patients were cared for by 76 of the 91 enrolled clinicians (37 intervention, 39 control); years in practice, 11.5 (95% CI, 9.2-13.8); 57% female (n=43). Medical record review after patients' death demonstrated that a significantly higher proportion of intervention patients had a documented discussion compared with controls (96% vs 79%, P = .005) and intervention conversations occurred a median of 2.4 months earlier (median, 143 days vs 71 days, P &lt; .001). Conversation documentation for intervention patients was significantly more comprehensive and patient centered, with a greater focus on values or goals (89% vs 44%, P &lt; .001), prognosis or illness understanding (91% vs 48%, P &lt; .001), and life-sustaining treatment preferences (63% vs 32%, P = .004). Documentation about end-of-life care planning did not differ between arms (80% intervention vs 68% control, P = .08). Significantly more intervention patients had documentation that was accessible in the EMR (61% vs 11%, P &lt; .001).\nConclusions and Relevance: This communication quality-improvement intervention resulted in more, earlier, better, and more accessible serious illness conversations documented in the EMR. To our knowledge, this is the first such study to demonstrate improvement in all 4 of these outcomes.\nTrial Registration: ClinicalTrials.gov identifier: NCT01786811.","container-title":"JAMA oncology","DOI":"10.1001/jamaoncol.2019.0292","ISSN":"2374-2445","issue":"6","journalAbbreviation":"JAMA Oncol","language":"eng","note":"PMID: 30870556","page":"801-809","source":"PubMed","title":"Evaluating an Intervention to Improve Communication Between Oncology Clinicians and Patients With Life-Limiting Cancer: A Cluster Randomized Clinical Trial of the Serious Illness Care Program","title-short":"Evaluating an Intervention to Improve Communication Between Oncology Clinicians and Patients With Life-Limiting Cancer","volume":"5","author":[{"family":"Paladino","given":"Joanna"},{"family":"Bernacki","given":"Rachelle"},{"family":"Neville","given":"Bridget A."},{"family":"Kavanagh","given":"Jane"},{"family":"Miranda","given":"Stephen P."},{"family":"Palmor","given":"Marissa"},{"family":"Lakin","given":"Joshua"},{"family":"Desai","given":"Meghna"},{"family":"Lamas","given":"Daniela"},{"family":"Sanders","given":"Justin J."},{"family":"Gass","given":"Jonathon"},{"family":"Henrich","given":"Natalie"},{"family":"Lipsitz","given":"Stuart"},{"family":"Fromme","given":"Erik"},{"family":"Gawande","given":"Atul A."},{"family":"Block","given":"Susan D."}],"issued":{"date-parts":[["2019",6,1]]}}}],"schema":"https://github.com/citation-style-language/schema/raw/master/csl-citation.json"} </w:instrText>
      </w:r>
      <w:r w:rsidR="00E05B7A">
        <w:rPr>
          <w:rFonts w:cs="Arial"/>
          <w:szCs w:val="22"/>
        </w:rPr>
        <w:fldChar w:fldCharType="separate"/>
      </w:r>
      <w:r w:rsidR="00E05B7A" w:rsidRPr="000B3DB3">
        <w:rPr>
          <w:rFonts w:cs="Arial"/>
          <w:szCs w:val="24"/>
          <w:vertAlign w:val="superscript"/>
        </w:rPr>
        <w:t>7–12</w:t>
      </w:r>
      <w:r w:rsidR="00E05B7A">
        <w:rPr>
          <w:rFonts w:cs="Arial"/>
          <w:szCs w:val="22"/>
        </w:rPr>
        <w:fldChar w:fldCharType="end"/>
      </w:r>
      <w:r w:rsidRPr="00DD53A3">
        <w:rPr>
          <w:rFonts w:cs="Arial"/>
          <w:szCs w:val="22"/>
        </w:rPr>
        <w:t xml:space="preserve"> and are recommended by national guidelines.</w:t>
      </w:r>
      <w:r w:rsidR="00E05B7A">
        <w:rPr>
          <w:rFonts w:cs="Arial"/>
          <w:szCs w:val="22"/>
        </w:rPr>
        <w:fldChar w:fldCharType="begin"/>
      </w:r>
      <w:r w:rsidR="00655791">
        <w:rPr>
          <w:rFonts w:cs="Arial"/>
          <w:szCs w:val="22"/>
        </w:rPr>
        <w:instrText xml:space="preserve"> ADDIN ZOTERO_ITEM CSL_CITATION {"citationID":"CQyr9yXq","properties":{"formattedCitation":"\\super 13\\uc0\\u8211{}15\\nosupersub{}","plainCitation":"13–15","noteIndex":0},"citationItems":[{"id":822,"uris":["http://zotero.org/groups/2464975/items/4ABBQZJV"],"uri":["http://zotero.org/groups/2464975/items/4ABBQZJV"],"itemData":{"id":822,"type":"article-journal","abstract":"PURPOSE: Integrated into routine oncology care, palliative care can improve symptom burden, quality of life, and patient and caregiver satisfaction. However, not all oncology practices have access to specialist palliative medicine. This project endeavored to define what constitutes high-quality primary palliative care as delivered by medical oncology practices.\nMETHODS: An expert steering committee outlined 966 palliative care service items, in nine domains, each describing a candidate element of primary palliative care delivery for patients with advanced cancer or high symptom burden. Using modified Delphi methodology, 31 multidisciplinary panelists rated each service item on three constructs: importance, feasibility, and scope within medical oncology practice.\nRESULTS: Panelists endorsed the highest proportion of palliative care service items in the domains of End-of-Life Care (81%); Communication and Shared Decision Making (79%); and Advance Care Planning (78%). The lowest proportions were in Spiritual and Cultural Assessment and Management (35%) and Psychosocial Assessment and Management (39%). In the largest domain, Symptom Assessment and Management, there was consensus that all symptoms should be assessed and managed at a basic level, with more comprehensive management for common symptoms such as nausea, vomiting, diarrhea, dyspnea, and pain. Within the Appropriate Palliative Care and Hospice Referral domain, there was consensus that oncology practices should be able to describe the difference between palliative care and hospice to patients and refer patients appropriately.\nCONCLUSION: This statement describes the elements comprising high-quality primary palliative care for patients with advanced cancer or high symptom burden, as delivered by oncology practices. Oncology providers wishing to enhance palliative care delivery may find this information useful to inform operational changes and quality improvement efforts.","container-title":"Journal of Oncology Practice","DOI":"10.1200/JOP.2016.010686","ISSN":"1935-469X","issue":"9","journalAbbreviation":"J Oncol Pract","language":"eng","note":"PMID: 27531376","page":"e828-838","source":"PubMed","title":"Defining High-Quality Palliative Care in Oncology Practice: An American Society of Clinical Oncology/American Academy of Hospice and Palliative Medicine Guidance Statement","title-short":"Defining High-Quality Palliative Care in Oncology Practice","volume":"12","author":[{"family":"Bickel","given":"Kathleen E."},{"family":"McNiff","given":"Kristen"},{"family":"Buss","given":"Mary K."},{"family":"Kamal","given":"Arif"},{"family":"Lupu","given":"Dale"},{"family":"Abernethy","given":"Amy P."},{"family":"Broder","given":"Michael S."},{"family":"Shapiro","given":"Charles L."},{"family":"Acheson","given":"Anupama Kurup"},{"family":"Malin","given":"Jennifer"},{"family":"Evans","given":"Tracey"},{"family":"Krzyzanowska","given":"Monika K."}],"issued":{"date-parts":[["2016"]]}}},{"id":821,"uris":["http://zotero.org/groups/2464975/items/QM5NKH3F"],"uri":["http://zotero.org/groups/2464975/items/QM5NKH3F"],"itemData":{"id":821,"type":"article-journal","abstract":"An understanding of patients' care goals in the context of a serious illness is an essential element of high-quality care, allowing clinicians to align the care provided with what is most important to the patient. Early discussions about goals of care are associated with better quality of life, reduced use of nonbeneficial medical care near death, enhanced goal-consistent care, positive family outcomes, and reduced costs. Existing evidence does not support the commonly held belief that communication about end-of-life issues increases patient distress. However, conversations about care goals are often conducted by physicians who do not know the patient, do not routinely address patients' nonmedical goals, and often fail to provide patients with sufficient information about prognosis to allow appropriate decisions; in addition, they tend to occur so late in the patient's illness that their impact on care processes is reduced. This article (1) reviews the evidence and describes best practices in conversations about serious illness care goals and (2) offers practical advice for clinicians and health care systems about developing a systematic approach to quality and timing of such communication to assure that each patient has a personalized serious illness care plan. Best practices in discussing goals of care include the following: sharing prognostic information, eliciting decision-making preferences, understanding fears and goals, exploring views on trade-offs and impaired function, and wishes for family involvement. Several interventions hold promise in systematizing conversations with patients about serious illness care goals: better education of physicians; systems to identify and trigger early discussions for appropriate patients; patient and family education; structured formats to guide discussions; dedicated, structured sections in the electronic health record for recording information; and continuous measurement. We conclude that communication about serious illness care goals is an intervention that should be systematically integrated into our clinical care structures and processes.","container-title":"JAMA internal medicine","DOI":"10.1001/jamainternmed.2014.5271","ISSN":"2168-6114","issue":"12","journalAbbreviation":"JAMA Intern Med","language":"eng","note":"PMID: 25330167","page":"1994-2003","source":"PubMed","title":"Communication about serious illness care goals: a review and synthesis of best practices","title-short":"Communication about serious illness care goals","volume":"174","author":[{"family":"Bernacki","given":"Rachelle E."},{"family":"Block","given":"Susan D."},{"literal":"American College of Physicians High Value Care Task Force"}],"issued":{"date-parts":[["2014",12]]}}},{"id":827,"uris":["http://zotero.org/groups/2464975/items/CWEELPK8"],"uri":["http://zotero.org/groups/2464975/items/CWEELPK8"],"itemData":{"id":827,"type":"book","language":"en","note":"container-title: Dying in America: Improving Quality and Honoring Individual Preferences Near the End of Life","publisher":"National Academies Press (US)","source":"www.ncbi.nlm.nih.gov","title":"Committee on Approaching Death: Addressing Key End-Of-Life Issues","title-short":"COMMITTEE ON APPROACHING DEATH","URL":"https://www.ncbi.nlm.nih.gov/books/NBK285678/","accessed":{"date-parts":[["2020",9,4]]},"issued":{"date-parts":[["2015",3,19]]}}}],"schema":"https://github.com/citation-style-language/schema/raw/master/csl-citation.json"} </w:instrText>
      </w:r>
      <w:r w:rsidR="00E05B7A">
        <w:rPr>
          <w:rFonts w:cs="Arial"/>
          <w:szCs w:val="22"/>
        </w:rPr>
        <w:fldChar w:fldCharType="separate"/>
      </w:r>
      <w:r w:rsidR="00E05B7A" w:rsidRPr="000B3DB3">
        <w:rPr>
          <w:rFonts w:cs="Arial"/>
          <w:szCs w:val="24"/>
          <w:vertAlign w:val="superscript"/>
        </w:rPr>
        <w:t>13–15</w:t>
      </w:r>
      <w:r w:rsidR="00E05B7A">
        <w:rPr>
          <w:rFonts w:cs="Arial"/>
          <w:szCs w:val="22"/>
        </w:rPr>
        <w:fldChar w:fldCharType="end"/>
      </w:r>
      <w:r>
        <w:rPr>
          <w:rFonts w:cs="Arial"/>
          <w:szCs w:val="22"/>
          <w:vertAlign w:val="superscript"/>
        </w:rPr>
        <w:t xml:space="preserve"> </w:t>
      </w:r>
      <w:r w:rsidRPr="00DD53A3">
        <w:rPr>
          <w:rFonts w:cs="Arial"/>
          <w:szCs w:val="22"/>
        </w:rPr>
        <w:t xml:space="preserve">However, most patients with advanced cancer die without a documented SIC and </w:t>
      </w:r>
      <w:r w:rsidRPr="00DD53A3">
        <w:rPr>
          <w:rFonts w:cs="Arial"/>
          <w:szCs w:val="22"/>
          <w:lang w:val="en"/>
        </w:rPr>
        <w:t xml:space="preserve">there are well-documented health disparities in implementation </w:t>
      </w:r>
      <w:r>
        <w:rPr>
          <w:rFonts w:cs="Arial"/>
          <w:szCs w:val="22"/>
          <w:lang w:val="en"/>
        </w:rPr>
        <w:t>for</w:t>
      </w:r>
      <w:r w:rsidRPr="00DD53A3">
        <w:rPr>
          <w:rFonts w:cs="Arial"/>
          <w:szCs w:val="22"/>
          <w:lang w:val="en"/>
        </w:rPr>
        <w:t xml:space="preserve"> racial and ethnic minorit</w:t>
      </w:r>
      <w:r>
        <w:rPr>
          <w:rFonts w:cs="Arial"/>
          <w:szCs w:val="22"/>
          <w:lang w:val="en"/>
        </w:rPr>
        <w:t>ies</w:t>
      </w:r>
      <w:r w:rsidRPr="00DD53A3">
        <w:rPr>
          <w:rFonts w:cs="Arial"/>
          <w:szCs w:val="22"/>
          <w:lang w:val="en"/>
        </w:rPr>
        <w:t>.</w:t>
      </w:r>
      <w:r w:rsidR="00E05B7A">
        <w:rPr>
          <w:rFonts w:cs="Arial"/>
          <w:szCs w:val="22"/>
          <w:lang w:val="en"/>
        </w:rPr>
        <w:fldChar w:fldCharType="begin"/>
      </w:r>
      <w:r w:rsidR="00655791">
        <w:rPr>
          <w:rFonts w:cs="Arial"/>
          <w:szCs w:val="22"/>
          <w:lang w:val="en"/>
        </w:rPr>
        <w:instrText xml:space="preserve"> ADDIN ZOTERO_ITEM CSL_CITATION {"citationID":"2RCtsFZn","properties":{"formattedCitation":"\\super 16\\uc0\\u8211{}21\\nosupersub{}","plainCitation":"16–21","noteIndex":0},"citationItems":[{"id":826,"uris":["http://zotero.org/groups/2464975/items/JUCBRVFJ"],"uri":["http://zotero.org/groups/2464975/items/JUCBRVFJ"],"itemData":{"id":826,"type":"article-journal","abstract":"PURPOSE: Advance directives (AD) have been heralded as vehicles to promote patient autonomy and have been decried as ineffective. Efforts to improve advance care planning (ACP) and AD documents are wide ranging but have not been prospectively studied.\nMATERIALS AND METHODS: In an institutional review board-approved, single-blind, randomized, controlled trial, we compared an interactive, educational ACP decision aid to standard ACP among patients with advanced cancer. We hypothesized that use of the decision aid would increase physician awareness of patients' health care wishes and increase physician adherence to patients' end-of-life wishes compared with standard ACP.\nRESULTS: A total of 200 patients were randomly assigned to two study arms. We analyzed data from medical records and interviews with physicians and family members for 121 patients who died by August 2016. No differences in physician awareness or adherence were found between the ACP decision aid and standard ACP groups. End-of-life treatment wishes and discussion of wishes were documented for 70% and 64% of the patients, respectively, but only 35% had an actual AD in the medical record. According to family members, end-of-life care was consistent with the patients' stated wishes 94% of the time. Similarly, according to physicians, it was consistent for 98%. However, according to AD documents, delivered care was consistent with desired care in only 65%. Considerably fewer patients than predicted died, and data from physicians were difficult to obtain.\nCONCLUSION: ACP type did not influence documentation of patient wishes or end-of-life care received. Future prospective studies must account for challenges in prognostication and point-of-care data collection at the end of life.","container-title":"Journal of Oncology Practice","DOI":"10.1200/JOP.18.00044","ISSN":"1935-469X","issue":"1","journalAbbreviation":"J Oncol Pract","language":"eng","note":"PMID: 30543761","page":"e65-e73","source":"PubMed","title":"Advance Care Planning Among Patients With Advanced Cancer","volume":"15","author":[{"family":"Schubart","given":"Jane R."},{"family":"Levi","given":"Benjamin H."},{"family":"Bain","given":"Megan M."},{"family":"Farace","given":"Elana"},{"family":"Green","given":"Michael J."}],"issued":{"date-parts":[["2019"]]}}},{"id":801,"uris":["http://zotero.org/groups/2464975/items/VC3VI4WJ"],"uri":["http://zotero.org/groups/2464975/items/VC3VI4WJ"],"itemData":{"id":801,"type":"article-journal","abstract":"Background\nCurrent, ongoing national surveys do not include questions about end-of-life (EOL) issues. In particular, population-based data are lacking regarding the factors associated with advance directive completion.\nPurpose\nTo characterize U.S. adults who did and did not have an advance directive and examine factors associated with their completion, such as the presence of a chronic condition and regular source of health care.\nMethods\nData were analyzed in 2013 from adults aged 18 years and older who participated in the 2009 or 2010 HealthStyles Survey, a mail panel survey designed to be representative of the U.S. population. Likelihood ratio tests were used to examine the associations between advance directive completion and demographic and socioeconomic variables (education, income, employment status); presence of a chronic condition; regular source of health care; and self-reported EOL concerns or discussions. Multiple logistic regression analyses identified independent predictors related to advance directive completion.\nResults\nOf the 7946 respondents, 26.3% had an advance directive. The most frequently reported reason for not having one was lack of awareness. Advance directive completion was associated with older age, more education, and higher income and was less frequent among non-white respondents. Respondents with advance directives also were more likely to report having a chronic disease and a regular source of care. Advance directives were less frequent among those who reported not knowing if they had an EOL concern.\nConclusions\nThese data indicate racial and educational disparities in advance directive completion and highlight the need for education about their role in facilitating EOL decisions.","container-title":"American Journal of Preventive Medicine","DOI":"10.1016/j.amepre.2013.09.008","ISSN":"0749-3797","issue":"1","journalAbbreviation":"American Journal of Preventive Medicine","language":"en","page":"65-70","source":"ScienceDirect","title":"Completion of Advance Directives Among U.S. Consumers","volume":"46","author":[{"family":"Rao","given":"Jaya K."},{"family":"Anderson","given":"Lynda A."},{"family":"Lin","given":"Feng-Chang"},{"family":"Laux","given":"Jeffrey P."}],"issued":{"date-parts":[["2014",1,1]]}}},{"id":806,"uris":["http://zotero.org/groups/2464975/items/GM6LHIC6"],"uri":["http://zotero.org/groups/2464975/items/GM6LHIC6"],"itemData":{"id":806,"type":"article-journal","abstract":"This paper analyzes the association between race and the presence of advance care plan documents (living wills, do not resuscitate (DNR) orders, and do not hospitalize (DNH) orders) in nursing home residents. We conducted secondary analysis of publicly available survey data from the 1996 Medical Expenditure Panel Survey—Nursing Home Component, a nationally representative survey of nursing home residents in the United States. There were 3,747 participants in the survey, weighted to represent 1.56 million nursing home residents in the United States. We found that 20% of U.S. nursing home residents in 1996 had documentation of living wills, 48% had DNR orders, and 4% had DNH orders. African Americans are about one-third as likely as Caucasians to have living wills and one-fifth as likely as Caucasians to have DNR orders; Hispanics are about one-third as likely as Caucasians to have DNR orders and just as likely as Caucasians to have living wills. In conclusion, we found that the presence of advance care plans is related to race, even after controlling for health and other demographic factors. These findings call attention to an area where further research is needed to determine whether residents' (and their families') preferences are being elicited and documented.","container-title":"Journal of the American Geriatrics Society","DOI":"10.1046/j.1532-5415.2002.50073.x","ISSN":"1532-5415","issue":"2","language":"en","note":"_eprint: https://onlinelibrary.wiley.com/doi/pdf/10.1046/j.1532-5415.2002.50073.x","page":"378-381","source":"Wiley Online Library","title":"Persistence of Racial Disparities in Advance Care Plan Documents Among Nursing Home Residents","volume":"50","author":[{"family":"Degenholtz","given":"Howard B."},{"family":"Arnold","given":"Robert A."},{"family":"Meisel","given":"Alan"},{"family":"Lave","given":"Judith R."}],"issued":{"date-parts":[["2002"]]}}},{"id":802,"uris":["http://zotero.org/groups/2464975/items/R3MG667T"],"uri":["http://zotero.org/groups/2464975/items/R3MG667T"],"itemData":{"id":802,"type":"article-journal","abstract":"Two decades after the Patient Self Determination Act it is unknown how often physicians have advance care planning (ACP) discussions with hospitalized patients. The objective of this study is to investigate use of ACP discussions in a multi-ethnic, multi-lingual hospitalized population. Cross-sectional communication study of hospitalized patients. The Participants are 369 patients at one urban county hospital and one academic medical center. Interventions are not applicable. Participants were asked at baseline and a post-discharge interview whether hospital physicians had discussed either (a) what type of treatment they would want if they could not make decisions for themselves or (b) whether they would want cardiopulmonary resuscitation if needed. We compared patient characteristics for those who did and did not have an ACP discussion. Only 151 (41%) participants reported an ACP discussion. Rates of ACP were low across ethnic, language, education and age groups. In a multivariate model, scoring higher on a co-morbidity scale was associated with higher odds of reporting having had an ACP discussion during hospitalization; this finding remained after adjusting for time period and site of data collection. Multiethnic, multi-lingual hospitalized patients reported low rates of ACP discussions with their physicians regardless of ethnicity, English proficiency, education level or age.","container-title":"Journal of Immigrant and Minority Health","DOI":"10.1007/s10903-010-9361-5","ISSN":"1557-1920","issue":"3","journalAbbreviation":"J Immigrant Minority Health","language":"en","page":"620-624","source":"Springer Link","title":"Physician Use of Advance Care Planning Discussions in a Diverse Hospitalized Population","volume":"13","author":[{"family":"Kulkarni","given":"Sonali P."},{"family":"Karliner","given":"Leah S."},{"family":"Auerbach","given":"Andrew D."},{"family":"Pérez-Stable","given":"Eliseo J."}],"issued":{"date-parts":[["2011",6,1]]}}},{"id":797,"uris":["http://zotero.org/groups/2464975/items/8K5PSH9J"],"uri":["http://zotero.org/groups/2464975/items/8K5PSH9J"],"itemData":{"id":797,"type":"article-journal","abstract":"Purpose\nDespite well-documented racial and ethnic differences in advance care planning (ACP), we know little about why these differences exist. This study tested proposed mediators of racial/ethnic differences in ACP.\n\nPatients and Methods\nWe studied 312 non-Hispanic white, 83 non-Hispanic black, and 73 Hispanic patients with advanced cancer in the Coping with Cancer study, a federally funded multisite prospective cohort study designed to examine racial/ethnic disparities in ACP and end-of-life care. We assessed the impact of terminal illness acknowledgment, religiousness, and treatment preferences on racial/ethnic differences in ACP.\n\nResults\nCompared with white patients, black and Hispanic patients were less likely to have an ACP (white patients, 80%; black patients, 47%; Hispanic patients, 47%) and more likely to want life-prolonging care even if he or she had only a few days left to live (white patients, 14%; black patients, 45%; Hispanic patients, 34%) and to consider religion very important (white patients, 44%; black patients, 88%; Hispanic patients, 73%; all P &lt; .001, comparison of black or Hispanic patients with white patients). Hispanic patients were less likely and black patients marginally less likely to acknowledge their terminally ill status (white patients, 39% v Hispanic patients, 11%; P &lt; .001; white v black patients, 27%; P = .05). Racial/ethnic differences in ACP persisted after adjustment for clinical and demographic factors, terminal illness acknowledgment, religiousness, and treatment preferences (has ACP, black v white patients, adjusted relative risk, 0.64 [95% CI, 0.49 to 0.83]; Hispanic v white patients, 0.65 [95% CI, 0.47 to 0.89]).\n\nConclusion\nAlthough black and Hispanic patients are less likely to consider themselves terminally ill and more likely to want intensive treatment, these factors did not explain observed disparities in ACP.","container-title":"Journal of Clinical Oncology","DOI":"10.1200/JCO.2007.14.8452","ISSN":"0732-183X","issue":"25","journalAbbreviation":"J Clin Oncol","note":"PMID: 18757326\nPMCID: PMC2654372","page":"4131-4137","source":"PubMed Central","title":"Racial and Ethnic Differences in Advance Care Planning Among Patients With Cancer: Impact of Terminal Illness Acknowledgment, Religiousness, and Treatment Preferences","title-short":"Racial and Ethnic Differences in Advance Care Planning Among Patients With Cancer","volume":"26","author":[{"family":"Smith","given":"Alexander K."},{"family":"McCarthy","given":"Ellen P."},{"family":"Paulk","given":"Elizabeth"},{"family":"Balboni","given":"Tracy A."},{"family":"Maciejewski","given":"Paul K."},{"family":"Block","given":"Susan D."},{"family":"Prigerson","given":"Holly G."}],"issued":{"date-parts":[["2008",9,1]]}}},{"id":804,"uris":["http://zotero.org/groups/2464975/items/LHE9V9D6"],"uri":["http://zotero.org/groups/2464975/items/LHE9V9D6"],"itemData":{"id":804,"type":"article-journal","abstract":"Background:Ethnic/racial minorities encounter disparities in healthcare, which may carry into end-of-life (EOL) care. Advanced cancer, highly prevalent and morbid, presents with worsening symptoms, heightening the need for supportive and EOL care.Purpose:To conduct a systematic review examining ethnic/racial disparities in EOL care for cancer patients.Design:We searched four electronic databases for all original research examining EOL care use, preferences, and beliefs for cancer patients from ethnic/racial minority groups.Results:Twenty-five studies were included: 20 quantitative and five qualitative. All had a full-text English language article and focused on the ethnic/racial minority groups of African Americans, Hispanics Americans, or Asian Americans. Key themes included EOL decision making processes, family involvement, provider communication, religion and spirituality, and patient preferences. Hospice was the most studied EOL care, and was most used among Whites, followed by use among Hispanics, and least used by African and Asian Americans. African Americans perceived a greater need for hospice, yet more frequently had inadequate knowledge. African Americans preferred aggressive treatment, yet EOL care provided was often inconsistent with preferences. Hispanics and African Americans less often documented advance care plans, citing religious coping and spirituality as factors.Conclusion:EOL care differences among ethnic/racial minority cancer patients were found in the processes, preferences, and beliefs regarding their care. Further steps are needed to explore the exact causes of differences, yet possible explanations include religious or cultural differences, caregiver respect for patient autonomy, access barriers, and knowledge of EOL care options.","container-title":"American Journal of Hospice and Palliative Medicine®","DOI":"10.1177/1049909114565658","ISSN":"1049-9091","issue":"3","journalAbbreviation":"Am J Hosp Palliat Care","language":"en","note":"publisher: SAGE Publications Inc","page":"291-305","source":"SAGE Journals","title":"End-of-Life Care for People With Cancer From Ethnic Minority Groups: A Systematic Review","title-short":"End-of-Life Care for People With Cancer From Ethnic Minority Groups","volume":"33","author":[{"family":"LoPresti","given":"Melissa A."},{"family":"Dement","given":"Fritz"},{"family":"Gold","given":"Heather T."}],"issued":{"date-parts":[["2016",4,1]]}}}],"schema":"https://github.com/citation-style-language/schema/raw/master/csl-citation.json"} </w:instrText>
      </w:r>
      <w:r w:rsidR="00E05B7A">
        <w:rPr>
          <w:rFonts w:cs="Arial"/>
          <w:szCs w:val="22"/>
          <w:lang w:val="en"/>
        </w:rPr>
        <w:fldChar w:fldCharType="separate"/>
      </w:r>
      <w:r w:rsidR="00E05B7A" w:rsidRPr="000B3DB3">
        <w:rPr>
          <w:rFonts w:cs="Arial"/>
          <w:szCs w:val="24"/>
          <w:vertAlign w:val="superscript"/>
        </w:rPr>
        <w:t>16–21</w:t>
      </w:r>
      <w:r w:rsidR="00E05B7A">
        <w:rPr>
          <w:rFonts w:cs="Arial"/>
          <w:szCs w:val="22"/>
          <w:lang w:val="en"/>
        </w:rPr>
        <w:fldChar w:fldCharType="end"/>
      </w:r>
      <w:r>
        <w:rPr>
          <w:rFonts w:cs="Arial"/>
          <w:szCs w:val="22"/>
        </w:rPr>
        <w:t xml:space="preserve"> </w:t>
      </w:r>
      <w:r w:rsidRPr="00DD53A3">
        <w:rPr>
          <w:rFonts w:cs="Arial"/>
          <w:szCs w:val="22"/>
        </w:rPr>
        <w:t xml:space="preserve">Clinician barriers to initiating SICs include optimism bias, or the belief that </w:t>
      </w:r>
      <w:r>
        <w:rPr>
          <w:rFonts w:cs="Arial"/>
          <w:szCs w:val="22"/>
        </w:rPr>
        <w:t>one’s</w:t>
      </w:r>
      <w:r w:rsidRPr="00DD53A3">
        <w:rPr>
          <w:rFonts w:cs="Arial"/>
          <w:szCs w:val="22"/>
        </w:rPr>
        <w:t xml:space="preserve"> own patient is unlikely to experience a negative event; uncertainty about prognosis and appropriate timing; and fear that bringing up end-of-life issues may be distressing to patients.</w:t>
      </w:r>
      <w:r w:rsidR="00E05B7A">
        <w:rPr>
          <w:rFonts w:cs="Arial"/>
          <w:szCs w:val="22"/>
        </w:rPr>
        <w:fldChar w:fldCharType="begin"/>
      </w:r>
      <w:r w:rsidR="00655791">
        <w:rPr>
          <w:rFonts w:cs="Arial"/>
          <w:szCs w:val="22"/>
        </w:rPr>
        <w:instrText xml:space="preserve"> ADDIN ZOTERO_ITEM CSL_CITATION {"citationID":"wgs68YR4","properties":{"formattedCitation":"\\super 26,27\\nosupersub{}","plainCitation":"26,27","noteIndex":0},"citationItems":[{"id":813,"uris":["http://zotero.org/groups/2464975/items/TZFHFMRD"],"uri":["http://zotero.org/groups/2464975/items/TZFHFMRD"],"itemData":{"id":813,"type":"article-journal","abstract":"12002Background: Most patients with cancer die without a documented serious illness conversation (SIC) about prognosis and goals. Interventions that increase SICs between oncology clinicians and patients may improve goal-concordant care and end-of-life outcomes. Methods: In this stepped-wedge cluster randomized trial (NCT03984773), we tested the effect of an intervention delivering machine learning-based mortality estimates with behavioral nudges to oncologists to increase SICs among patients with cancer. The clinician-focused intervention consisted of 1) weekly emails providing individual SIC performance feedback (number of SICs in the past month) and peer comparisons; 2) a list of patients scheduled for the next week with a ≥10% predicted risk of 6 month mortality by a validated machine learning prognostic algorithm, and 3) automated opt-out text prompts on the patient’s appointment day to consider an SIC. Eight medical oncology clinics were randomized to receive the intervention in a stepped-wedge fashion every four weeks for a total of 16 weeks. Medical oncology clinicians were included if they were trained to use the SIC Guide (Ariadne Labs, Boston MA). Patients were included if they had an outpatient encounter with an eligible clinician between June 17 and November 1, 2019. The primary outcome was the percent of patient encounters with a documented SIC. Intention to treat analyses adjusted for clinic and wedge fixed effects and clustered at the oncologist level. Results: The sample consisted of 78 clinicians and 14,607 patients. The mean age of patients was 61.7 years, 55.7% were female, 70.4% were white, and 19.6% were black. The percent of patient encounters with an SIC was 1.2% (106/8536) during the pre-intervention period and 4.0% (401/10,152) during the intervention period. In intention to treat adjusted analyses, the intervention led to a significant increase in SICs (adjusted odds ratio, 3.7; 95% CI, 2.5 to 5.4, P value &lt; 0.0001). Conclusions: An intervention consisting of machine learning mortality estimates and behavioral nudges to oncology clinicians increased SICs by three-fold over 16 weeks, a significant difference.This is one of the first studies evaluating a machine learning-based behavioral intervention to improve serious illness communication in oncology. Secondary analyses (completed April 2020) will clarify whether this intervention leads to a sustained increase in SIC rates and improves goal-concordant care and end-of-life outcomes. Clinical trial information: NCT03984773.","collection-title":"In press","container-title":"Journal of Clinical Oncology","DOI":"10.1200/JCO.2020.38.15_suppl.12002","ISSN":"0732-183X","issue":"15_suppl","journalAbbreviation":"JCO","note":"publisher: American Society of Clinical Oncology","page":"12002-12002","source":"ascopubs.org (Atypon)","title":"Effect of integrating machine learning mortality estimates with behavioral nudges to increase serious illness conversions among patients with cancer: A stepped-wedge cluster randomized trial.","title-short":"Effect of integrating machine learning mortality estimates with behavioral nudges to increase serious illness conversions among patients with cancer","volume":"38","author":[{"family":"Manz","given":"Chris"},{"family":"Parikh","given":"Ravi Bharat"},{"family":"Evans","given":"Chalanda N."},{"family":"Chivers","given":"Corey"},{"family":"Regli","given":"Susan B"},{"family":"Changolkar","given":"Sujatha"},{"family":"Bekelman","given":"Justin E."},{"family":"Small","given":"Dylan"},{"family":"Rareshide","given":"Charles A.L."},{"family":"O'Connor","given":"Nina"},{"family":"Schuchter","given":"Lynn Mara"},{"family":"Shulman","given":"Lawrence N."},{"family":"Patel","given":"Mitesh S."}],"issued":{"date-parts":[["2020",5,20]]}}},{"id":819,"uris":["http://zotero.org/groups/2464975/items/2RBSLQV3"],"uri":["http://zotero.org/groups/2464975/items/2RBSLQV3"],"itemData":{"id":819,"type":"article-journal","abstract":"BACKGROUND: Advance care planning (ACP) discussions afford patients and physicians a chance to better understand patients' values and wishes regarding end-of-life care; however, these conversations typically take place late in the course of a disease. The goal of this study was to clarify attitudes of oncologists, cardiologists, and primary care physicians (PCPs) toward ACP and to identify persistent barriers to timely ACP discussion following a quality improvement initiative at our health system geared at improvement in ACP implementation.\nMETHODS: A 20-question, cross-sectional online survey was created and distributed to cardiologists, oncologists, PCPs, and cardiology and oncology support staff at the NorthShore University HealthSystem (NorthShore) from February to March 2015. A total of 117 individuals (46% of distributed) completed the surveys. The results were compiled using an online survey analysis tool (SurveyMonkey, Inc., Palo Alto, California, USA).\nRESULTS: Only 15% of cardiologists felt it was their responsibility to conduct ACP discussions with their patients having congestive heart failure (CHF). In contrast, 68% of oncologists accepted this discussion as their responsibility in patients with terminal cancer ( P &lt; .01). These views were mirrored by PCPs, as 68% of PCPs felt personally responsible for ACP discussion with patients having CHF, while only 34% felt the same about patients with cancer. Reported documentation of these discussions in the electronic health record was inconsistent between specialties. Among all surveyed specialties, lack of time was the major barrier limiting ACP discussion. Perceived patient discomfort and discomfort of the patient's family toward these discussions were also significant reported barriers.\nCONCLUSION: Attitudes toward ACP implementation vary considerably by medical specialty and medical condition, with oncologists in this study tending to feel more personal responsibility for these discussions with patients having cancer than cardiologists with their patients having heart failure. Robust implementation of ACP across the spectrum of medical diagnoses is likely to require a true collaboration between office-based PCPs and specialists in both the inpatient and the ambulatory settings.","container-title":"The American Journal of Hospice &amp; Palliative Care","DOI":"10.1177/1049909116636614","ISSN":"1938-2715","issue":"5","journalAbbreviation":"Am J Hosp Palliat Care","language":"eng","note":"PMID: 26941370","page":"423-429","source":"PubMed","title":"Perspectives of Health-Care Providers Toward Advance Care Planning in Patients With Advanced Cancer and Congestive Heart Failure","volume":"34","author":[{"family":"Chandar","given":"Manisha"},{"family":"Brockstein","given":"Bruce"},{"family":"Zunamon","given":"Alan"},{"family":"Silverman","given":"Irwin"},{"family":"Dlouhy","given":"Sarah"},{"family":"Ashlevitz","given":"Kathryn"},{"family":"Tabachow","given":"Cory"},{"family":"Lapin","given":"Brittany"},{"family":"Ewigman","given":"Bernard"},{"family":"Mazzone","given":"Theodore"},{"family":"Obel","given":"Jennifer"}],"issued":{"date-parts":[["2017",6]]}}}],"schema":"https://github.com/citation-style-language/schema/raw/master/csl-citation.json"} </w:instrText>
      </w:r>
      <w:r w:rsidR="00E05B7A">
        <w:rPr>
          <w:rFonts w:cs="Arial"/>
          <w:szCs w:val="22"/>
        </w:rPr>
        <w:fldChar w:fldCharType="separate"/>
      </w:r>
      <w:r w:rsidR="00655791" w:rsidRPr="00655791">
        <w:rPr>
          <w:rFonts w:cs="Arial"/>
          <w:szCs w:val="24"/>
          <w:vertAlign w:val="superscript"/>
        </w:rPr>
        <w:t>26,27</w:t>
      </w:r>
      <w:r w:rsidR="00E05B7A">
        <w:rPr>
          <w:rFonts w:cs="Arial"/>
          <w:szCs w:val="22"/>
        </w:rPr>
        <w:fldChar w:fldCharType="end"/>
      </w:r>
      <w:r w:rsidRPr="00DD53A3">
        <w:rPr>
          <w:rFonts w:cs="Arial"/>
          <w:szCs w:val="22"/>
        </w:rPr>
        <w:t xml:space="preserve"> Patient barriers to SIC initiation include fear of discussing the end of life and beliefs that SICs are not appropriate until late in the course of cancer.</w:t>
      </w:r>
      <w:r w:rsidR="00E05B7A">
        <w:rPr>
          <w:rFonts w:cs="Arial"/>
          <w:szCs w:val="22"/>
        </w:rPr>
        <w:fldChar w:fldCharType="begin"/>
      </w:r>
      <w:r w:rsidR="00655791">
        <w:rPr>
          <w:rFonts w:cs="Arial"/>
          <w:szCs w:val="22"/>
        </w:rPr>
        <w:instrText xml:space="preserve"> ADDIN ZOTERO_ITEM CSL_CITATION {"citationID":"i8dK5AHo","properties":{"formattedCitation":"\\super 15\\nosupersub{}","plainCitation":"15","noteIndex":0},"citationItems":[{"id":827,"uris":["http://zotero.org/groups/2464975/items/CWEELPK8"],"uri":["http://zotero.org/groups/2464975/items/CWEELPK8"],"itemData":{"id":827,"type":"book","language":"en","note":"container-title: Dying in America: Improving Quality and Honoring Individual Preferences Near the End of Life","publisher":"National Academies Press (US)","source":"www.ncbi.nlm.nih.gov","title":"Committee on Approaching Death: Addressing Key End-Of-Life Issues","title-short":"COMMITTEE ON APPROACHING DEATH","URL":"https://www.ncbi.nlm.nih.gov/books/NBK285678/","accessed":{"date-parts":[["2020",9,4]]},"issued":{"date-parts":[["2015",3,19]]}}}],"schema":"https://github.com/citation-style-language/schema/raw/master/csl-citation.json"} </w:instrText>
      </w:r>
      <w:r w:rsidR="00E05B7A">
        <w:rPr>
          <w:rFonts w:cs="Arial"/>
          <w:szCs w:val="22"/>
        </w:rPr>
        <w:fldChar w:fldCharType="separate"/>
      </w:r>
      <w:r w:rsidR="00E05B7A" w:rsidRPr="00E05B7A">
        <w:rPr>
          <w:rFonts w:cs="Arial"/>
          <w:szCs w:val="24"/>
          <w:vertAlign w:val="superscript"/>
        </w:rPr>
        <w:t>15</w:t>
      </w:r>
      <w:r w:rsidR="00E05B7A">
        <w:rPr>
          <w:rFonts w:cs="Arial"/>
          <w:szCs w:val="22"/>
        </w:rPr>
        <w:fldChar w:fldCharType="end"/>
      </w:r>
      <w:r>
        <w:rPr>
          <w:rFonts w:cs="Arial"/>
          <w:szCs w:val="22"/>
        </w:rPr>
        <w:t xml:space="preserve"> </w:t>
      </w:r>
      <w:r w:rsidRPr="00DD53A3">
        <w:rPr>
          <w:rFonts w:cs="Arial"/>
          <w:szCs w:val="22"/>
        </w:rPr>
        <w:t xml:space="preserve">While previous studies have tested financial incentives for SIC documentation, little research has evaluated behavioral economics-informed strategies to align </w:t>
      </w:r>
      <w:r w:rsidRPr="00DD53A3">
        <w:rPr>
          <w:rFonts w:cs="Arial"/>
          <w:i/>
          <w:szCs w:val="22"/>
        </w:rPr>
        <w:t>both</w:t>
      </w:r>
      <w:r w:rsidRPr="00DD53A3">
        <w:rPr>
          <w:rFonts w:cs="Arial"/>
          <w:szCs w:val="22"/>
        </w:rPr>
        <w:t xml:space="preserve"> clinicians an</w:t>
      </w:r>
      <w:r>
        <w:rPr>
          <w:rFonts w:cs="Arial"/>
          <w:szCs w:val="22"/>
        </w:rPr>
        <w:t>d patients towards earlier SICs.</w:t>
      </w:r>
    </w:p>
    <w:p w14:paraId="0EED2940" w14:textId="4206437C" w:rsidR="00BC4E88" w:rsidRPr="008956E8" w:rsidRDefault="00CD0501" w:rsidP="00F54398">
      <w:pPr>
        <w:ind w:firstLine="720"/>
        <w:rPr>
          <w:rFonts w:cs="Arial"/>
          <w:szCs w:val="22"/>
          <w:lang w:val="en"/>
        </w:rPr>
      </w:pPr>
      <w:r w:rsidRPr="00CD0501">
        <w:rPr>
          <w:i/>
        </w:rPr>
        <w:t>Rationale for</w:t>
      </w:r>
      <w:r w:rsidR="009C3034">
        <w:rPr>
          <w:i/>
        </w:rPr>
        <w:t xml:space="preserve"> clinician nudge using mortality prediction</w:t>
      </w:r>
      <w:r w:rsidR="008956E8">
        <w:rPr>
          <w:i/>
        </w:rPr>
        <w:t xml:space="preserve"> and peer comparison</w:t>
      </w:r>
      <w:r w:rsidR="009C3034">
        <w:rPr>
          <w:i/>
        </w:rPr>
        <w:t>.</w:t>
      </w:r>
      <w:r>
        <w:t xml:space="preserve"> </w:t>
      </w:r>
      <w:r w:rsidR="009C3034" w:rsidRPr="00DD53A3">
        <w:rPr>
          <w:rFonts w:cs="Arial"/>
          <w:szCs w:val="22"/>
        </w:rPr>
        <w:t xml:space="preserve">Due to optimism bias, </w:t>
      </w:r>
      <w:r w:rsidR="009C3034" w:rsidRPr="00DD53A3">
        <w:rPr>
          <w:rFonts w:cs="Arial"/>
          <w:szCs w:val="22"/>
          <w:lang w:val="en"/>
        </w:rPr>
        <w:t>clinicians routinely overestimate the life expectancy of patients with advanced cancer</w:t>
      </w:r>
      <w:r w:rsidR="00AA63DD">
        <w:rPr>
          <w:rFonts w:cs="Arial"/>
          <w:szCs w:val="22"/>
          <w:lang w:val="en"/>
        </w:rPr>
        <w:fldChar w:fldCharType="begin"/>
      </w:r>
      <w:r w:rsidR="00655791">
        <w:rPr>
          <w:rFonts w:cs="Arial"/>
          <w:szCs w:val="22"/>
          <w:lang w:val="en"/>
        </w:rPr>
        <w:instrText xml:space="preserve"> ADDIN ZOTERO_ITEM CSL_CITATION {"citationID":"icKyfABw","properties":{"formattedCitation":"\\super 28,29\\nosupersub{}","plainCitation":"28,29","noteIndex":0},"citationItems":[{"id":818,"uris":["http://zotero.org/groups/2464975/items/5X2VIAGL"],"uri":["http://zotero.org/groups/2464975/items/5X2VIAGL"],"itemData":{"id":818,"type":"article-journal","abstract":"OBJECTIVE: To describe doctors' prognostic accuracy in terminally ill patients and to evaluate the determinants of that accuracy.\nDESIGN: Prospective cohort study.\nSETTING: Five outpatient hospice programmes in Chicago.\nPARTICIPANTS: 343 doctors provided survival estimates for 468 terminally ill patients at the time of hospice referral.\nMAIN OUTCOME MEASURES: Patients' estimated and actual survival.\nRESULTS: Median survival was 24 days. Only 20% (92/468) of predictions were accurate (within 33% of actual survival); 63% (295/468) were overoptimistic and 17% (81/468) were overpessimistic. Overall, doctors overestimated survival by a factor of 5.3. Few patient or doctor characteristics were associated with prognostic accuracy. Male patients were 58% less likely to have overpessimistic predictions. Non-oncology medical specialists were 326% more likely than general internists to make overpessimistic predictions. Doctors in the upper quartile of practice experience were the most accurate. As duration of doctor-patient relationship increased and time since last contact decreased, prognostic accuracy decreased.\nCONCLUSION: Doctors are inaccurate in their prognoses for terminally ill patients and the error is systematically optimistic. The inaccuracy is, in general, not restricted to certain kinds of doctors or patients. These phenomena may be adversely affecting the quality of care given to patients near the end of life.","container-title":"BMJ (Clinical research ed.)","DOI":"10.1136/bmj.320.7233.469","ISSN":"0959-8138","issue":"7233","journalAbbreviation":"BMJ","language":"eng","note":"PMID: 10678857\nPMCID: PMC27288","page":"469-472","source":"PubMed","title":"Extent and determinants of error in doctors' prognoses in terminally ill patients: prospective cohort study","title-short":"Extent and determinants of error in doctors' prognoses in terminally ill patients","volume":"320","author":[{"family":"Christakis","given":"N. A."},{"family":"Lamont","given":"E. B."}],"issued":{"date-parts":[["2000",2,19]]}}},{"id":823,"uris":["http://zotero.org/groups/2464975/items/E5AYCIAS"],"uri":["http://zotero.org/groups/2464975/items/E5AYCIAS"],"itemData":{"id":823,"type":"article-journal","abstract":"PURPOSE:: For patients treated with palliative radiation, we examined the association between life expectancy predictions by radiation oncologists and aggressive end-of-life care.\nMATERIALS AND METHODS:: We included decedents from a study that assessed the ability of oncologists to predict survival of patients with metastatic cancer who received radiation. We identified patients who died within 12 months of study enrollment to assess accuracy of predictions. Aggressive end-of-life care was defined by the National Quality Forum, ASCO Quality Oncology Practice Initiative metrics, and advanced radiation modalities in the last month of life. Survival predictions were categorized as follows: correct (&lt; 12 months), 12 to 18 months, 18 to 24 months, and more than 24 months. We assessed association between prediction and aggressive end-of-life care using a generalized estimation equation.\nRESULTS:: Of 489 decedents, we identified 467 encounters with survival estimates. Overall, 156 decedents (32%) met at least one metric of aggressive end-of-life care. Factors associated with aggressive end-of-life care included younger age, female sex, primary cancer diagnosis, no brain metastases, and private insurance. In each encounter when an oncologist predicted survival, 363 predictions (78%) were correct (&lt; 12 months), 54 (11%) incorrectly predicted 12 to 18 months, 27 (6%) predicted 18 to 24 months, and 23 (5%) predicted more than 24 months. Compared with patients who had encounters that had correct survival predictions, patients predicted to live more than 24 months were more likely to meet at least one metric of aggressive end-of-life care (odds ratio, 2.55; 95% CI, 1.09 to 5.99; P = .03).\nCONCLUSION:: Inaccurate survival predictions by oncologists are associated with more aggressive end-of-life care for patients with advanced cancer.","container-title":"Journal of Oncology Practice","DOI":"10.1200/JOP.18.00516","ISSN":"1935-469X","issue":"3","journalAbbreviation":"J Oncol Pract","language":"eng","note":"PMID: 30620629","page":"e262-e270","source":"PubMed","title":"Impact of Accuracy of Survival Predictions on Quality of End-of-Life Care Among Patients With Metastatic Cancer Who Receive Radiation Therapy","volume":"15","author":[{"family":"Sborov","given":"Katherine"},{"family":"Giaretta","given":"Stephanie"},{"family":"Koong","given":"Amanda"},{"family":"Aggarwal","given":"Sonya"},{"family":"Aslakson","given":"Rebecca"},{"family":"Gensheimer","given":"Michael F."},{"family":"Chang","given":"Daniel T."},{"family":"Pollom","given":"Erqi L."}],"issued":{"date-parts":[["2019",3]]}}}],"schema":"https://github.com/citation-style-language/schema/raw/master/csl-citation.json"} </w:instrText>
      </w:r>
      <w:r w:rsidR="00AA63DD">
        <w:rPr>
          <w:rFonts w:cs="Arial"/>
          <w:szCs w:val="22"/>
          <w:lang w:val="en"/>
        </w:rPr>
        <w:fldChar w:fldCharType="separate"/>
      </w:r>
      <w:r w:rsidR="00AA63DD" w:rsidRPr="00AA63DD">
        <w:rPr>
          <w:rFonts w:cs="Arial"/>
          <w:szCs w:val="24"/>
          <w:vertAlign w:val="superscript"/>
        </w:rPr>
        <w:t>28,29</w:t>
      </w:r>
      <w:r w:rsidR="00AA63DD">
        <w:rPr>
          <w:rFonts w:cs="Arial"/>
          <w:szCs w:val="22"/>
          <w:lang w:val="en"/>
        </w:rPr>
        <w:fldChar w:fldCharType="end"/>
      </w:r>
      <w:r w:rsidR="009C3034" w:rsidRPr="00DD53A3">
        <w:rPr>
          <w:rFonts w:cs="Arial"/>
          <w:szCs w:val="22"/>
          <w:lang w:val="en"/>
        </w:rPr>
        <w:t xml:space="preserve"> and delay SICs until too late in the disease course. In part because of this, clinicians </w:t>
      </w:r>
      <w:r w:rsidR="00E64EFE">
        <w:rPr>
          <w:rFonts w:cs="Arial"/>
          <w:szCs w:val="22"/>
          <w:lang w:val="en"/>
        </w:rPr>
        <w:t xml:space="preserve">reinforce a social </w:t>
      </w:r>
      <w:r w:rsidR="00E64EFE">
        <w:rPr>
          <w:rFonts w:cs="Arial"/>
          <w:szCs w:val="22"/>
          <w:lang w:val="en"/>
        </w:rPr>
        <w:lastRenderedPageBreak/>
        <w:t xml:space="preserve">norm that </w:t>
      </w:r>
      <w:r w:rsidR="009C3034" w:rsidRPr="00DD53A3">
        <w:rPr>
          <w:rFonts w:cs="Arial"/>
          <w:szCs w:val="22"/>
          <w:lang w:val="en"/>
        </w:rPr>
        <w:t>early SICs are not part of routine oncology care.</w:t>
      </w:r>
      <w:r w:rsidR="008956E8">
        <w:rPr>
          <w:rFonts w:cs="Arial"/>
          <w:szCs w:val="22"/>
          <w:lang w:val="en"/>
        </w:rPr>
        <w:t xml:space="preserve"> Providing an objective assessment of predicted mortality risk may help counteract optimism bias </w:t>
      </w:r>
      <w:r w:rsidR="00E13E9A">
        <w:rPr>
          <w:rFonts w:cs="Arial"/>
          <w:szCs w:val="22"/>
          <w:lang w:val="en"/>
        </w:rPr>
        <w:t>among</w:t>
      </w:r>
      <w:r w:rsidR="008956E8">
        <w:rPr>
          <w:rFonts w:cs="Arial"/>
          <w:szCs w:val="22"/>
          <w:lang w:val="en"/>
        </w:rPr>
        <w:t xml:space="preserve"> clinicians, and help them identify patients most likely to benefit from SICs. Moreover, t</w:t>
      </w:r>
      <w:r w:rsidR="0004449D" w:rsidRPr="00DD53A3">
        <w:rPr>
          <w:rFonts w:cs="Arial"/>
          <w:szCs w:val="22"/>
          <w:lang w:val="en"/>
        </w:rPr>
        <w:t xml:space="preserve">hat individuals desire to conform </w:t>
      </w:r>
      <w:r w:rsidR="0004449D" w:rsidRPr="00DD53A3">
        <w:rPr>
          <w:rFonts w:cs="Arial"/>
          <w:szCs w:val="22"/>
        </w:rPr>
        <w:t xml:space="preserve">to an approved behavior (an injunctive norm) </w:t>
      </w:r>
      <w:r w:rsidR="009B4AF7">
        <w:rPr>
          <w:rFonts w:cs="Arial"/>
          <w:szCs w:val="22"/>
        </w:rPr>
        <w:t>and</w:t>
      </w:r>
      <w:r w:rsidR="0004449D" w:rsidRPr="00DD53A3">
        <w:rPr>
          <w:rFonts w:cs="Arial"/>
          <w:szCs w:val="22"/>
        </w:rPr>
        <w:t xml:space="preserve"> the behavior of others (a descriptive norm) may contribute to low observed SIC rates, and </w:t>
      </w:r>
      <w:r w:rsidR="0004449D">
        <w:rPr>
          <w:rFonts w:cs="Arial"/>
          <w:szCs w:val="22"/>
        </w:rPr>
        <w:t>may also</w:t>
      </w:r>
      <w:r w:rsidR="0004449D" w:rsidRPr="00DD53A3">
        <w:rPr>
          <w:rFonts w:cs="Arial"/>
          <w:szCs w:val="22"/>
        </w:rPr>
        <w:t xml:space="preserve"> afford</w:t>
      </w:r>
      <w:r w:rsidR="0004449D">
        <w:rPr>
          <w:rFonts w:cs="Arial"/>
          <w:szCs w:val="22"/>
        </w:rPr>
        <w:t xml:space="preserve"> an opportunity for intervention.</w:t>
      </w:r>
      <w:r w:rsidR="0004449D">
        <w:t xml:space="preserve"> </w:t>
      </w:r>
      <w:r>
        <w:t xml:space="preserve">We expect that periodically reminding </w:t>
      </w:r>
      <w:r w:rsidR="0004449D">
        <w:t>clinicians</w:t>
      </w:r>
      <w:r>
        <w:t xml:space="preserve"> of their own</w:t>
      </w:r>
      <w:r w:rsidR="0004449D">
        <w:t xml:space="preserve"> </w:t>
      </w:r>
      <w:r w:rsidR="00BC4E88">
        <w:t xml:space="preserve">performance on </w:t>
      </w:r>
      <w:r w:rsidR="0004449D">
        <w:t>SIC documentation</w:t>
      </w:r>
      <w:r w:rsidR="009B4AF7">
        <w:t>, while providing both</w:t>
      </w:r>
      <w:r>
        <w:t xml:space="preserve"> </w:t>
      </w:r>
      <w:r w:rsidR="009B4AF7">
        <w:t xml:space="preserve">an injunctive norm (citing national and institutional guidelines) and a </w:t>
      </w:r>
      <w:r>
        <w:t>descriptive social norm (displaying the behavior of the</w:t>
      </w:r>
      <w:r w:rsidR="00BC4E88">
        <w:t>ir</w:t>
      </w:r>
      <w:r>
        <w:t xml:space="preserve"> best performing peers)</w:t>
      </w:r>
      <w:r w:rsidR="009C3034">
        <w:t>,</w:t>
      </w:r>
      <w:r>
        <w:t xml:space="preserve"> will lead </w:t>
      </w:r>
      <w:r w:rsidR="00BC4E88">
        <w:t>clinicians</w:t>
      </w:r>
      <w:r>
        <w:t xml:space="preserve"> to conform more closely to these norms</w:t>
      </w:r>
      <w:r w:rsidR="00BC4E88">
        <w:t>, as has been shown in</w:t>
      </w:r>
      <w:r w:rsidR="00E13E9A">
        <w:t xml:space="preserve"> studies conducted in other contexts.</w:t>
      </w:r>
      <w:r w:rsidR="00AA63DD">
        <w:fldChar w:fldCharType="begin"/>
      </w:r>
      <w:r w:rsidR="00655791">
        <w:instrText xml:space="preserve"> ADDIN ZOTERO_ITEM CSL_CITATION {"citationID":"g5xBd0hJ","properties":{"formattedCitation":"\\super 23,30,31\\nosupersub{}","plainCitation":"23,30,31","noteIndex":0},"citationItems":[{"id":788,"uris":["http://zotero.org/groups/2464975/items/IGWMQLDT"],"uri":["http://zotero.org/groups/2464975/items/IGWMQLDT"],"itemData":{"id":788,"type":"article-journal","abstract":"IMPORTANCE: Interventions based on behavioral science might reduce inappropriate antibiotic prescribing.\nOBJECTIVE: To assess effects of behavioral interventions and rates of inappropriate (not guideline-concordant) antibiotic prescribing during ambulatory visits for acute respiratory tract infections.\nDESIGN, SETTING, AND PARTICIPANTS: Cluster randomized clinical trial conducted among 47 primary care practices in Boston and Los Angeles. Participants were 248 enrolled clinicians randomized to receive 0, 1, 2, or 3 interventions for 18 months. All clinicians received education on antibiotic prescribing guidelines on enrollment. Interventions began between November 1, 2011, and October 1, 2012. Follow-up for the latest-starting sites ended on April 1, 2014. Adult patients with comorbidities and concomitant infections were excluded.\nINTERVENTIONS: Three behavioral interventions, implemented alone or in combination: suggested alternatives presented electronic order sets suggesting nonantibiotic treatments; accountable justification prompted clinicians to enter free-text justifications for prescribing antibiotics into patients' electronic health records; peer comparison sent emails to clinicians that compared their antibiotic prescribing rates with those of \"top performers\" (those with the lowest inappropriate prescribing rates).\nMAIN OUTCOMES AND MEASURES: Antibiotic prescribing rates for visits with antibiotic-inappropriate diagnoses (nonspecific upper respiratory tract infections, acute bronchitis, and influenza) from 18 months preintervention to 18 months afterward, adjusting each intervention's effects for co-occurring interventions and preintervention trends, with random effects for practices and clinicians.\nRESULTS: There were 14,753 visits (mean patient age, 47 years; 69% women) for antibiotic-inappropriate acute respiratory tract infections during the baseline period and 16,959 visits (mean patient age, 48 years; 67% women) during the intervention period. Mean antibiotic prescribing rates decreased from 24.1% at intervention start to 13.1% at intervention month 18 (absolute difference, -11.0%) for control practices; from 22.1% to 6.1% (absolute difference, -16.0%) for suggested alternatives (difference in differences, -5.0% [95% CI, -7.8% to 0.1%]; P = .66 for differences in trajectories); from 23.2% to 5.2% (absolute difference, -18.1%) for accountable justification (difference in differences, -7.0% [95% CI, -9.1% to -2.9%]; P &lt; .001); and from 19.9% to 3.7% (absolute difference, -16.3%) for peer comparison (difference in differences, -5.2% [95% CI, -6.9% to -1.6%]; P &lt; .001). There were no statistically significant interactions (neither synergy nor interference) between interventions.\nCONCLUSIONS AND RELEVANCE: Among primary care practices, the use of accountable justification and peer comparison as behavioral interventions resulted in lower rates of inappropriate antibiotic prescribing for acute respiratory tract infections.\nTRIAL REGISTRATION: clinicaltrials.gov Identifier: NCT01454947.","container-title":"JAMA","DOI":"10.1001/jama.2016.0275","ISSN":"1538-3598","issue":"6","journalAbbreviation":"JAMA","language":"eng","note":"PMID: 26864410\nPMCID: PMC6689234","page":"562-570","source":"PubMed","title":"Effect of Behavioral Interventions on Inappropriate Antibiotic Prescribing Among Primary Care Practices: A Randomized Clinical Trial","title-short":"Effect of Behavioral Interventions on Inappropriate Antibiotic Prescribing Among Primary Care Practices","volume":"315","author":[{"family":"Meeker","given":"Daniella"},{"family":"Linder","given":"Jeffrey A."},{"family":"Fox","given":"Craig R."},{"family":"Friedberg","given":"Mark W."},{"family":"Persell","given":"Stephen D."},{"family":"Goldstein","given":"Noah J."},{"family":"Knight","given":"Tara K."},{"family":"Hay","given":"Joel W."},{"family":"Doctor","given":"Jason N."}],"issued":{"date-parts":[["2016",2,9]]}}},{"id":2409,"uris":["http://zotero.org/groups/2464975/items/CC8DRV7L"],"uri":["http://zotero.org/groups/2464975/items/CC8DRV7L"],"itemData":{"id":2409,"type":"article-journal","abstract":"CONTEXT: Performance feedback and benchmarking, common tools for health care improvement, are rarely studied in randomized trials. Achievable Benchmarks of Care (ABCs) are standards of excellence attained by top performers in a peer group and are easily and reproducibly calculated from existing performance data.\nOBJECTIVE: To evaluate the effectiveness of using achievable benchmarks to enhance typical physician performance feedback and improve care.\nDESIGN: Group-randomized controlled trial conducted in December 1996, with follow-up through 1998.\nSETTING AND PARTICIPANTS: Seventy community physicians and 2978 fee-for-service Medicare patients with diabetes mellitus who were part of the Ambulatory Care Quality Improvement Project in Alabama.\nINTERVENTION: Physicians were randomly assigned to receive a multimodal improvement intervention, including chart review and physician-specific feedback (comparison group; n = 35) or an identical intervention plus achievable benchmark feedback (experimental group; n = 35).\nMAIN OUTCOME MEASURE: Preintervention (1994-1995) to postintervention (1997-1998) changes in the proportion of patients receiving influenza vaccination; foot examination; and each of 3 blood tests measuring glucose control, cholesterol level, and triglyceride level, compared between the 2 groups.\nRESULTS: The proportion of patients who received influenza vaccine improved from 40% to 58% in the experimental group (P&lt;.001) vs from 40% to 46% in the comparison group (P =.02). Odds ratios (ORs) for patients of achievable benchmark physicians vs comparison physicians who received appropriate care after the intervention, adjusted for preintervention care and nesting of patients within physicians, were 1.57 (95% confidence interval [CI], 1.26-1.96) for influenza vaccination, 1.33 (95% CI, 1.05-1.69) for foot examination, and 1.33 (95% CI, 1.04-1.69) for long-term glucose control measurement. For serum cholesterol and triglycerides, the achievable benchmark effect was statistically significant only after additional adjustment for physician characteristics (OR, 1.40 [95% CI, 1.08-1.82] and OR, 1.40 [95% CI, 1.09-1.79], respectively).\nCONCLUSION: Use of achievable benchmarks significantly enhances the effectiveness of physician performance feedback in the setting of a multimodal quality improvement intervention.","container-title":"JAMA","DOI":"10.1001/jama.285.22.2871","ISSN":"0098-7484","issue":"22","journalAbbreviation":"JAMA","language":"eng","note":"PMID: 11401608","page":"2871-2879","source":"PubMed","title":"Improving quality improvement using achievable benchmarks for physician feedback: a randomized controlled trial","title-short":"Improving quality improvement using achievable benchmarks for physician feedback","volume":"285","author":[{"family":"Kiefe","given":"C. I."},{"family":"Allison","given":"J. J."},{"family":"Williams","given":"O. D."},{"family":"Person","given":"S. D."},{"family":"Weaver","given":"M. T."},{"family":"Weissman","given":"N. W."}],"issued":{"date-parts":[["2001",6,13]]}}},{"id":2408,"uris":["http://zotero.org/groups/2464975/items/SFNSTQQI"],"uri":["http://zotero.org/groups/2464975/items/SFNSTQQI"],"itemData":{"id":2408,"type":"article-journal","container-title":"JAMA","DOI":"10.1001/jama.2017.11152","ISSN":"1538-3598","issue":"14","journalAbbreviation":"JAMA","language":"eng","note":"PMID: 29049577\nPMCID: PMC5818848","page":"1391-1392","source":"PubMed","title":"Effects of Behavioral Interventions on Inappropriate Antibiotic Prescribing in Primary Care 12 Months After Stopping Interventions","volume":"318","author":[{"family":"Linder","given":"Jeffrey A."},{"family":"Meeker","given":"Daniella"},{"family":"Fox","given":"Craig R."},{"family":"Friedberg","given":"Mark W."},{"family":"Persell","given":"Stephen D."},{"family":"Goldstein","given":"Noah J."},{"family":"Doctor","given":"Jason N."}],"issued":{"date-parts":[["2017"]],"season":"10"}}}],"schema":"https://github.com/citation-style-language/schema/raw/master/csl-citation.json"} </w:instrText>
      </w:r>
      <w:r w:rsidR="00AA63DD">
        <w:fldChar w:fldCharType="separate"/>
      </w:r>
      <w:r w:rsidR="00AA63DD" w:rsidRPr="00AA63DD">
        <w:rPr>
          <w:rFonts w:cs="Arial"/>
          <w:szCs w:val="24"/>
          <w:vertAlign w:val="superscript"/>
        </w:rPr>
        <w:t>23,30,31</w:t>
      </w:r>
      <w:r w:rsidR="00AA63DD">
        <w:fldChar w:fldCharType="end"/>
      </w:r>
    </w:p>
    <w:p w14:paraId="3B5445C1" w14:textId="0ADB9160" w:rsidR="006815D6" w:rsidRDefault="00CD0501" w:rsidP="00F54398">
      <w:pPr>
        <w:ind w:firstLine="720"/>
        <w:rPr>
          <w:rFonts w:cs="Arial"/>
          <w:szCs w:val="22"/>
        </w:rPr>
      </w:pPr>
      <w:r w:rsidRPr="00CD0501">
        <w:rPr>
          <w:i/>
        </w:rPr>
        <w:t xml:space="preserve">Rationale for </w:t>
      </w:r>
      <w:r w:rsidR="009C3034">
        <w:rPr>
          <w:i/>
        </w:rPr>
        <w:t>patient nudge</w:t>
      </w:r>
      <w:r w:rsidR="008956E8">
        <w:rPr>
          <w:i/>
        </w:rPr>
        <w:t xml:space="preserve"> using priming</w:t>
      </w:r>
      <w:r w:rsidR="009C3034">
        <w:rPr>
          <w:i/>
        </w:rPr>
        <w:t xml:space="preserve">. </w:t>
      </w:r>
      <w:r w:rsidR="00BC4E88" w:rsidRPr="00DD53A3">
        <w:rPr>
          <w:rFonts w:cs="Arial"/>
          <w:szCs w:val="22"/>
        </w:rPr>
        <w:t xml:space="preserve">Priming is a type of nudge that frames information to activate </w:t>
      </w:r>
      <w:r w:rsidR="00BC4E88">
        <w:rPr>
          <w:rFonts w:cs="Arial"/>
          <w:szCs w:val="22"/>
        </w:rPr>
        <w:t xml:space="preserve">one’s </w:t>
      </w:r>
      <w:r w:rsidR="008956E8">
        <w:rPr>
          <w:rFonts w:cs="Arial"/>
          <w:szCs w:val="22"/>
        </w:rPr>
        <w:t xml:space="preserve">self-efficacy and </w:t>
      </w:r>
      <w:r w:rsidR="00BC4E88">
        <w:rPr>
          <w:rFonts w:cs="Arial"/>
          <w:szCs w:val="22"/>
        </w:rPr>
        <w:t>willingness to engage in</w:t>
      </w:r>
      <w:r w:rsidR="008956E8">
        <w:rPr>
          <w:rFonts w:cs="Arial"/>
          <w:szCs w:val="22"/>
        </w:rPr>
        <w:t xml:space="preserve"> behavior change</w:t>
      </w:r>
      <w:r w:rsidR="00BC4E88">
        <w:rPr>
          <w:i/>
        </w:rPr>
        <w:t>.</w:t>
      </w:r>
      <w:r w:rsidR="00AA63DD">
        <w:rPr>
          <w:i/>
        </w:rPr>
        <w:fldChar w:fldCharType="begin"/>
      </w:r>
      <w:r w:rsidR="00655791">
        <w:rPr>
          <w:i/>
        </w:rPr>
        <w:instrText xml:space="preserve"> ADDIN ZOTERO_ITEM CSL_CITATION {"citationID":"tEC0m60v","properties":{"formattedCitation":"\\super 32\\nosupersub{}","plainCitation":"32","noteIndex":0},"citationItems":[{"id":2410,"uris":["http://zotero.org/groups/2464975/items/R2INWYMA"],"uri":["http://zotero.org/groups/2464975/items/R2INWYMA"],"itemData":{"id":2410,"type":"report","abstract":"Conceptual priming has become an increasingly popular tool in economics. Here, we review the literature that uses priming in incentivized experiments to study economic questions. We mainly focus on the role of social identity, culture, and norms in shaping preferences and behavior. We also discuss recently raised objections to priming research and conclude with promising avenues for future research.","event-place":"Rochester, NY","genre":"SSRN Scholarly Paper","language":"en","note":"DOI: 10.2139/ssrn.2775289","number":"ID 2775289","publisher":"Social Science Research Network","publisher-place":"Rochester, NY","source":"papers.ssrn.com","title":"Priming in Economics","URL":"https://papers.ssrn.com/abstract=2775289","author":[{"family":"Cohn","given":"Alain"},{"family":"Maréchal","given":"Michel André"}],"accessed":{"date-parts":[["2020",12,14]]},"issued":{"date-parts":[["2016",4,1]]}}}],"schema":"https://github.com/citation-style-language/schema/raw/master/csl-citation.json"} </w:instrText>
      </w:r>
      <w:r w:rsidR="00AA63DD">
        <w:rPr>
          <w:i/>
        </w:rPr>
        <w:fldChar w:fldCharType="separate"/>
      </w:r>
      <w:r w:rsidR="00AA63DD" w:rsidRPr="00AA63DD">
        <w:rPr>
          <w:rFonts w:cs="Arial"/>
          <w:szCs w:val="24"/>
          <w:vertAlign w:val="superscript"/>
        </w:rPr>
        <w:t>32</w:t>
      </w:r>
      <w:r w:rsidR="00AA63DD">
        <w:rPr>
          <w:i/>
        </w:rPr>
        <w:fldChar w:fldCharType="end"/>
      </w:r>
      <w:r w:rsidR="00945C79">
        <w:rPr>
          <w:rFonts w:cs="Arial"/>
          <w:szCs w:val="22"/>
          <w:vertAlign w:val="superscript"/>
        </w:rPr>
        <w:t xml:space="preserve"> </w:t>
      </w:r>
      <w:r w:rsidR="00945C79">
        <w:rPr>
          <w:rFonts w:cs="Arial"/>
          <w:szCs w:val="22"/>
        </w:rPr>
        <w:t>This type of nudge has not previously been evaluated as a tool to promote SICs</w:t>
      </w:r>
      <w:r w:rsidR="00AA567E">
        <w:rPr>
          <w:rFonts w:cs="Arial"/>
          <w:szCs w:val="22"/>
        </w:rPr>
        <w:t xml:space="preserve"> for patients with cancer</w:t>
      </w:r>
      <w:r w:rsidR="00945C79">
        <w:rPr>
          <w:rFonts w:cs="Arial"/>
          <w:szCs w:val="22"/>
        </w:rPr>
        <w:t>. W</w:t>
      </w:r>
      <w:r w:rsidR="006815D6" w:rsidRPr="00DD53A3">
        <w:rPr>
          <w:rFonts w:cs="Arial"/>
          <w:szCs w:val="22"/>
        </w:rPr>
        <w:t xml:space="preserve">e will test the added impact of a patient nudge </w:t>
      </w:r>
      <w:r w:rsidR="00945C79">
        <w:rPr>
          <w:rFonts w:cs="Arial"/>
          <w:szCs w:val="22"/>
        </w:rPr>
        <w:t>designed to prime</w:t>
      </w:r>
      <w:r w:rsidR="006815D6" w:rsidRPr="00DD53A3">
        <w:rPr>
          <w:rFonts w:cs="Arial"/>
          <w:szCs w:val="22"/>
        </w:rPr>
        <w:t xml:space="preserve"> patients and, in turn, their clinicians to having a SIC. </w:t>
      </w:r>
    </w:p>
    <w:p w14:paraId="2B04DE39" w14:textId="77777777" w:rsidR="00945C79" w:rsidRDefault="00945C79">
      <w:pPr>
        <w:rPr>
          <w:rFonts w:cs="Arial"/>
          <w:b/>
          <w:szCs w:val="22"/>
        </w:rPr>
      </w:pPr>
    </w:p>
    <w:p w14:paraId="74CDF3C4" w14:textId="77777777" w:rsidR="00AC6402" w:rsidRPr="00F02B62" w:rsidRDefault="00AC6402" w:rsidP="00FF3C92">
      <w:pPr>
        <w:rPr>
          <w:rFonts w:cs="Arial"/>
          <w:b/>
          <w:szCs w:val="22"/>
        </w:rPr>
      </w:pPr>
      <w:r w:rsidRPr="00F02B62">
        <w:rPr>
          <w:rFonts w:cs="Arial"/>
          <w:b/>
          <w:szCs w:val="22"/>
        </w:rPr>
        <w:t>CHARACTERISTICS OF THE STUDY POPULATION</w:t>
      </w:r>
      <w:r w:rsidR="008C0870" w:rsidRPr="00F02B62">
        <w:rPr>
          <w:rFonts w:cs="Arial"/>
          <w:b/>
          <w:szCs w:val="22"/>
        </w:rPr>
        <w:t>:</w:t>
      </w:r>
    </w:p>
    <w:p w14:paraId="1C0D95D9" w14:textId="77777777" w:rsidR="00AC6402" w:rsidRPr="00F02B62" w:rsidRDefault="00796DC9" w:rsidP="00796DC9">
      <w:pPr>
        <w:tabs>
          <w:tab w:val="left" w:pos="2238"/>
        </w:tabs>
        <w:rPr>
          <w:rFonts w:cs="Arial"/>
          <w:b/>
          <w:i/>
          <w:szCs w:val="22"/>
        </w:rPr>
      </w:pPr>
      <w:r w:rsidRPr="00F02B62">
        <w:rPr>
          <w:rFonts w:cs="Arial"/>
          <w:b/>
          <w:i/>
          <w:szCs w:val="22"/>
        </w:rPr>
        <w:tab/>
      </w:r>
    </w:p>
    <w:p w14:paraId="503A722F" w14:textId="77777777" w:rsidR="00AB4A74" w:rsidRDefault="00AC6402" w:rsidP="00B318BF">
      <w:pPr>
        <w:pStyle w:val="ListParagraph"/>
        <w:numPr>
          <w:ilvl w:val="0"/>
          <w:numId w:val="22"/>
        </w:numPr>
        <w:rPr>
          <w:rFonts w:cs="Arial"/>
          <w:b/>
          <w:i/>
          <w:szCs w:val="22"/>
        </w:rPr>
      </w:pPr>
      <w:r w:rsidRPr="001F11CC">
        <w:rPr>
          <w:rFonts w:cs="Arial"/>
          <w:b/>
          <w:i/>
          <w:szCs w:val="22"/>
        </w:rPr>
        <w:t>Target Population</w:t>
      </w:r>
      <w:r w:rsidR="00907CCD">
        <w:rPr>
          <w:rFonts w:cs="Arial"/>
          <w:b/>
          <w:i/>
          <w:szCs w:val="22"/>
        </w:rPr>
        <w:t xml:space="preserve"> and Accrual</w:t>
      </w:r>
      <w:r w:rsidR="008C0870" w:rsidRPr="001F11CC">
        <w:rPr>
          <w:rFonts w:cs="Arial"/>
          <w:b/>
          <w:i/>
          <w:szCs w:val="22"/>
        </w:rPr>
        <w:t>:</w:t>
      </w:r>
    </w:p>
    <w:p w14:paraId="6D3B526F" w14:textId="6DC909C2" w:rsidR="00CD0501" w:rsidRDefault="00AB4A74" w:rsidP="00CD0501">
      <w:pPr>
        <w:pStyle w:val="ListParagraph"/>
        <w:ind w:firstLine="720"/>
        <w:rPr>
          <w:rFonts w:cs="Arial"/>
          <w:szCs w:val="22"/>
        </w:rPr>
      </w:pPr>
      <w:r w:rsidRPr="00AB4A74">
        <w:rPr>
          <w:rFonts w:cs="Arial"/>
          <w:szCs w:val="22"/>
        </w:rPr>
        <w:t>The target population</w:t>
      </w:r>
      <w:r w:rsidR="00EB3755">
        <w:rPr>
          <w:rFonts w:cs="Arial"/>
          <w:szCs w:val="22"/>
        </w:rPr>
        <w:t xml:space="preserve"> includes approximately </w:t>
      </w:r>
      <w:r w:rsidR="007215A2">
        <w:rPr>
          <w:rFonts w:cs="Arial"/>
          <w:szCs w:val="22"/>
        </w:rPr>
        <w:t>5,</w:t>
      </w:r>
      <w:r w:rsidR="004B1F88">
        <w:rPr>
          <w:rFonts w:cs="Arial"/>
          <w:szCs w:val="22"/>
        </w:rPr>
        <w:t>500</w:t>
      </w:r>
      <w:r w:rsidR="00FC1486">
        <w:rPr>
          <w:rFonts w:cs="Arial"/>
          <w:szCs w:val="22"/>
        </w:rPr>
        <w:t xml:space="preserve"> </w:t>
      </w:r>
      <w:r w:rsidR="00EB4A76">
        <w:rPr>
          <w:rFonts w:cs="Arial"/>
          <w:szCs w:val="22"/>
        </w:rPr>
        <w:t xml:space="preserve">high-risk </w:t>
      </w:r>
      <w:r w:rsidR="00EB3755">
        <w:rPr>
          <w:rFonts w:cs="Arial"/>
          <w:szCs w:val="22"/>
        </w:rPr>
        <w:t xml:space="preserve">patients with cancer cared for by approximately </w:t>
      </w:r>
      <w:r w:rsidR="007215A2">
        <w:rPr>
          <w:rFonts w:cs="Arial"/>
          <w:szCs w:val="22"/>
        </w:rPr>
        <w:t>1</w:t>
      </w:r>
      <w:r w:rsidR="004B1F88">
        <w:rPr>
          <w:rFonts w:cs="Arial"/>
          <w:szCs w:val="22"/>
        </w:rPr>
        <w:t>66</w:t>
      </w:r>
      <w:r w:rsidR="007215A2">
        <w:rPr>
          <w:rFonts w:cs="Arial"/>
          <w:szCs w:val="22"/>
        </w:rPr>
        <w:t xml:space="preserve"> </w:t>
      </w:r>
      <w:r w:rsidR="00EB3755">
        <w:rPr>
          <w:rFonts w:cs="Arial"/>
          <w:szCs w:val="22"/>
        </w:rPr>
        <w:t xml:space="preserve">medical and gynecologic oncology clinicians at the following hospital and </w:t>
      </w:r>
      <w:r w:rsidR="00B318BF" w:rsidRPr="00EB3755">
        <w:rPr>
          <w:rFonts w:cs="Arial"/>
          <w:szCs w:val="22"/>
        </w:rPr>
        <w:t>f</w:t>
      </w:r>
      <w:r w:rsidR="00EB3755">
        <w:rPr>
          <w:rFonts w:cs="Arial"/>
          <w:szCs w:val="22"/>
        </w:rPr>
        <w:t>ree-standing community practice</w:t>
      </w:r>
      <w:r w:rsidR="00B318BF" w:rsidRPr="00EB3755">
        <w:rPr>
          <w:rFonts w:cs="Arial"/>
          <w:szCs w:val="22"/>
        </w:rPr>
        <w:t xml:space="preserve"> sites</w:t>
      </w:r>
      <w:r w:rsidR="00941F0A">
        <w:rPr>
          <w:rFonts w:cs="Arial"/>
          <w:szCs w:val="22"/>
        </w:rPr>
        <w:t xml:space="preserve"> of the </w:t>
      </w:r>
      <w:r w:rsidR="00941F0A" w:rsidRPr="00EB3755">
        <w:rPr>
          <w:rFonts w:cs="Arial"/>
          <w:szCs w:val="22"/>
        </w:rPr>
        <w:t>Penn Medicine Abramson Cancer Center (ACC)</w:t>
      </w:r>
      <w:r w:rsidR="008B240B">
        <w:rPr>
          <w:rFonts w:cs="Arial"/>
          <w:szCs w:val="22"/>
        </w:rPr>
        <w:t>, referred to hereafter as the “Implementation Laboratory”</w:t>
      </w:r>
      <w:r w:rsidR="00941F0A">
        <w:rPr>
          <w:rFonts w:cs="Arial"/>
          <w:szCs w:val="22"/>
        </w:rPr>
        <w:t xml:space="preserve">: </w:t>
      </w:r>
      <w:r w:rsidR="00B318BF" w:rsidRPr="00941F0A">
        <w:rPr>
          <w:rFonts w:cs="Arial"/>
          <w:szCs w:val="22"/>
        </w:rPr>
        <w:t xml:space="preserve">Hospital of the University of Pennsylvania (HUP), Pennsylvania Hospital (PAH), Penn Presbyterian Medical Center (PPMC), Chester County Hospital (CCH), Valley Forge Medical Center, Radnor Medical Center, Cherry Hill Medical Center, </w:t>
      </w:r>
      <w:r w:rsidR="00C60CBA" w:rsidRPr="00C60CBA">
        <w:rPr>
          <w:rFonts w:cs="Arial"/>
          <w:szCs w:val="22"/>
        </w:rPr>
        <w:t xml:space="preserve">Voorhees Medical Center, Sewell Medical Center </w:t>
      </w:r>
      <w:r w:rsidR="009E510B">
        <w:rPr>
          <w:rFonts w:cs="Arial"/>
          <w:szCs w:val="22"/>
        </w:rPr>
        <w:t xml:space="preserve">and </w:t>
      </w:r>
      <w:r w:rsidR="00B318BF" w:rsidRPr="00941F0A">
        <w:rPr>
          <w:rFonts w:cs="Arial"/>
          <w:szCs w:val="22"/>
        </w:rPr>
        <w:t xml:space="preserve">Regional </w:t>
      </w:r>
      <w:r w:rsidR="009E510B">
        <w:rPr>
          <w:rFonts w:cs="Arial"/>
          <w:szCs w:val="22"/>
        </w:rPr>
        <w:t>Hematology Oncology Associates</w:t>
      </w:r>
      <w:r w:rsidR="00941F0A">
        <w:rPr>
          <w:rFonts w:cs="Arial"/>
          <w:szCs w:val="22"/>
        </w:rPr>
        <w:t>.</w:t>
      </w:r>
      <w:r w:rsidR="00B318BF" w:rsidRPr="00941F0A">
        <w:rPr>
          <w:rFonts w:cs="Arial"/>
          <w:szCs w:val="22"/>
        </w:rPr>
        <w:t xml:space="preserve"> </w:t>
      </w:r>
      <w:r w:rsidR="00907CCD" w:rsidRPr="00907CCD">
        <w:rPr>
          <w:rFonts w:cs="Arial"/>
          <w:szCs w:val="22"/>
        </w:rPr>
        <w:t>The trial will be conducted pragmatically, and patients will accrue as they are seen in follow-up at a participating practice site by an eligible provider.</w:t>
      </w:r>
    </w:p>
    <w:p w14:paraId="17D6529B" w14:textId="77777777" w:rsidR="00CD0501" w:rsidRDefault="00CD0501" w:rsidP="00CD0501">
      <w:pPr>
        <w:pStyle w:val="ListParagraph"/>
        <w:ind w:firstLine="720"/>
        <w:rPr>
          <w:rFonts w:cs="Arial"/>
          <w:szCs w:val="22"/>
        </w:rPr>
      </w:pPr>
    </w:p>
    <w:p w14:paraId="142BB58A" w14:textId="77777777" w:rsidR="00F46BCF" w:rsidRPr="00CD0501" w:rsidRDefault="00AC6402" w:rsidP="00CD0501">
      <w:pPr>
        <w:pStyle w:val="ListParagraph"/>
        <w:numPr>
          <w:ilvl w:val="0"/>
          <w:numId w:val="22"/>
        </w:numPr>
        <w:rPr>
          <w:rFonts w:cs="Arial"/>
          <w:szCs w:val="22"/>
        </w:rPr>
      </w:pPr>
      <w:r w:rsidRPr="00CD0501">
        <w:rPr>
          <w:rFonts w:cs="Arial"/>
          <w:b/>
          <w:i/>
          <w:szCs w:val="22"/>
        </w:rPr>
        <w:t xml:space="preserve">Key </w:t>
      </w:r>
      <w:r w:rsidR="008F1E83" w:rsidRPr="00CD0501">
        <w:rPr>
          <w:rFonts w:cs="Arial"/>
          <w:b/>
          <w:i/>
          <w:szCs w:val="22"/>
        </w:rPr>
        <w:t xml:space="preserve">Eligibility </w:t>
      </w:r>
      <w:r w:rsidRPr="00CD0501">
        <w:rPr>
          <w:rFonts w:cs="Arial"/>
          <w:b/>
          <w:i/>
          <w:szCs w:val="22"/>
        </w:rPr>
        <w:t>Criteria</w:t>
      </w:r>
      <w:r w:rsidR="008C0870" w:rsidRPr="00CD0501">
        <w:rPr>
          <w:rFonts w:cs="Arial"/>
          <w:b/>
          <w:i/>
          <w:szCs w:val="22"/>
        </w:rPr>
        <w:t>:</w:t>
      </w:r>
    </w:p>
    <w:p w14:paraId="6BE02F92" w14:textId="77777777" w:rsidR="00FA6F2E" w:rsidRPr="00FA6F2E" w:rsidRDefault="00FA6F2E" w:rsidP="007C4355">
      <w:pPr>
        <w:tabs>
          <w:tab w:val="left" w:pos="720"/>
        </w:tabs>
        <w:suppressAutoHyphens/>
        <w:ind w:left="720"/>
        <w:rPr>
          <w:rFonts w:cs="Arial"/>
          <w:i/>
          <w:szCs w:val="22"/>
          <w:u w:val="single"/>
        </w:rPr>
      </w:pPr>
      <w:r w:rsidRPr="00FA6F2E">
        <w:rPr>
          <w:rFonts w:cs="Arial"/>
          <w:i/>
          <w:szCs w:val="22"/>
          <w:u w:val="single"/>
        </w:rPr>
        <w:t>Key inclusion criteria</w:t>
      </w:r>
    </w:p>
    <w:p w14:paraId="128DD5F9" w14:textId="77777777" w:rsidR="00FA6F2E" w:rsidRPr="00FA6F2E" w:rsidRDefault="00FA6F2E" w:rsidP="00EB3755">
      <w:pPr>
        <w:tabs>
          <w:tab w:val="left" w:pos="720"/>
        </w:tabs>
        <w:suppressAutoHyphens/>
        <w:ind w:left="720"/>
        <w:rPr>
          <w:rFonts w:cs="Arial"/>
          <w:szCs w:val="22"/>
        </w:rPr>
      </w:pPr>
      <w:r w:rsidRPr="00FA6F2E">
        <w:rPr>
          <w:rFonts w:cs="Arial"/>
          <w:szCs w:val="22"/>
        </w:rPr>
        <w:t xml:space="preserve">Eligible clinicians (M.D., P.A., or N.P.) must meet the following criteria: </w:t>
      </w:r>
    </w:p>
    <w:p w14:paraId="66567484" w14:textId="484C3A65" w:rsidR="008B240B" w:rsidRDefault="00FA6F2E" w:rsidP="00E34FCC">
      <w:pPr>
        <w:numPr>
          <w:ilvl w:val="0"/>
          <w:numId w:val="18"/>
        </w:numPr>
        <w:tabs>
          <w:tab w:val="left" w:pos="720"/>
        </w:tabs>
        <w:suppressAutoHyphens/>
        <w:ind w:left="1440"/>
        <w:rPr>
          <w:rFonts w:cs="Arial"/>
          <w:szCs w:val="22"/>
        </w:rPr>
      </w:pPr>
      <w:r w:rsidRPr="008B240B">
        <w:rPr>
          <w:rFonts w:cs="Arial"/>
          <w:szCs w:val="22"/>
        </w:rPr>
        <w:t>Provide care at least 1 clinic session per week for adult (age</w:t>
      </w:r>
      <w:r w:rsidR="00304048">
        <w:rPr>
          <w:rFonts w:cs="Arial"/>
          <w:szCs w:val="22"/>
        </w:rPr>
        <w:t xml:space="preserve"> </w:t>
      </w:r>
      <w:r w:rsidRPr="008B240B">
        <w:rPr>
          <w:rFonts w:cs="Arial"/>
          <w:szCs w:val="22"/>
        </w:rPr>
        <w:t xml:space="preserve">&gt;18 years) patients with solid, hematologic, or gynecologic malignancies at a </w:t>
      </w:r>
      <w:r w:rsidR="008B240B" w:rsidRPr="00FA6F2E">
        <w:rPr>
          <w:rFonts w:cs="Arial"/>
          <w:szCs w:val="22"/>
        </w:rPr>
        <w:t xml:space="preserve">participating </w:t>
      </w:r>
      <w:proofErr w:type="spellStart"/>
      <w:r w:rsidR="008B240B" w:rsidRPr="00FA6F2E">
        <w:rPr>
          <w:rFonts w:cs="Arial"/>
          <w:szCs w:val="22"/>
        </w:rPr>
        <w:t>PennMedicine</w:t>
      </w:r>
      <w:proofErr w:type="spellEnd"/>
      <w:r w:rsidR="008B240B" w:rsidRPr="00FA6F2E">
        <w:rPr>
          <w:rFonts w:cs="Arial"/>
          <w:szCs w:val="22"/>
        </w:rPr>
        <w:t xml:space="preserve"> </w:t>
      </w:r>
      <w:r w:rsidR="008B240B">
        <w:rPr>
          <w:rFonts w:cs="Arial"/>
          <w:szCs w:val="22"/>
        </w:rPr>
        <w:t>I</w:t>
      </w:r>
      <w:r w:rsidR="008B240B" w:rsidRPr="00FA6F2E">
        <w:rPr>
          <w:rFonts w:cs="Arial"/>
          <w:szCs w:val="22"/>
        </w:rPr>
        <w:t xml:space="preserve">mplementation </w:t>
      </w:r>
      <w:r w:rsidR="008B240B">
        <w:rPr>
          <w:rFonts w:cs="Arial"/>
          <w:szCs w:val="22"/>
        </w:rPr>
        <w:t>L</w:t>
      </w:r>
      <w:r w:rsidR="008B240B" w:rsidRPr="00FA6F2E">
        <w:rPr>
          <w:rFonts w:cs="Arial"/>
          <w:szCs w:val="22"/>
        </w:rPr>
        <w:t xml:space="preserve">ab </w:t>
      </w:r>
      <w:r w:rsidR="008B240B">
        <w:rPr>
          <w:rFonts w:cs="Arial"/>
          <w:szCs w:val="22"/>
        </w:rPr>
        <w:t>site</w:t>
      </w:r>
    </w:p>
    <w:p w14:paraId="0AB548CA" w14:textId="77777777" w:rsidR="00FA6F2E" w:rsidRPr="00FA6F2E" w:rsidRDefault="00FA6F2E" w:rsidP="00EB3755">
      <w:pPr>
        <w:tabs>
          <w:tab w:val="left" w:pos="720"/>
        </w:tabs>
        <w:suppressAutoHyphens/>
        <w:ind w:left="720"/>
        <w:rPr>
          <w:rFonts w:cs="Arial"/>
          <w:szCs w:val="22"/>
        </w:rPr>
      </w:pPr>
      <w:r w:rsidRPr="00FA6F2E">
        <w:rPr>
          <w:rFonts w:cs="Arial"/>
          <w:szCs w:val="22"/>
        </w:rPr>
        <w:t>Eligible patients must meet the following criteria:</w:t>
      </w:r>
    </w:p>
    <w:p w14:paraId="67B61671" w14:textId="77777777" w:rsidR="00FA6F2E" w:rsidRPr="00FA6F2E" w:rsidRDefault="00FA6F2E" w:rsidP="00EB3755">
      <w:pPr>
        <w:numPr>
          <w:ilvl w:val="0"/>
          <w:numId w:val="17"/>
        </w:numPr>
        <w:tabs>
          <w:tab w:val="left" w:pos="720"/>
        </w:tabs>
        <w:suppressAutoHyphens/>
        <w:ind w:left="1440"/>
        <w:rPr>
          <w:rFonts w:cs="Arial"/>
          <w:szCs w:val="22"/>
        </w:rPr>
      </w:pPr>
      <w:r w:rsidRPr="00FA6F2E">
        <w:rPr>
          <w:rFonts w:cs="Arial"/>
          <w:szCs w:val="22"/>
        </w:rPr>
        <w:t>Receive care</w:t>
      </w:r>
      <w:r w:rsidR="00907CCD">
        <w:rPr>
          <w:rFonts w:cs="Arial"/>
          <w:szCs w:val="22"/>
        </w:rPr>
        <w:t xml:space="preserve"> </w:t>
      </w:r>
      <w:r w:rsidRPr="00FA6F2E">
        <w:rPr>
          <w:rFonts w:cs="Arial"/>
          <w:szCs w:val="22"/>
        </w:rPr>
        <w:t xml:space="preserve">for a solid, hematologic, or gynecologic malignancy from an eligible provider at a participating </w:t>
      </w:r>
      <w:proofErr w:type="spellStart"/>
      <w:r w:rsidRPr="00FA6F2E">
        <w:rPr>
          <w:rFonts w:cs="Arial"/>
          <w:szCs w:val="22"/>
        </w:rPr>
        <w:t>PennMedicine</w:t>
      </w:r>
      <w:proofErr w:type="spellEnd"/>
      <w:r w:rsidRPr="00FA6F2E">
        <w:rPr>
          <w:rFonts w:cs="Arial"/>
          <w:szCs w:val="22"/>
        </w:rPr>
        <w:t xml:space="preserve"> </w:t>
      </w:r>
      <w:r w:rsidR="00941F0A">
        <w:rPr>
          <w:rFonts w:cs="Arial"/>
          <w:szCs w:val="22"/>
        </w:rPr>
        <w:t>I</w:t>
      </w:r>
      <w:r w:rsidRPr="00FA6F2E">
        <w:rPr>
          <w:rFonts w:cs="Arial"/>
          <w:szCs w:val="22"/>
        </w:rPr>
        <w:t xml:space="preserve">mplementation </w:t>
      </w:r>
      <w:r w:rsidR="00941F0A">
        <w:rPr>
          <w:rFonts w:cs="Arial"/>
          <w:szCs w:val="22"/>
        </w:rPr>
        <w:t>L</w:t>
      </w:r>
      <w:r w:rsidRPr="00FA6F2E">
        <w:rPr>
          <w:rFonts w:cs="Arial"/>
          <w:szCs w:val="22"/>
        </w:rPr>
        <w:t>ab site</w:t>
      </w:r>
    </w:p>
    <w:p w14:paraId="4F87DB92" w14:textId="77777777" w:rsidR="007C4355" w:rsidRDefault="007C4355" w:rsidP="007C4355">
      <w:pPr>
        <w:numPr>
          <w:ilvl w:val="0"/>
          <w:numId w:val="17"/>
        </w:numPr>
        <w:tabs>
          <w:tab w:val="left" w:pos="720"/>
        </w:tabs>
        <w:suppressAutoHyphens/>
        <w:ind w:left="1440"/>
        <w:rPr>
          <w:rFonts w:cs="Arial"/>
          <w:szCs w:val="22"/>
        </w:rPr>
      </w:pPr>
      <w:r w:rsidRPr="00FA6F2E">
        <w:rPr>
          <w:rFonts w:cs="Arial"/>
          <w:szCs w:val="22"/>
        </w:rPr>
        <w:t xml:space="preserve">Have at least one scheduled Return Patient Visit (either in person or via telemedicine) with an eligible </w:t>
      </w:r>
      <w:proofErr w:type="spellStart"/>
      <w:r w:rsidRPr="00FA6F2E">
        <w:rPr>
          <w:rFonts w:cs="Arial"/>
          <w:szCs w:val="22"/>
        </w:rPr>
        <w:t>PennMedicine</w:t>
      </w:r>
      <w:proofErr w:type="spellEnd"/>
      <w:r w:rsidRPr="00FA6F2E">
        <w:rPr>
          <w:rFonts w:cs="Arial"/>
          <w:szCs w:val="22"/>
        </w:rPr>
        <w:t xml:space="preserve"> provider during the study period</w:t>
      </w:r>
    </w:p>
    <w:p w14:paraId="29FF46CF" w14:textId="77777777" w:rsidR="00941F0A" w:rsidRDefault="00941F0A" w:rsidP="006E6486">
      <w:pPr>
        <w:tabs>
          <w:tab w:val="left" w:pos="720"/>
        </w:tabs>
        <w:suppressAutoHyphens/>
        <w:rPr>
          <w:rFonts w:cs="Arial"/>
          <w:szCs w:val="22"/>
        </w:rPr>
      </w:pPr>
    </w:p>
    <w:p w14:paraId="414C33B6" w14:textId="77777777" w:rsidR="00941F0A" w:rsidRDefault="00FA6F2E" w:rsidP="00941F0A">
      <w:pPr>
        <w:tabs>
          <w:tab w:val="left" w:pos="720"/>
        </w:tabs>
        <w:suppressAutoHyphens/>
        <w:ind w:left="720"/>
        <w:rPr>
          <w:rFonts w:cs="Arial"/>
          <w:szCs w:val="22"/>
        </w:rPr>
      </w:pPr>
      <w:r w:rsidRPr="00941F0A">
        <w:rPr>
          <w:rFonts w:cs="Arial"/>
          <w:i/>
          <w:szCs w:val="22"/>
          <w:u w:val="single"/>
        </w:rPr>
        <w:t>Key exclusion criteria</w:t>
      </w:r>
    </w:p>
    <w:p w14:paraId="2368B605" w14:textId="77777777" w:rsidR="00FA6F2E" w:rsidRPr="00FA6F2E" w:rsidRDefault="00FA6F2E" w:rsidP="00941F0A">
      <w:pPr>
        <w:tabs>
          <w:tab w:val="left" w:pos="720"/>
        </w:tabs>
        <w:suppressAutoHyphens/>
        <w:ind w:left="720"/>
        <w:rPr>
          <w:rFonts w:cs="Arial"/>
          <w:szCs w:val="22"/>
        </w:rPr>
      </w:pPr>
      <w:r w:rsidRPr="00FA6F2E">
        <w:rPr>
          <w:rFonts w:cs="Arial"/>
          <w:szCs w:val="22"/>
        </w:rPr>
        <w:t>Clinicians will be ineligible for ANY of the following reasons:</w:t>
      </w:r>
    </w:p>
    <w:p w14:paraId="031B9CAF" w14:textId="19D01715" w:rsidR="00FA6F2E" w:rsidRDefault="00907CCD" w:rsidP="00FA6F2E">
      <w:pPr>
        <w:numPr>
          <w:ilvl w:val="0"/>
          <w:numId w:val="13"/>
        </w:numPr>
        <w:tabs>
          <w:tab w:val="left" w:pos="720"/>
        </w:tabs>
        <w:suppressAutoHyphens/>
        <w:rPr>
          <w:rFonts w:cs="Arial"/>
          <w:szCs w:val="22"/>
        </w:rPr>
      </w:pPr>
      <w:r>
        <w:rPr>
          <w:rFonts w:cs="Arial"/>
          <w:szCs w:val="22"/>
        </w:rPr>
        <w:t xml:space="preserve">Provide exclusively </w:t>
      </w:r>
      <w:r w:rsidRPr="00026319">
        <w:rPr>
          <w:rFonts w:cs="Arial"/>
          <w:szCs w:val="22"/>
        </w:rPr>
        <w:t xml:space="preserve">benign </w:t>
      </w:r>
      <w:r w:rsidR="00F959BD" w:rsidRPr="001D1825">
        <w:rPr>
          <w:rFonts w:cs="Arial"/>
          <w:szCs w:val="22"/>
          <w:shd w:val="clear" w:color="auto" w:fill="FFFFFF"/>
        </w:rPr>
        <w:t>hematology, leukemia or bone marrow transplant, survivorship, or genetics care</w:t>
      </w:r>
      <w:r w:rsidR="00F959BD" w:rsidRPr="00026319">
        <w:rPr>
          <w:rFonts w:ascii="Segoe UI" w:hAnsi="Segoe UI" w:cs="Segoe UI"/>
          <w:sz w:val="21"/>
          <w:szCs w:val="21"/>
          <w:shd w:val="clear" w:color="auto" w:fill="FFFFFF"/>
        </w:rPr>
        <w:t> </w:t>
      </w:r>
    </w:p>
    <w:p w14:paraId="7881DF24" w14:textId="77777777" w:rsidR="00FA6F2E" w:rsidRPr="00FA6F2E" w:rsidRDefault="00FA6F2E" w:rsidP="00941F0A">
      <w:pPr>
        <w:tabs>
          <w:tab w:val="left" w:pos="720"/>
        </w:tabs>
        <w:suppressAutoHyphens/>
        <w:ind w:left="720"/>
        <w:rPr>
          <w:rFonts w:cs="Arial"/>
          <w:szCs w:val="22"/>
        </w:rPr>
      </w:pPr>
      <w:r w:rsidRPr="00FA6F2E">
        <w:rPr>
          <w:rFonts w:cs="Arial"/>
          <w:szCs w:val="22"/>
        </w:rPr>
        <w:t xml:space="preserve">Patients will be ineligible for ANY of the following reasons: </w:t>
      </w:r>
    </w:p>
    <w:p w14:paraId="0B1D7264" w14:textId="4005E50B" w:rsidR="00FA6F2E" w:rsidRDefault="00FA6F2E" w:rsidP="00FA6F2E">
      <w:pPr>
        <w:numPr>
          <w:ilvl w:val="0"/>
          <w:numId w:val="16"/>
        </w:numPr>
        <w:tabs>
          <w:tab w:val="left" w:pos="720"/>
        </w:tabs>
        <w:suppressAutoHyphens/>
        <w:rPr>
          <w:rFonts w:cs="Arial"/>
          <w:szCs w:val="22"/>
        </w:rPr>
      </w:pPr>
      <w:r w:rsidRPr="00FA6F2E">
        <w:rPr>
          <w:rFonts w:cs="Arial"/>
          <w:szCs w:val="22"/>
        </w:rPr>
        <w:t>Previously documented SIC</w:t>
      </w:r>
      <w:r w:rsidR="00B11966">
        <w:rPr>
          <w:rFonts w:cs="Arial"/>
          <w:szCs w:val="22"/>
        </w:rPr>
        <w:t xml:space="preserve"> within 6 months</w:t>
      </w:r>
    </w:p>
    <w:p w14:paraId="3D30AA18" w14:textId="669454E4" w:rsidR="00F959BD" w:rsidRPr="00FA6F2E" w:rsidRDefault="00F959BD" w:rsidP="00FA6F2E">
      <w:pPr>
        <w:numPr>
          <w:ilvl w:val="0"/>
          <w:numId w:val="16"/>
        </w:numPr>
        <w:tabs>
          <w:tab w:val="left" w:pos="720"/>
        </w:tabs>
        <w:suppressAutoHyphens/>
        <w:rPr>
          <w:rFonts w:cs="Arial"/>
          <w:szCs w:val="22"/>
        </w:rPr>
      </w:pPr>
      <w:r>
        <w:rPr>
          <w:rFonts w:cs="Arial"/>
          <w:szCs w:val="22"/>
        </w:rPr>
        <w:t>Have a non-valid phone number</w:t>
      </w:r>
    </w:p>
    <w:p w14:paraId="03BA2187" w14:textId="77777777" w:rsidR="00F02B62" w:rsidRPr="00BC1B2A" w:rsidRDefault="00F02B62" w:rsidP="00FF3C92">
      <w:pPr>
        <w:tabs>
          <w:tab w:val="left" w:pos="720"/>
        </w:tabs>
        <w:suppressAutoHyphens/>
        <w:rPr>
          <w:rFonts w:cs="Arial"/>
          <w:szCs w:val="22"/>
        </w:rPr>
      </w:pPr>
    </w:p>
    <w:p w14:paraId="16A4D831" w14:textId="77777777" w:rsidR="00AC6402" w:rsidRPr="00BC1B2A" w:rsidRDefault="00953BE3" w:rsidP="00992FC8">
      <w:pPr>
        <w:ind w:left="360"/>
        <w:rPr>
          <w:rFonts w:cs="Arial"/>
          <w:szCs w:val="22"/>
        </w:rPr>
      </w:pPr>
      <w:r w:rsidRPr="00BC1B2A">
        <w:rPr>
          <w:rFonts w:cs="Arial"/>
          <w:b/>
          <w:i/>
          <w:szCs w:val="22"/>
        </w:rPr>
        <w:t>3</w:t>
      </w:r>
      <w:r w:rsidR="00AC6402" w:rsidRPr="00BC1B2A">
        <w:rPr>
          <w:rFonts w:cs="Arial"/>
          <w:b/>
          <w:i/>
          <w:szCs w:val="22"/>
        </w:rPr>
        <w:t>. Subject Recruitment and Screening</w:t>
      </w:r>
      <w:r w:rsidR="008C0870" w:rsidRPr="00BC1B2A">
        <w:rPr>
          <w:rFonts w:cs="Arial"/>
          <w:b/>
          <w:i/>
          <w:szCs w:val="22"/>
        </w:rPr>
        <w:t>:</w:t>
      </w:r>
    </w:p>
    <w:p w14:paraId="4D06805B" w14:textId="77777777" w:rsidR="001049A9" w:rsidRPr="00B318BF" w:rsidRDefault="007C4355" w:rsidP="00992FC8">
      <w:pPr>
        <w:ind w:left="360" w:firstLine="720"/>
        <w:rPr>
          <w:rFonts w:cs="Arial"/>
          <w:szCs w:val="22"/>
        </w:rPr>
      </w:pPr>
      <w:r>
        <w:rPr>
          <w:rFonts w:cs="Arial"/>
          <w:szCs w:val="22"/>
        </w:rPr>
        <w:t xml:space="preserve">Given the pragmatic nature of this study, assessing the impact of </w:t>
      </w:r>
      <w:r w:rsidR="00604077" w:rsidRPr="00BC1B2A">
        <w:rPr>
          <w:rFonts w:cs="Arial"/>
          <w:szCs w:val="22"/>
        </w:rPr>
        <w:t xml:space="preserve">implementation strategies delivered to clinicians and patients through adjustments to existing </w:t>
      </w:r>
      <w:r>
        <w:rPr>
          <w:rFonts w:cs="Arial"/>
          <w:szCs w:val="22"/>
        </w:rPr>
        <w:t xml:space="preserve">clinical </w:t>
      </w:r>
      <w:r w:rsidR="00604077" w:rsidRPr="00BC1B2A">
        <w:rPr>
          <w:rFonts w:cs="Arial"/>
          <w:szCs w:val="22"/>
        </w:rPr>
        <w:t>workflow</w:t>
      </w:r>
      <w:r>
        <w:rPr>
          <w:rFonts w:cs="Arial"/>
          <w:szCs w:val="22"/>
        </w:rPr>
        <w:t>s</w:t>
      </w:r>
      <w:r w:rsidR="00604077" w:rsidRPr="00BC1B2A">
        <w:rPr>
          <w:rFonts w:cs="Arial"/>
          <w:szCs w:val="22"/>
        </w:rPr>
        <w:t xml:space="preserve"> </w:t>
      </w:r>
      <w:r>
        <w:rPr>
          <w:rFonts w:cs="Arial"/>
          <w:szCs w:val="22"/>
        </w:rPr>
        <w:t>using</w:t>
      </w:r>
      <w:r w:rsidR="00604077" w:rsidRPr="00BC1B2A">
        <w:rPr>
          <w:rFonts w:cs="Arial"/>
          <w:szCs w:val="22"/>
        </w:rPr>
        <w:t xml:space="preserve"> the electronic medical record </w:t>
      </w:r>
      <w:r w:rsidR="003E34E3">
        <w:rPr>
          <w:rFonts w:cs="Arial"/>
          <w:szCs w:val="22"/>
        </w:rPr>
        <w:t>and other existing patient communication tools</w:t>
      </w:r>
      <w:r>
        <w:rPr>
          <w:rFonts w:cs="Arial"/>
          <w:szCs w:val="22"/>
        </w:rPr>
        <w:t>,</w:t>
      </w:r>
      <w:r w:rsidRPr="007C4355">
        <w:rPr>
          <w:rFonts w:cs="Arial"/>
          <w:b/>
          <w:i/>
          <w:szCs w:val="22"/>
        </w:rPr>
        <w:t xml:space="preserve"> we </w:t>
      </w:r>
      <w:r>
        <w:rPr>
          <w:rFonts w:cs="Arial"/>
          <w:b/>
          <w:i/>
          <w:szCs w:val="22"/>
        </w:rPr>
        <w:t xml:space="preserve">are </w:t>
      </w:r>
      <w:r>
        <w:rPr>
          <w:rFonts w:cs="Arial"/>
          <w:b/>
          <w:i/>
          <w:szCs w:val="22"/>
        </w:rPr>
        <w:lastRenderedPageBreak/>
        <w:t xml:space="preserve">requesting a waiver </w:t>
      </w:r>
      <w:r w:rsidR="00604077" w:rsidRPr="00BC1B2A">
        <w:rPr>
          <w:rFonts w:cs="Arial"/>
          <w:b/>
          <w:i/>
          <w:szCs w:val="22"/>
        </w:rPr>
        <w:t>of informed consent</w:t>
      </w:r>
      <w:r>
        <w:rPr>
          <w:rFonts w:cs="Arial"/>
          <w:szCs w:val="22"/>
        </w:rPr>
        <w:t xml:space="preserve">. </w:t>
      </w:r>
      <w:r w:rsidR="00604077" w:rsidRPr="00604077">
        <w:rPr>
          <w:rFonts w:cs="Arial"/>
          <w:szCs w:val="22"/>
        </w:rPr>
        <w:t xml:space="preserve">There are several reasons to justify </w:t>
      </w:r>
      <w:r>
        <w:rPr>
          <w:rFonts w:cs="Arial"/>
          <w:szCs w:val="22"/>
        </w:rPr>
        <w:t xml:space="preserve">this request. </w:t>
      </w:r>
      <w:r w:rsidR="00604077" w:rsidRPr="00604077">
        <w:rPr>
          <w:rFonts w:cs="Arial"/>
          <w:szCs w:val="22"/>
        </w:rPr>
        <w:t xml:space="preserve">First, it is not feasible to consent every patient and </w:t>
      </w:r>
      <w:r w:rsidR="00B963CB">
        <w:rPr>
          <w:rFonts w:cs="Arial"/>
          <w:szCs w:val="22"/>
        </w:rPr>
        <w:t>clinician</w:t>
      </w:r>
      <w:r w:rsidR="001049A9">
        <w:rPr>
          <w:rFonts w:cs="Arial"/>
          <w:szCs w:val="22"/>
        </w:rPr>
        <w:t xml:space="preserve"> randomized to nudges</w:t>
      </w:r>
      <w:r w:rsidR="00604077" w:rsidRPr="00604077">
        <w:rPr>
          <w:rFonts w:cs="Arial"/>
          <w:szCs w:val="22"/>
        </w:rPr>
        <w:t xml:space="preserve">. Second, if members of the control group were consented, they would know they were being studied and this could </w:t>
      </w:r>
      <w:r w:rsidR="00B963CB">
        <w:rPr>
          <w:rFonts w:cs="Arial"/>
          <w:szCs w:val="22"/>
        </w:rPr>
        <w:t>affect</w:t>
      </w:r>
      <w:r w:rsidR="00604077" w:rsidRPr="00604077">
        <w:rPr>
          <w:rFonts w:cs="Arial"/>
          <w:szCs w:val="22"/>
        </w:rPr>
        <w:t xml:space="preserve"> their behavior</w:t>
      </w:r>
      <w:r w:rsidR="00B963CB">
        <w:rPr>
          <w:rFonts w:cs="Arial"/>
          <w:szCs w:val="22"/>
        </w:rPr>
        <w:t xml:space="preserve">, thereby complicating the study design and interpretation of its findings. Third, none of the nudges being tested </w:t>
      </w:r>
      <w:r w:rsidR="00AE60A3">
        <w:rPr>
          <w:rFonts w:cs="Arial"/>
          <w:szCs w:val="22"/>
        </w:rPr>
        <w:t xml:space="preserve">forces behavior change. </w:t>
      </w:r>
      <w:r w:rsidR="00992FC8">
        <w:rPr>
          <w:rFonts w:cs="Arial"/>
          <w:szCs w:val="22"/>
        </w:rPr>
        <w:t>C</w:t>
      </w:r>
      <w:r w:rsidR="001049A9">
        <w:rPr>
          <w:rFonts w:cs="Arial"/>
          <w:szCs w:val="22"/>
        </w:rPr>
        <w:t>linicians</w:t>
      </w:r>
      <w:r w:rsidR="00B963CB">
        <w:rPr>
          <w:rFonts w:cs="Arial"/>
          <w:szCs w:val="22"/>
        </w:rPr>
        <w:t xml:space="preserve"> </w:t>
      </w:r>
      <w:r w:rsidR="00AE60A3">
        <w:rPr>
          <w:rFonts w:cs="Arial"/>
          <w:szCs w:val="22"/>
        </w:rPr>
        <w:t xml:space="preserve">randomized to receive a nudge </w:t>
      </w:r>
      <w:r w:rsidR="00B963CB">
        <w:rPr>
          <w:rFonts w:cs="Arial"/>
          <w:szCs w:val="22"/>
        </w:rPr>
        <w:t>are made aware of the</w:t>
      </w:r>
      <w:r w:rsidR="00AE60A3">
        <w:rPr>
          <w:rFonts w:cs="Arial"/>
          <w:szCs w:val="22"/>
        </w:rPr>
        <w:t xml:space="preserve">ir high-risk patients and </w:t>
      </w:r>
      <w:r w:rsidR="00B963CB" w:rsidRPr="001049A9">
        <w:rPr>
          <w:rFonts w:cs="Arial"/>
          <w:szCs w:val="22"/>
        </w:rPr>
        <w:t>the</w:t>
      </w:r>
      <w:r w:rsidR="00B616CB">
        <w:rPr>
          <w:rFonts w:cs="Arial"/>
          <w:szCs w:val="22"/>
        </w:rPr>
        <w:t>ir performance compared to peers</w:t>
      </w:r>
      <w:r w:rsidR="00494FE6">
        <w:rPr>
          <w:rFonts w:cs="Arial"/>
          <w:szCs w:val="22"/>
        </w:rPr>
        <w:t>. Patients randomized to receive a nudge wil</w:t>
      </w:r>
      <w:r w:rsidR="00B616CB">
        <w:rPr>
          <w:rFonts w:cs="Arial"/>
          <w:szCs w:val="22"/>
        </w:rPr>
        <w:t xml:space="preserve">l have the option to complete an electronic </w:t>
      </w:r>
      <w:r w:rsidR="00494FE6">
        <w:rPr>
          <w:rFonts w:cs="Arial"/>
          <w:szCs w:val="22"/>
        </w:rPr>
        <w:t>questionn</w:t>
      </w:r>
      <w:r w:rsidR="00992FC8">
        <w:rPr>
          <w:rFonts w:cs="Arial"/>
          <w:szCs w:val="22"/>
        </w:rPr>
        <w:t xml:space="preserve">aire that may prime them for a SIC. </w:t>
      </w:r>
      <w:r w:rsidR="00B616CB">
        <w:rPr>
          <w:rFonts w:cs="Arial"/>
          <w:szCs w:val="22"/>
        </w:rPr>
        <w:t>Neither</w:t>
      </w:r>
      <w:r w:rsidR="00992FC8">
        <w:rPr>
          <w:rFonts w:cs="Arial"/>
          <w:szCs w:val="22"/>
        </w:rPr>
        <w:t xml:space="preserve"> clinicians </w:t>
      </w:r>
      <w:r w:rsidR="00B616CB">
        <w:rPr>
          <w:rFonts w:cs="Arial"/>
          <w:szCs w:val="22"/>
        </w:rPr>
        <w:t>n</w:t>
      </w:r>
      <w:r w:rsidR="00992FC8">
        <w:rPr>
          <w:rFonts w:cs="Arial"/>
          <w:szCs w:val="22"/>
        </w:rPr>
        <w:t xml:space="preserve">or patients </w:t>
      </w:r>
      <w:r w:rsidR="00B616CB">
        <w:rPr>
          <w:rFonts w:cs="Arial"/>
          <w:szCs w:val="22"/>
        </w:rPr>
        <w:t xml:space="preserve">will </w:t>
      </w:r>
      <w:r w:rsidR="00992FC8">
        <w:rPr>
          <w:rFonts w:cs="Arial"/>
          <w:szCs w:val="22"/>
        </w:rPr>
        <w:t>be coerced or forced to engage in SICs; rather</w:t>
      </w:r>
      <w:r w:rsidR="00B616CB">
        <w:rPr>
          <w:rFonts w:cs="Arial"/>
          <w:szCs w:val="22"/>
        </w:rPr>
        <w:t>,</w:t>
      </w:r>
      <w:r w:rsidR="00992FC8" w:rsidRPr="00992FC8">
        <w:rPr>
          <w:rFonts w:cs="Arial"/>
          <w:szCs w:val="22"/>
        </w:rPr>
        <w:t xml:space="preserve"> </w:t>
      </w:r>
      <w:r w:rsidR="00992FC8">
        <w:rPr>
          <w:rFonts w:cs="Arial"/>
          <w:szCs w:val="22"/>
        </w:rPr>
        <w:t xml:space="preserve">the goal of nudges is to make standard evidence-based practices easier to conduct. </w:t>
      </w:r>
      <w:r w:rsidR="00494FE6" w:rsidRPr="001049A9">
        <w:rPr>
          <w:rFonts w:cs="Arial"/>
          <w:szCs w:val="22"/>
        </w:rPr>
        <w:t xml:space="preserve">Finally, as part of a previous quality improvement initiative, we interviewed 40 patients after </w:t>
      </w:r>
      <w:r w:rsidR="003F5DAB">
        <w:rPr>
          <w:rFonts w:cs="Arial"/>
          <w:szCs w:val="22"/>
        </w:rPr>
        <w:t xml:space="preserve">SICs </w:t>
      </w:r>
      <w:r w:rsidR="00494FE6" w:rsidRPr="001049A9">
        <w:rPr>
          <w:rFonts w:cs="Arial"/>
          <w:szCs w:val="22"/>
        </w:rPr>
        <w:t>with their oncologist. We found no evidence of harm and found that serious illness conversations were considered</w:t>
      </w:r>
      <w:r w:rsidR="00992FC8">
        <w:rPr>
          <w:rFonts w:cs="Arial"/>
          <w:szCs w:val="22"/>
        </w:rPr>
        <w:t xml:space="preserve"> by patients to be</w:t>
      </w:r>
      <w:r w:rsidR="00494FE6" w:rsidRPr="001049A9">
        <w:rPr>
          <w:rFonts w:cs="Arial"/>
          <w:szCs w:val="22"/>
        </w:rPr>
        <w:t xml:space="preserve"> standard of care for patients with cancer.</w:t>
      </w:r>
      <w:r w:rsidR="001049A9">
        <w:rPr>
          <w:rFonts w:cs="Arial"/>
          <w:szCs w:val="22"/>
        </w:rPr>
        <w:t xml:space="preserve"> </w:t>
      </w:r>
    </w:p>
    <w:p w14:paraId="0D76F183" w14:textId="77777777" w:rsidR="00604077" w:rsidRPr="00B318BF" w:rsidRDefault="00604077" w:rsidP="00992FC8">
      <w:pPr>
        <w:ind w:left="360"/>
        <w:rPr>
          <w:rFonts w:cs="Arial"/>
          <w:szCs w:val="22"/>
        </w:rPr>
      </w:pPr>
    </w:p>
    <w:p w14:paraId="271BE8E3" w14:textId="77777777" w:rsidR="00AC6402" w:rsidRPr="00B318BF" w:rsidRDefault="00953BE3" w:rsidP="00992FC8">
      <w:pPr>
        <w:pStyle w:val="Heading2"/>
        <w:numPr>
          <w:ilvl w:val="0"/>
          <w:numId w:val="0"/>
        </w:numPr>
        <w:ind w:left="360"/>
        <w:rPr>
          <w:rFonts w:cs="Arial"/>
          <w:i/>
          <w:sz w:val="22"/>
          <w:szCs w:val="22"/>
        </w:rPr>
      </w:pPr>
      <w:r w:rsidRPr="00B318BF">
        <w:rPr>
          <w:rFonts w:cs="Arial"/>
          <w:i/>
          <w:sz w:val="22"/>
          <w:szCs w:val="22"/>
        </w:rPr>
        <w:t>4</w:t>
      </w:r>
      <w:r w:rsidR="00AC6402" w:rsidRPr="00B318BF">
        <w:rPr>
          <w:rFonts w:cs="Arial"/>
          <w:i/>
          <w:sz w:val="22"/>
          <w:szCs w:val="22"/>
        </w:rPr>
        <w:t>. Early Withdrawal of Subjects</w:t>
      </w:r>
      <w:r w:rsidR="008C0870" w:rsidRPr="00B318BF">
        <w:rPr>
          <w:rFonts w:cs="Arial"/>
          <w:i/>
          <w:sz w:val="22"/>
          <w:szCs w:val="22"/>
        </w:rPr>
        <w:t>:</w:t>
      </w:r>
    </w:p>
    <w:p w14:paraId="74C20C13" w14:textId="77777777" w:rsidR="00953BE3" w:rsidRPr="00B318BF" w:rsidRDefault="00CC2A61" w:rsidP="00992FC8">
      <w:pPr>
        <w:ind w:left="360"/>
        <w:rPr>
          <w:rFonts w:cs="Arial"/>
          <w:szCs w:val="22"/>
        </w:rPr>
      </w:pPr>
      <w:r w:rsidRPr="00B318BF">
        <w:rPr>
          <w:rFonts w:cs="Arial"/>
          <w:szCs w:val="22"/>
        </w:rPr>
        <w:t xml:space="preserve">We are requesting </w:t>
      </w:r>
      <w:r w:rsidR="00992FC8">
        <w:rPr>
          <w:rFonts w:cs="Arial"/>
          <w:szCs w:val="22"/>
        </w:rPr>
        <w:t xml:space="preserve">a </w:t>
      </w:r>
      <w:r w:rsidRPr="00B318BF">
        <w:rPr>
          <w:rFonts w:cs="Arial"/>
          <w:szCs w:val="22"/>
        </w:rPr>
        <w:t xml:space="preserve">waiver of informed consent, so the option to withdraw </w:t>
      </w:r>
      <w:r w:rsidR="006E6486" w:rsidRPr="00B318BF">
        <w:rPr>
          <w:rFonts w:cs="Arial"/>
          <w:szCs w:val="22"/>
        </w:rPr>
        <w:t xml:space="preserve">early </w:t>
      </w:r>
      <w:r w:rsidRPr="00B318BF">
        <w:rPr>
          <w:rFonts w:cs="Arial"/>
          <w:szCs w:val="22"/>
        </w:rPr>
        <w:t xml:space="preserve">from this study is not applicable. </w:t>
      </w:r>
    </w:p>
    <w:p w14:paraId="53563D45" w14:textId="77777777" w:rsidR="00953BE3" w:rsidRPr="00B318BF" w:rsidRDefault="00953BE3" w:rsidP="00992FC8">
      <w:pPr>
        <w:ind w:left="360"/>
        <w:rPr>
          <w:rFonts w:cs="Arial"/>
          <w:szCs w:val="22"/>
        </w:rPr>
      </w:pPr>
    </w:p>
    <w:p w14:paraId="2E797063" w14:textId="77777777" w:rsidR="008C0870" w:rsidRPr="00B318BF" w:rsidRDefault="00953BE3" w:rsidP="00992FC8">
      <w:pPr>
        <w:ind w:left="360"/>
        <w:rPr>
          <w:rFonts w:cs="Arial"/>
          <w:i/>
          <w:szCs w:val="22"/>
        </w:rPr>
      </w:pPr>
      <w:r w:rsidRPr="00B318BF">
        <w:rPr>
          <w:rFonts w:cs="Arial"/>
          <w:b/>
          <w:i/>
          <w:szCs w:val="22"/>
        </w:rPr>
        <w:t>5</w:t>
      </w:r>
      <w:r w:rsidR="00AC6402" w:rsidRPr="00B318BF">
        <w:rPr>
          <w:rFonts w:cs="Arial"/>
          <w:b/>
          <w:i/>
          <w:szCs w:val="22"/>
        </w:rPr>
        <w:t>. Vulnerable Populations</w:t>
      </w:r>
      <w:r w:rsidR="008C0870" w:rsidRPr="00B318BF">
        <w:rPr>
          <w:rFonts w:cs="Arial"/>
          <w:b/>
          <w:i/>
          <w:szCs w:val="22"/>
        </w:rPr>
        <w:t>:</w:t>
      </w:r>
      <w:r w:rsidR="00AC6402" w:rsidRPr="00B318BF">
        <w:rPr>
          <w:rFonts w:cs="Arial"/>
          <w:i/>
          <w:szCs w:val="22"/>
        </w:rPr>
        <w:t xml:space="preserve"> </w:t>
      </w:r>
    </w:p>
    <w:p w14:paraId="03D94429" w14:textId="463A237F" w:rsidR="00953BE3" w:rsidRPr="00B318BF" w:rsidRDefault="00237B98" w:rsidP="00992FC8">
      <w:pPr>
        <w:ind w:left="360"/>
        <w:rPr>
          <w:rFonts w:cs="Arial"/>
          <w:szCs w:val="22"/>
        </w:rPr>
      </w:pPr>
      <w:r w:rsidRPr="00237B98">
        <w:rPr>
          <w:rFonts w:cs="Arial"/>
          <w:szCs w:val="22"/>
        </w:rPr>
        <w:t xml:space="preserve">Children, pregnant women, fetuses, neonates, or prisoners are not </w:t>
      </w:r>
      <w:r w:rsidR="00EE541F">
        <w:rPr>
          <w:rFonts w:cs="Arial"/>
          <w:szCs w:val="22"/>
        </w:rPr>
        <w:t>being targeted</w:t>
      </w:r>
      <w:r w:rsidRPr="00237B98">
        <w:rPr>
          <w:rFonts w:cs="Arial"/>
          <w:szCs w:val="22"/>
        </w:rPr>
        <w:t xml:space="preserve"> in this research study</w:t>
      </w:r>
      <w:r>
        <w:rPr>
          <w:rFonts w:cs="Arial"/>
          <w:szCs w:val="22"/>
        </w:rPr>
        <w:t>.</w:t>
      </w:r>
    </w:p>
    <w:p w14:paraId="4118833B" w14:textId="77777777" w:rsidR="00AC6402" w:rsidRPr="00B318BF" w:rsidRDefault="00AC6402" w:rsidP="00992FC8">
      <w:pPr>
        <w:pStyle w:val="Header"/>
        <w:tabs>
          <w:tab w:val="clear" w:pos="4320"/>
          <w:tab w:val="clear" w:pos="8640"/>
        </w:tabs>
        <w:ind w:left="360"/>
        <w:rPr>
          <w:rFonts w:cs="Arial"/>
          <w:szCs w:val="22"/>
        </w:rPr>
      </w:pPr>
    </w:p>
    <w:p w14:paraId="646F39F6" w14:textId="77777777" w:rsidR="00AC6402" w:rsidRPr="00B318BF" w:rsidRDefault="00953BE3" w:rsidP="00992FC8">
      <w:pPr>
        <w:ind w:left="360"/>
        <w:rPr>
          <w:rFonts w:cs="Arial"/>
          <w:b/>
          <w:i/>
          <w:szCs w:val="22"/>
        </w:rPr>
      </w:pPr>
      <w:r w:rsidRPr="00B318BF">
        <w:rPr>
          <w:rFonts w:cs="Arial"/>
          <w:b/>
          <w:i/>
          <w:szCs w:val="22"/>
        </w:rPr>
        <w:t>6</w:t>
      </w:r>
      <w:r w:rsidR="00AC6402" w:rsidRPr="00B318BF">
        <w:rPr>
          <w:rFonts w:cs="Arial"/>
          <w:b/>
          <w:i/>
          <w:szCs w:val="22"/>
        </w:rPr>
        <w:t>. Populations vulnerable to undue influence or coercion</w:t>
      </w:r>
      <w:r w:rsidR="008C0870" w:rsidRPr="00B318BF">
        <w:rPr>
          <w:rFonts w:cs="Arial"/>
          <w:b/>
          <w:i/>
          <w:szCs w:val="22"/>
        </w:rPr>
        <w:t>:</w:t>
      </w:r>
    </w:p>
    <w:p w14:paraId="1A0F6FCE" w14:textId="77777777" w:rsidR="00F0393B" w:rsidRPr="00B318BF" w:rsidRDefault="00953BE3" w:rsidP="00992FC8">
      <w:pPr>
        <w:autoSpaceDE w:val="0"/>
        <w:autoSpaceDN w:val="0"/>
        <w:adjustRightInd w:val="0"/>
        <w:ind w:left="360"/>
        <w:rPr>
          <w:rFonts w:cs="Arial"/>
          <w:szCs w:val="22"/>
        </w:rPr>
      </w:pPr>
      <w:r w:rsidRPr="00B318BF">
        <w:rPr>
          <w:rFonts w:cs="Arial"/>
          <w:szCs w:val="22"/>
        </w:rPr>
        <w:t xml:space="preserve">We will not be targeting </w:t>
      </w:r>
      <w:r w:rsidR="00F0393B" w:rsidRPr="00B318BF">
        <w:rPr>
          <w:rFonts w:cs="Arial"/>
          <w:szCs w:val="22"/>
        </w:rPr>
        <w:t xml:space="preserve">participants </w:t>
      </w:r>
      <w:r w:rsidRPr="00B318BF">
        <w:rPr>
          <w:rFonts w:cs="Arial"/>
          <w:szCs w:val="22"/>
        </w:rPr>
        <w:t xml:space="preserve">who are </w:t>
      </w:r>
      <w:r w:rsidR="00F0393B" w:rsidRPr="00B318BF">
        <w:rPr>
          <w:rFonts w:cs="Arial"/>
          <w:szCs w:val="22"/>
        </w:rPr>
        <w:t xml:space="preserve">likely to be vulnerable to </w:t>
      </w:r>
      <w:r w:rsidRPr="00B318BF">
        <w:rPr>
          <w:rFonts w:cs="Arial"/>
          <w:szCs w:val="22"/>
        </w:rPr>
        <w:t xml:space="preserve">undue influence or </w:t>
      </w:r>
      <w:r w:rsidR="00F0393B" w:rsidRPr="00B318BF">
        <w:rPr>
          <w:rFonts w:cs="Arial"/>
          <w:szCs w:val="22"/>
        </w:rPr>
        <w:t>coercion</w:t>
      </w:r>
      <w:r w:rsidR="00F0393B" w:rsidRPr="00B318BF">
        <w:rPr>
          <w:rFonts w:cs="Arial"/>
          <w:bCs/>
          <w:szCs w:val="22"/>
        </w:rPr>
        <w:t>.</w:t>
      </w:r>
    </w:p>
    <w:p w14:paraId="5D40F8B7" w14:textId="77777777" w:rsidR="00F0393B" w:rsidRPr="00B318BF" w:rsidRDefault="00F0393B" w:rsidP="00FF3C92">
      <w:pPr>
        <w:rPr>
          <w:rFonts w:cs="Arial"/>
          <w:i/>
          <w:szCs w:val="22"/>
        </w:rPr>
      </w:pPr>
    </w:p>
    <w:p w14:paraId="20927E3E" w14:textId="53854343" w:rsidR="003B4302" w:rsidRPr="00B318BF" w:rsidRDefault="003B4302" w:rsidP="00FF3C92">
      <w:pPr>
        <w:rPr>
          <w:rFonts w:cs="Arial"/>
          <w:b/>
          <w:szCs w:val="22"/>
        </w:rPr>
      </w:pPr>
      <w:r w:rsidRPr="00747050">
        <w:rPr>
          <w:rFonts w:cs="Arial"/>
          <w:b/>
          <w:szCs w:val="22"/>
        </w:rPr>
        <w:t>STUDY DESIGN</w:t>
      </w:r>
      <w:r w:rsidR="0068628F" w:rsidRPr="00747050">
        <w:rPr>
          <w:rFonts w:cs="Arial"/>
          <w:b/>
          <w:szCs w:val="22"/>
        </w:rPr>
        <w:t>:</w:t>
      </w:r>
    </w:p>
    <w:p w14:paraId="2F01CA5F" w14:textId="77777777" w:rsidR="00AB2950" w:rsidRDefault="00AB2950" w:rsidP="00FF3C92">
      <w:pPr>
        <w:rPr>
          <w:rFonts w:cs="Arial"/>
          <w:szCs w:val="22"/>
          <w:u w:val="single"/>
        </w:rPr>
      </w:pPr>
    </w:p>
    <w:p w14:paraId="72BD5AAD" w14:textId="77777777" w:rsidR="00AB2950" w:rsidRPr="00AB2950" w:rsidRDefault="00AB2950" w:rsidP="00AB2950">
      <w:pPr>
        <w:pStyle w:val="ListParagraph"/>
        <w:numPr>
          <w:ilvl w:val="0"/>
          <w:numId w:val="24"/>
        </w:numPr>
        <w:rPr>
          <w:rFonts w:cs="Arial"/>
          <w:b/>
          <w:i/>
          <w:szCs w:val="22"/>
        </w:rPr>
      </w:pPr>
      <w:r w:rsidRPr="00AB2950">
        <w:rPr>
          <w:rFonts w:cs="Arial"/>
          <w:b/>
          <w:i/>
          <w:szCs w:val="22"/>
        </w:rPr>
        <w:t>Study design:</w:t>
      </w:r>
    </w:p>
    <w:p w14:paraId="76A3FC93" w14:textId="47257ABF" w:rsidR="0028423A" w:rsidRDefault="00C057DB" w:rsidP="00D40FD8">
      <w:pPr>
        <w:ind w:left="360"/>
        <w:rPr>
          <w:rFonts w:cs="Arial"/>
          <w:szCs w:val="22"/>
        </w:rPr>
      </w:pPr>
      <w:r>
        <w:rPr>
          <w:rFonts w:cs="Arial"/>
          <w:szCs w:val="22"/>
        </w:rPr>
        <w:t>We will conduct a pragmatic four-arm randomized</w:t>
      </w:r>
      <w:r w:rsidR="00B616CB">
        <w:rPr>
          <w:rFonts w:cs="Arial"/>
          <w:szCs w:val="22"/>
        </w:rPr>
        <w:t xml:space="preserve"> controlled</w:t>
      </w:r>
      <w:r>
        <w:rPr>
          <w:rFonts w:cs="Arial"/>
          <w:szCs w:val="22"/>
        </w:rPr>
        <w:t xml:space="preserve"> trial to test the effectiveness of nudges to clinicians, nudges to patients, </w:t>
      </w:r>
      <w:r w:rsidR="008B6C0A">
        <w:rPr>
          <w:rFonts w:cs="Arial"/>
          <w:szCs w:val="22"/>
        </w:rPr>
        <w:t xml:space="preserve">or </w:t>
      </w:r>
      <w:r>
        <w:rPr>
          <w:rFonts w:cs="Arial"/>
          <w:szCs w:val="22"/>
        </w:rPr>
        <w:t>n</w:t>
      </w:r>
      <w:r w:rsidR="00B616CB">
        <w:rPr>
          <w:rFonts w:cs="Arial"/>
          <w:szCs w:val="22"/>
        </w:rPr>
        <w:t>udges to both in promoting SIC documentation</w:t>
      </w:r>
      <w:r w:rsidR="00EC60B8">
        <w:rPr>
          <w:rFonts w:cs="Arial"/>
          <w:szCs w:val="22"/>
        </w:rPr>
        <w:t xml:space="preserve">, compared to usual practice. We will independently randomize eligible clinicians and patients using a 2x2 factorial design. Clinicians will be randomized to receive </w:t>
      </w:r>
      <w:r w:rsidR="00C81C5F">
        <w:rPr>
          <w:rFonts w:cs="Arial"/>
          <w:szCs w:val="22"/>
        </w:rPr>
        <w:t>a</w:t>
      </w:r>
      <w:r w:rsidR="00481566">
        <w:rPr>
          <w:rFonts w:cs="Arial"/>
          <w:szCs w:val="22"/>
        </w:rPr>
        <w:t xml:space="preserve"> </w:t>
      </w:r>
      <w:r w:rsidR="00EC60B8">
        <w:rPr>
          <w:rFonts w:cs="Arial"/>
          <w:szCs w:val="22"/>
        </w:rPr>
        <w:t>nudge consisting of</w:t>
      </w:r>
      <w:r w:rsidR="008B6C0A">
        <w:rPr>
          <w:rFonts w:cs="Arial"/>
          <w:szCs w:val="22"/>
        </w:rPr>
        <w:t xml:space="preserve"> </w:t>
      </w:r>
      <w:r w:rsidR="00EC60B8" w:rsidRPr="00DD53A3">
        <w:rPr>
          <w:rFonts w:cs="Arial"/>
          <w:szCs w:val="22"/>
        </w:rPr>
        <w:t>targeted text messages identifying patients at high risk of</w:t>
      </w:r>
      <w:r w:rsidR="003F5DAB">
        <w:rPr>
          <w:rFonts w:cs="Arial"/>
          <w:szCs w:val="22"/>
        </w:rPr>
        <w:t xml:space="preserve"> predicted</w:t>
      </w:r>
      <w:r w:rsidR="00EC60B8" w:rsidRPr="00DD53A3">
        <w:rPr>
          <w:rFonts w:cs="Arial"/>
          <w:szCs w:val="22"/>
        </w:rPr>
        <w:t xml:space="preserve"> </w:t>
      </w:r>
      <w:r w:rsidR="00481566">
        <w:rPr>
          <w:rFonts w:cs="Arial"/>
          <w:szCs w:val="22"/>
        </w:rPr>
        <w:t xml:space="preserve">6-month </w:t>
      </w:r>
      <w:r w:rsidR="00EC60B8" w:rsidRPr="00DD53A3">
        <w:rPr>
          <w:rFonts w:cs="Arial"/>
          <w:szCs w:val="22"/>
        </w:rPr>
        <w:t>mortality based on a validated machine learning prognostic algorithm</w:t>
      </w:r>
      <w:r w:rsidR="00EC60B8">
        <w:rPr>
          <w:rFonts w:cs="Arial"/>
          <w:szCs w:val="22"/>
        </w:rPr>
        <w:t xml:space="preserve"> and performance</w:t>
      </w:r>
      <w:r w:rsidR="00481566">
        <w:rPr>
          <w:rFonts w:cs="Arial"/>
          <w:szCs w:val="22"/>
        </w:rPr>
        <w:t xml:space="preserve"> feedback</w:t>
      </w:r>
      <w:r w:rsidR="00EC60B8">
        <w:rPr>
          <w:rFonts w:cs="Arial"/>
          <w:szCs w:val="22"/>
        </w:rPr>
        <w:t xml:space="preserve"> compared to peers (“</w:t>
      </w:r>
      <w:r w:rsidR="009C3034">
        <w:rPr>
          <w:rFonts w:cs="Arial"/>
          <w:szCs w:val="22"/>
        </w:rPr>
        <w:t xml:space="preserve">clinician </w:t>
      </w:r>
      <w:r w:rsidR="00EC60B8">
        <w:rPr>
          <w:rFonts w:cs="Arial"/>
          <w:szCs w:val="22"/>
        </w:rPr>
        <w:t>peer comparison”), versus usual practice. Patients will be randomized to receive a n</w:t>
      </w:r>
      <w:r w:rsidR="00481566">
        <w:rPr>
          <w:rFonts w:cs="Arial"/>
          <w:szCs w:val="22"/>
        </w:rPr>
        <w:t xml:space="preserve">udge consisting of a normalizing message prompting patients to complete an electronic questionnaire designed to prime patients </w:t>
      </w:r>
      <w:r w:rsidR="00481566" w:rsidRPr="00481566">
        <w:rPr>
          <w:rFonts w:cs="Arial"/>
          <w:szCs w:val="22"/>
        </w:rPr>
        <w:t>towards having an SIC</w:t>
      </w:r>
      <w:r w:rsidR="00481566">
        <w:rPr>
          <w:rFonts w:cs="Arial"/>
          <w:szCs w:val="22"/>
        </w:rPr>
        <w:t xml:space="preserve"> (“patient priming”), versus usual </w:t>
      </w:r>
      <w:r w:rsidR="00C81C5F">
        <w:rPr>
          <w:rFonts w:cs="Arial"/>
          <w:szCs w:val="22"/>
        </w:rPr>
        <w:t>practice</w:t>
      </w:r>
      <w:r w:rsidR="00481566" w:rsidRPr="00481566">
        <w:rPr>
          <w:rFonts w:cs="Arial"/>
          <w:szCs w:val="22"/>
        </w:rPr>
        <w:t xml:space="preserve">. </w:t>
      </w:r>
      <w:r w:rsidR="00EC60B8">
        <w:rPr>
          <w:rFonts w:cs="Arial"/>
          <w:szCs w:val="22"/>
        </w:rPr>
        <w:t>This design will thus lead to four independent study groups: (1)</w:t>
      </w:r>
      <w:r w:rsidR="00C81C5F">
        <w:rPr>
          <w:rFonts w:cs="Arial"/>
          <w:szCs w:val="22"/>
        </w:rPr>
        <w:t xml:space="preserve"> nudge to both clinici</w:t>
      </w:r>
      <w:r w:rsidR="00F46BCF">
        <w:rPr>
          <w:rFonts w:cs="Arial"/>
          <w:szCs w:val="22"/>
        </w:rPr>
        <w:t>an and patient, (2) nudge</w:t>
      </w:r>
      <w:r w:rsidR="00C81C5F">
        <w:rPr>
          <w:rFonts w:cs="Arial"/>
          <w:szCs w:val="22"/>
        </w:rPr>
        <w:t xml:space="preserve"> </w:t>
      </w:r>
      <w:r w:rsidR="00F46BCF">
        <w:rPr>
          <w:rFonts w:cs="Arial"/>
          <w:szCs w:val="22"/>
        </w:rPr>
        <w:t>to clinician</w:t>
      </w:r>
      <w:r w:rsidR="00EC60B8">
        <w:rPr>
          <w:rFonts w:cs="Arial"/>
          <w:szCs w:val="22"/>
        </w:rPr>
        <w:t xml:space="preserve"> only, (3)</w:t>
      </w:r>
      <w:r w:rsidR="00481566">
        <w:rPr>
          <w:rFonts w:cs="Arial"/>
          <w:szCs w:val="22"/>
        </w:rPr>
        <w:t xml:space="preserve"> nudge to</w:t>
      </w:r>
      <w:r w:rsidR="00F46BCF">
        <w:rPr>
          <w:rFonts w:cs="Arial"/>
          <w:szCs w:val="22"/>
        </w:rPr>
        <w:t xml:space="preserve"> patient only</w:t>
      </w:r>
      <w:r w:rsidR="00EC60B8">
        <w:rPr>
          <w:rFonts w:cs="Arial"/>
          <w:szCs w:val="22"/>
        </w:rPr>
        <w:t>, and (4)</w:t>
      </w:r>
      <w:r w:rsidR="00481566">
        <w:rPr>
          <w:rFonts w:cs="Arial"/>
          <w:szCs w:val="22"/>
        </w:rPr>
        <w:t xml:space="preserve"> usual practice</w:t>
      </w:r>
      <w:r w:rsidR="00B87440">
        <w:rPr>
          <w:rFonts w:cs="Arial"/>
          <w:szCs w:val="22"/>
        </w:rPr>
        <w:t>, as depicted below.</w:t>
      </w:r>
    </w:p>
    <w:p w14:paraId="32F0FB3C" w14:textId="77777777" w:rsidR="0028423A" w:rsidRDefault="0028423A" w:rsidP="009F6596">
      <w:pPr>
        <w:rPr>
          <w:rFonts w:cs="Arial"/>
          <w:szCs w:val="22"/>
        </w:rPr>
      </w:pPr>
    </w:p>
    <w:p w14:paraId="6A0E94CD" w14:textId="77777777" w:rsidR="00C81C5F" w:rsidRPr="00C81C5F" w:rsidRDefault="00C81C5F" w:rsidP="00C81C5F">
      <w:pPr>
        <w:ind w:left="360"/>
        <w:rPr>
          <w:rFonts w:cs="Arial"/>
          <w:b/>
          <w:sz w:val="20"/>
        </w:rPr>
      </w:pPr>
      <w:r w:rsidRPr="00C81C5F">
        <w:rPr>
          <w:rFonts w:cs="Arial"/>
          <w:b/>
          <w:sz w:val="20"/>
        </w:rPr>
        <w:t>Figure: 2x2 factorial design</w:t>
      </w:r>
    </w:p>
    <w:tbl>
      <w:tblPr>
        <w:tblpPr w:leftFromText="180" w:rightFromText="180" w:vertAnchor="text" w:horzAnchor="margin" w:tblpXSpec="right" w:tblpY="116"/>
        <w:tblW w:w="9480" w:type="dxa"/>
        <w:tblCellMar>
          <w:left w:w="0" w:type="dxa"/>
          <w:right w:w="0" w:type="dxa"/>
        </w:tblCellMar>
        <w:tblLook w:val="0420" w:firstRow="1" w:lastRow="0" w:firstColumn="0" w:lastColumn="0" w:noHBand="0" w:noVBand="1"/>
      </w:tblPr>
      <w:tblGrid>
        <w:gridCol w:w="720"/>
        <w:gridCol w:w="720"/>
        <w:gridCol w:w="4020"/>
        <w:gridCol w:w="4020"/>
      </w:tblGrid>
      <w:tr w:rsidR="00C81C5F" w:rsidRPr="00C81C5F" w14:paraId="472BDB0D" w14:textId="77777777" w:rsidTr="00C81C5F">
        <w:trPr>
          <w:trHeight w:val="319"/>
        </w:trPr>
        <w:tc>
          <w:tcPr>
            <w:tcW w:w="720" w:type="dxa"/>
            <w:tcBorders>
              <w:top w:val="nil"/>
              <w:left w:val="nil"/>
              <w:bottom w:val="nil"/>
              <w:right w:val="nil"/>
            </w:tcBorders>
            <w:shd w:val="clear" w:color="auto" w:fill="auto"/>
            <w:tcMar>
              <w:top w:w="15" w:type="dxa"/>
              <w:left w:w="144" w:type="dxa"/>
              <w:bottom w:w="0" w:type="dxa"/>
              <w:right w:w="144" w:type="dxa"/>
            </w:tcMar>
            <w:hideMark/>
          </w:tcPr>
          <w:p w14:paraId="4C6F73D5" w14:textId="77777777" w:rsidR="00C81C5F" w:rsidRPr="00C81C5F" w:rsidRDefault="00C81C5F" w:rsidP="00C81C5F">
            <w:pPr>
              <w:ind w:left="360"/>
              <w:rPr>
                <w:rFonts w:cs="Arial"/>
                <w:sz w:val="20"/>
              </w:rPr>
            </w:pPr>
          </w:p>
        </w:tc>
        <w:tc>
          <w:tcPr>
            <w:tcW w:w="720" w:type="dxa"/>
            <w:tcBorders>
              <w:top w:val="nil"/>
              <w:left w:val="nil"/>
              <w:bottom w:val="nil"/>
              <w:right w:val="nil"/>
            </w:tcBorders>
            <w:shd w:val="clear" w:color="auto" w:fill="auto"/>
            <w:tcMar>
              <w:top w:w="15" w:type="dxa"/>
              <w:left w:w="144" w:type="dxa"/>
              <w:bottom w:w="0" w:type="dxa"/>
              <w:right w:w="144" w:type="dxa"/>
            </w:tcMar>
            <w:hideMark/>
          </w:tcPr>
          <w:p w14:paraId="6ABB99C7" w14:textId="77777777" w:rsidR="00C81C5F" w:rsidRPr="00C81C5F" w:rsidRDefault="00C81C5F" w:rsidP="00C81C5F">
            <w:pPr>
              <w:ind w:left="360"/>
              <w:rPr>
                <w:rFonts w:cs="Arial"/>
                <w:sz w:val="20"/>
              </w:rPr>
            </w:pPr>
          </w:p>
        </w:tc>
        <w:tc>
          <w:tcPr>
            <w:tcW w:w="8040" w:type="dxa"/>
            <w:gridSpan w:val="2"/>
            <w:tcBorders>
              <w:top w:val="nil"/>
              <w:left w:val="nil"/>
              <w:bottom w:val="nil"/>
              <w:right w:val="nil"/>
            </w:tcBorders>
            <w:shd w:val="clear" w:color="auto" w:fill="auto"/>
            <w:tcMar>
              <w:top w:w="15" w:type="dxa"/>
              <w:left w:w="144" w:type="dxa"/>
              <w:bottom w:w="0" w:type="dxa"/>
              <w:right w:w="144" w:type="dxa"/>
            </w:tcMar>
            <w:hideMark/>
          </w:tcPr>
          <w:p w14:paraId="3A075A9C" w14:textId="77777777" w:rsidR="00C81C5F" w:rsidRPr="00C81C5F" w:rsidRDefault="00C81C5F" w:rsidP="00C81C5F">
            <w:pPr>
              <w:ind w:left="360"/>
              <w:rPr>
                <w:rFonts w:cs="Arial"/>
                <w:sz w:val="20"/>
              </w:rPr>
            </w:pPr>
            <w:r w:rsidRPr="00C81C5F">
              <w:rPr>
                <w:rFonts w:cs="Arial"/>
                <w:b/>
                <w:bCs/>
                <w:sz w:val="20"/>
              </w:rPr>
              <w:t>Patient</w:t>
            </w:r>
          </w:p>
        </w:tc>
      </w:tr>
      <w:tr w:rsidR="00C81C5F" w:rsidRPr="00C81C5F" w14:paraId="21AD3915" w14:textId="77777777" w:rsidTr="00C81C5F">
        <w:tc>
          <w:tcPr>
            <w:tcW w:w="720" w:type="dxa"/>
            <w:tcBorders>
              <w:top w:val="nil"/>
              <w:left w:val="nil"/>
              <w:bottom w:val="nil"/>
              <w:right w:val="nil"/>
            </w:tcBorders>
            <w:shd w:val="clear" w:color="auto" w:fill="auto"/>
            <w:tcMar>
              <w:top w:w="15" w:type="dxa"/>
              <w:left w:w="144" w:type="dxa"/>
              <w:bottom w:w="0" w:type="dxa"/>
              <w:right w:w="144" w:type="dxa"/>
            </w:tcMar>
            <w:hideMark/>
          </w:tcPr>
          <w:p w14:paraId="787F6D64" w14:textId="77777777" w:rsidR="00C81C5F" w:rsidRPr="00C81C5F" w:rsidRDefault="00C81C5F" w:rsidP="00C81C5F">
            <w:pPr>
              <w:ind w:left="360"/>
              <w:rPr>
                <w:rFonts w:cs="Arial"/>
                <w:sz w:val="20"/>
              </w:rPr>
            </w:pPr>
          </w:p>
        </w:tc>
        <w:tc>
          <w:tcPr>
            <w:tcW w:w="720" w:type="dxa"/>
            <w:tcBorders>
              <w:top w:val="nil"/>
              <w:left w:val="nil"/>
              <w:bottom w:val="nil"/>
              <w:right w:val="nil"/>
            </w:tcBorders>
            <w:shd w:val="clear" w:color="auto" w:fill="auto"/>
            <w:tcMar>
              <w:top w:w="15" w:type="dxa"/>
              <w:left w:w="144" w:type="dxa"/>
              <w:bottom w:w="0" w:type="dxa"/>
              <w:right w:w="144" w:type="dxa"/>
            </w:tcMar>
            <w:hideMark/>
          </w:tcPr>
          <w:p w14:paraId="4B949634" w14:textId="77777777" w:rsidR="00C81C5F" w:rsidRPr="00C81C5F" w:rsidRDefault="00C81C5F" w:rsidP="00C81C5F">
            <w:pPr>
              <w:ind w:left="360"/>
              <w:rPr>
                <w:rFonts w:cs="Arial"/>
                <w:sz w:val="20"/>
              </w:rPr>
            </w:pPr>
          </w:p>
        </w:tc>
        <w:tc>
          <w:tcPr>
            <w:tcW w:w="4020" w:type="dxa"/>
            <w:tcBorders>
              <w:top w:val="nil"/>
              <w:left w:val="nil"/>
              <w:bottom w:val="single" w:sz="8" w:space="0" w:color="1A1949"/>
              <w:right w:val="nil"/>
            </w:tcBorders>
            <w:shd w:val="clear" w:color="auto" w:fill="auto"/>
            <w:tcMar>
              <w:top w:w="15" w:type="dxa"/>
              <w:left w:w="144" w:type="dxa"/>
              <w:bottom w:w="0" w:type="dxa"/>
              <w:right w:w="144" w:type="dxa"/>
            </w:tcMar>
            <w:hideMark/>
          </w:tcPr>
          <w:p w14:paraId="1E5332EB" w14:textId="77777777" w:rsidR="00C81C5F" w:rsidRPr="00C81C5F" w:rsidRDefault="00C81C5F" w:rsidP="00C81C5F">
            <w:pPr>
              <w:ind w:left="360"/>
              <w:rPr>
                <w:rFonts w:cs="Arial"/>
                <w:sz w:val="20"/>
              </w:rPr>
            </w:pPr>
            <w:r w:rsidRPr="00C81C5F">
              <w:rPr>
                <w:rFonts w:cs="Arial"/>
                <w:sz w:val="20"/>
              </w:rPr>
              <w:t>Nudge</w:t>
            </w:r>
          </w:p>
        </w:tc>
        <w:tc>
          <w:tcPr>
            <w:tcW w:w="4020" w:type="dxa"/>
            <w:tcBorders>
              <w:top w:val="nil"/>
              <w:left w:val="nil"/>
              <w:bottom w:val="single" w:sz="8" w:space="0" w:color="1A1949"/>
              <w:right w:val="nil"/>
            </w:tcBorders>
            <w:shd w:val="clear" w:color="auto" w:fill="auto"/>
            <w:tcMar>
              <w:top w:w="15" w:type="dxa"/>
              <w:left w:w="144" w:type="dxa"/>
              <w:bottom w:w="0" w:type="dxa"/>
              <w:right w:w="144" w:type="dxa"/>
            </w:tcMar>
            <w:hideMark/>
          </w:tcPr>
          <w:p w14:paraId="78D515AB" w14:textId="77777777" w:rsidR="00C81C5F" w:rsidRPr="00C81C5F" w:rsidRDefault="00C81C5F" w:rsidP="00C81C5F">
            <w:pPr>
              <w:ind w:left="360"/>
              <w:rPr>
                <w:rFonts w:cs="Arial"/>
                <w:sz w:val="20"/>
              </w:rPr>
            </w:pPr>
            <w:r w:rsidRPr="00C81C5F">
              <w:rPr>
                <w:rFonts w:cs="Arial"/>
                <w:sz w:val="20"/>
              </w:rPr>
              <w:t>No nudge</w:t>
            </w:r>
          </w:p>
        </w:tc>
      </w:tr>
      <w:tr w:rsidR="00C81C5F" w:rsidRPr="00C81C5F" w14:paraId="346C8B45" w14:textId="77777777" w:rsidTr="00F46BCF">
        <w:trPr>
          <w:trHeight w:val="1363"/>
        </w:trPr>
        <w:tc>
          <w:tcPr>
            <w:tcW w:w="720" w:type="dxa"/>
            <w:vMerge w:val="restart"/>
            <w:tcBorders>
              <w:top w:val="nil"/>
              <w:left w:val="nil"/>
              <w:bottom w:val="nil"/>
              <w:right w:val="nil"/>
            </w:tcBorders>
            <w:shd w:val="clear" w:color="auto" w:fill="auto"/>
            <w:tcMar>
              <w:top w:w="15" w:type="dxa"/>
              <w:left w:w="144" w:type="dxa"/>
              <w:bottom w:w="0" w:type="dxa"/>
              <w:right w:w="144" w:type="dxa"/>
            </w:tcMar>
            <w:textDirection w:val="btLr"/>
            <w:vAlign w:val="center"/>
            <w:hideMark/>
          </w:tcPr>
          <w:p w14:paraId="0D73AD21" w14:textId="77777777" w:rsidR="00C81C5F" w:rsidRPr="00C81C5F" w:rsidRDefault="00C81C5F" w:rsidP="00C81C5F">
            <w:pPr>
              <w:ind w:left="360"/>
              <w:rPr>
                <w:rFonts w:cs="Arial"/>
                <w:sz w:val="20"/>
              </w:rPr>
            </w:pPr>
            <w:r w:rsidRPr="00C81C5F">
              <w:rPr>
                <w:rFonts w:cs="Arial"/>
                <w:b/>
                <w:bCs/>
                <w:sz w:val="20"/>
              </w:rPr>
              <w:t>Clinician</w:t>
            </w:r>
          </w:p>
        </w:tc>
        <w:tc>
          <w:tcPr>
            <w:tcW w:w="720" w:type="dxa"/>
            <w:tcBorders>
              <w:top w:val="nil"/>
              <w:left w:val="nil"/>
              <w:bottom w:val="nil"/>
              <w:right w:val="single" w:sz="8" w:space="0" w:color="1A1949"/>
            </w:tcBorders>
            <w:shd w:val="clear" w:color="auto" w:fill="auto"/>
            <w:tcMar>
              <w:top w:w="15" w:type="dxa"/>
              <w:left w:w="144" w:type="dxa"/>
              <w:bottom w:w="0" w:type="dxa"/>
              <w:right w:w="144" w:type="dxa"/>
            </w:tcMar>
            <w:textDirection w:val="btLr"/>
            <w:vAlign w:val="center"/>
            <w:hideMark/>
          </w:tcPr>
          <w:p w14:paraId="29C57DF1" w14:textId="77777777" w:rsidR="00C81C5F" w:rsidRPr="00C81C5F" w:rsidRDefault="00C81C5F" w:rsidP="00C81C5F">
            <w:pPr>
              <w:ind w:left="360"/>
              <w:rPr>
                <w:rFonts w:cs="Arial"/>
                <w:sz w:val="20"/>
              </w:rPr>
            </w:pPr>
            <w:r w:rsidRPr="00C81C5F">
              <w:rPr>
                <w:rFonts w:cs="Arial"/>
                <w:sz w:val="20"/>
              </w:rPr>
              <w:t>Nudge</w:t>
            </w:r>
          </w:p>
        </w:tc>
        <w:tc>
          <w:tcPr>
            <w:tcW w:w="4020" w:type="dxa"/>
            <w:tcBorders>
              <w:top w:val="single" w:sz="8" w:space="0" w:color="1A1949"/>
              <w:left w:val="single" w:sz="8" w:space="0" w:color="1A1949"/>
              <w:bottom w:val="single" w:sz="8" w:space="0" w:color="1A1949"/>
              <w:right w:val="single" w:sz="8" w:space="0" w:color="1A1949"/>
            </w:tcBorders>
            <w:shd w:val="clear" w:color="auto" w:fill="auto"/>
            <w:tcMar>
              <w:top w:w="15" w:type="dxa"/>
              <w:left w:w="144" w:type="dxa"/>
              <w:bottom w:w="0" w:type="dxa"/>
              <w:right w:w="144" w:type="dxa"/>
            </w:tcMar>
            <w:vAlign w:val="center"/>
            <w:hideMark/>
          </w:tcPr>
          <w:p w14:paraId="187D4DCF" w14:textId="77777777" w:rsidR="00C81C5F" w:rsidRPr="00C81C5F" w:rsidRDefault="00C81C5F" w:rsidP="008F4CD4">
            <w:pPr>
              <w:ind w:left="360"/>
              <w:rPr>
                <w:rFonts w:cs="Arial"/>
                <w:sz w:val="20"/>
              </w:rPr>
            </w:pPr>
            <w:r w:rsidRPr="00C81C5F">
              <w:rPr>
                <w:rFonts w:cs="Arial"/>
                <w:b/>
                <w:sz w:val="20"/>
              </w:rPr>
              <w:t>Arm 1</w:t>
            </w:r>
            <w:r w:rsidRPr="00C81C5F">
              <w:rPr>
                <w:rFonts w:cs="Arial"/>
                <w:sz w:val="20"/>
              </w:rPr>
              <w:t>: Nudge to clinician and patient</w:t>
            </w:r>
            <w:r w:rsidR="008F4CD4">
              <w:rPr>
                <w:rFonts w:cs="Arial"/>
                <w:sz w:val="20"/>
              </w:rPr>
              <w:t xml:space="preserve"> (peer comparison &amp; patient priming)</w:t>
            </w:r>
          </w:p>
        </w:tc>
        <w:tc>
          <w:tcPr>
            <w:tcW w:w="4020" w:type="dxa"/>
            <w:tcBorders>
              <w:top w:val="single" w:sz="8" w:space="0" w:color="1A1949"/>
              <w:left w:val="single" w:sz="8" w:space="0" w:color="1A1949"/>
              <w:bottom w:val="single" w:sz="8" w:space="0" w:color="1A1949"/>
              <w:right w:val="single" w:sz="8" w:space="0" w:color="1A1949"/>
            </w:tcBorders>
            <w:shd w:val="clear" w:color="auto" w:fill="auto"/>
            <w:tcMar>
              <w:top w:w="15" w:type="dxa"/>
              <w:left w:w="144" w:type="dxa"/>
              <w:bottom w:w="0" w:type="dxa"/>
              <w:right w:w="144" w:type="dxa"/>
            </w:tcMar>
            <w:vAlign w:val="center"/>
            <w:hideMark/>
          </w:tcPr>
          <w:p w14:paraId="1A1ECE13" w14:textId="77777777" w:rsidR="008F4CD4" w:rsidRDefault="00C81C5F" w:rsidP="00C81C5F">
            <w:pPr>
              <w:ind w:left="360"/>
              <w:rPr>
                <w:rFonts w:cs="Arial"/>
                <w:sz w:val="20"/>
              </w:rPr>
            </w:pPr>
            <w:r w:rsidRPr="00C81C5F">
              <w:rPr>
                <w:rFonts w:cs="Arial"/>
                <w:b/>
                <w:sz w:val="20"/>
              </w:rPr>
              <w:t>Arm 2</w:t>
            </w:r>
            <w:r w:rsidRPr="00C81C5F">
              <w:rPr>
                <w:rFonts w:cs="Arial"/>
                <w:sz w:val="20"/>
              </w:rPr>
              <w:t>: Nudge to clinician only</w:t>
            </w:r>
            <w:r w:rsidR="008F4CD4">
              <w:rPr>
                <w:rFonts w:cs="Arial"/>
                <w:sz w:val="20"/>
              </w:rPr>
              <w:t xml:space="preserve"> </w:t>
            </w:r>
          </w:p>
          <w:p w14:paraId="2AD47A82" w14:textId="77777777" w:rsidR="00C81C5F" w:rsidRPr="00C81C5F" w:rsidRDefault="008F4CD4" w:rsidP="00C81C5F">
            <w:pPr>
              <w:ind w:left="360"/>
              <w:rPr>
                <w:rFonts w:cs="Arial"/>
                <w:sz w:val="20"/>
              </w:rPr>
            </w:pPr>
            <w:r>
              <w:rPr>
                <w:rFonts w:cs="Arial"/>
                <w:sz w:val="20"/>
              </w:rPr>
              <w:t>(clinician peer comparison)</w:t>
            </w:r>
          </w:p>
        </w:tc>
      </w:tr>
      <w:tr w:rsidR="00C81C5F" w:rsidRPr="00C81C5F" w14:paraId="0AEFAF9B" w14:textId="77777777" w:rsidTr="00F46BCF">
        <w:trPr>
          <w:trHeight w:val="1273"/>
        </w:trPr>
        <w:tc>
          <w:tcPr>
            <w:tcW w:w="0" w:type="auto"/>
            <w:vMerge/>
            <w:tcBorders>
              <w:top w:val="nil"/>
              <w:left w:val="nil"/>
              <w:bottom w:val="nil"/>
              <w:right w:val="nil"/>
            </w:tcBorders>
            <w:vAlign w:val="center"/>
            <w:hideMark/>
          </w:tcPr>
          <w:p w14:paraId="432798D4" w14:textId="77777777" w:rsidR="00C81C5F" w:rsidRPr="00C81C5F" w:rsidRDefault="00C81C5F" w:rsidP="00C81C5F">
            <w:pPr>
              <w:ind w:left="360"/>
              <w:rPr>
                <w:rFonts w:cs="Arial"/>
                <w:sz w:val="20"/>
              </w:rPr>
            </w:pPr>
          </w:p>
        </w:tc>
        <w:tc>
          <w:tcPr>
            <w:tcW w:w="720" w:type="dxa"/>
            <w:tcBorders>
              <w:top w:val="nil"/>
              <w:left w:val="nil"/>
              <w:bottom w:val="nil"/>
              <w:right w:val="single" w:sz="8" w:space="0" w:color="1A1949"/>
            </w:tcBorders>
            <w:shd w:val="clear" w:color="auto" w:fill="auto"/>
            <w:tcMar>
              <w:top w:w="15" w:type="dxa"/>
              <w:left w:w="144" w:type="dxa"/>
              <w:bottom w:w="0" w:type="dxa"/>
              <w:right w:w="144" w:type="dxa"/>
            </w:tcMar>
            <w:textDirection w:val="btLr"/>
            <w:vAlign w:val="center"/>
            <w:hideMark/>
          </w:tcPr>
          <w:p w14:paraId="611ED0C9" w14:textId="77777777" w:rsidR="00C81C5F" w:rsidRPr="00C81C5F" w:rsidRDefault="00C81C5F" w:rsidP="00C81C5F">
            <w:pPr>
              <w:ind w:left="360"/>
              <w:rPr>
                <w:rFonts w:cs="Arial"/>
                <w:sz w:val="20"/>
              </w:rPr>
            </w:pPr>
            <w:r w:rsidRPr="00C81C5F">
              <w:rPr>
                <w:rFonts w:cs="Arial"/>
                <w:sz w:val="20"/>
              </w:rPr>
              <w:t>No nudge</w:t>
            </w:r>
          </w:p>
        </w:tc>
        <w:tc>
          <w:tcPr>
            <w:tcW w:w="4020" w:type="dxa"/>
            <w:tcBorders>
              <w:top w:val="single" w:sz="8" w:space="0" w:color="1A1949"/>
              <w:left w:val="single" w:sz="8" w:space="0" w:color="1A1949"/>
              <w:bottom w:val="single" w:sz="8" w:space="0" w:color="1A1949"/>
              <w:right w:val="single" w:sz="8" w:space="0" w:color="1A1949"/>
            </w:tcBorders>
            <w:shd w:val="clear" w:color="auto" w:fill="auto"/>
            <w:tcMar>
              <w:top w:w="15" w:type="dxa"/>
              <w:left w:w="144" w:type="dxa"/>
              <w:bottom w:w="0" w:type="dxa"/>
              <w:right w:w="144" w:type="dxa"/>
            </w:tcMar>
            <w:vAlign w:val="center"/>
            <w:hideMark/>
          </w:tcPr>
          <w:p w14:paraId="763C8BB4" w14:textId="77777777" w:rsidR="008F4CD4" w:rsidRDefault="00C81C5F" w:rsidP="00C81C5F">
            <w:pPr>
              <w:ind w:left="360"/>
              <w:rPr>
                <w:rFonts w:cs="Arial"/>
                <w:sz w:val="20"/>
              </w:rPr>
            </w:pPr>
            <w:r w:rsidRPr="00C81C5F">
              <w:rPr>
                <w:rFonts w:cs="Arial"/>
                <w:b/>
                <w:sz w:val="20"/>
              </w:rPr>
              <w:t xml:space="preserve">Arm </w:t>
            </w:r>
            <w:r w:rsidR="003F5DAB">
              <w:rPr>
                <w:rFonts w:cs="Arial"/>
                <w:b/>
                <w:sz w:val="20"/>
              </w:rPr>
              <w:t>3</w:t>
            </w:r>
            <w:r w:rsidRPr="00C81C5F">
              <w:rPr>
                <w:rFonts w:cs="Arial"/>
                <w:sz w:val="20"/>
              </w:rPr>
              <w:t>: Nudge to patient only</w:t>
            </w:r>
            <w:r w:rsidR="008F4CD4">
              <w:rPr>
                <w:rFonts w:cs="Arial"/>
                <w:sz w:val="20"/>
              </w:rPr>
              <w:t xml:space="preserve"> </w:t>
            </w:r>
          </w:p>
          <w:p w14:paraId="0BC86CAF" w14:textId="77777777" w:rsidR="00C81C5F" w:rsidRPr="00C81C5F" w:rsidRDefault="008F4CD4" w:rsidP="00C81C5F">
            <w:pPr>
              <w:ind w:left="360"/>
              <w:rPr>
                <w:rFonts w:cs="Arial"/>
                <w:sz w:val="20"/>
              </w:rPr>
            </w:pPr>
            <w:r>
              <w:rPr>
                <w:rFonts w:cs="Arial"/>
                <w:sz w:val="20"/>
              </w:rPr>
              <w:t>(patient priming)</w:t>
            </w:r>
          </w:p>
        </w:tc>
        <w:tc>
          <w:tcPr>
            <w:tcW w:w="4020" w:type="dxa"/>
            <w:tcBorders>
              <w:top w:val="single" w:sz="8" w:space="0" w:color="1A1949"/>
              <w:left w:val="single" w:sz="8" w:space="0" w:color="1A1949"/>
              <w:bottom w:val="single" w:sz="8" w:space="0" w:color="1A1949"/>
              <w:right w:val="single" w:sz="8" w:space="0" w:color="1A1949"/>
            </w:tcBorders>
            <w:shd w:val="clear" w:color="auto" w:fill="auto"/>
            <w:tcMar>
              <w:top w:w="15" w:type="dxa"/>
              <w:left w:w="144" w:type="dxa"/>
              <w:bottom w:w="0" w:type="dxa"/>
              <w:right w:w="144" w:type="dxa"/>
            </w:tcMar>
            <w:vAlign w:val="center"/>
            <w:hideMark/>
          </w:tcPr>
          <w:p w14:paraId="579E9CC0" w14:textId="77777777" w:rsidR="00AA567E" w:rsidRDefault="00C81C5F" w:rsidP="00B87440">
            <w:pPr>
              <w:ind w:left="360"/>
              <w:rPr>
                <w:rFonts w:cs="Arial"/>
                <w:sz w:val="20"/>
              </w:rPr>
            </w:pPr>
            <w:r w:rsidRPr="00C81C5F">
              <w:rPr>
                <w:rFonts w:cs="Arial"/>
                <w:b/>
                <w:sz w:val="20"/>
              </w:rPr>
              <w:t>Arm 4</w:t>
            </w:r>
            <w:r w:rsidRPr="00C81C5F">
              <w:rPr>
                <w:rFonts w:cs="Arial"/>
                <w:sz w:val="20"/>
              </w:rPr>
              <w:t>: Usual practice</w:t>
            </w:r>
            <w:r w:rsidR="00AA567E">
              <w:rPr>
                <w:rFonts w:cs="Arial"/>
                <w:sz w:val="20"/>
              </w:rPr>
              <w:t xml:space="preserve"> </w:t>
            </w:r>
          </w:p>
          <w:p w14:paraId="22FE2575" w14:textId="6DC5C835" w:rsidR="008F4CD4" w:rsidRPr="008F4CD4" w:rsidRDefault="00AA567E" w:rsidP="00B87440">
            <w:pPr>
              <w:ind w:left="360"/>
              <w:rPr>
                <w:rFonts w:cs="Arial"/>
                <w:sz w:val="20"/>
              </w:rPr>
            </w:pPr>
            <w:r>
              <w:rPr>
                <w:rFonts w:cs="Arial"/>
                <w:sz w:val="20"/>
              </w:rPr>
              <w:t>(active control)</w:t>
            </w:r>
          </w:p>
        </w:tc>
      </w:tr>
    </w:tbl>
    <w:p w14:paraId="28308655" w14:textId="77777777" w:rsidR="00CC2A61" w:rsidRPr="00B318BF" w:rsidRDefault="00CC2A61" w:rsidP="00FF3C92">
      <w:pPr>
        <w:rPr>
          <w:rFonts w:cs="Arial"/>
          <w:szCs w:val="22"/>
        </w:rPr>
      </w:pPr>
    </w:p>
    <w:p w14:paraId="689E271E" w14:textId="77777777" w:rsidR="00845B5C" w:rsidRPr="00AB2950" w:rsidRDefault="00845B5C" w:rsidP="00AB2950">
      <w:pPr>
        <w:pStyle w:val="ListParagraph"/>
        <w:numPr>
          <w:ilvl w:val="0"/>
          <w:numId w:val="24"/>
        </w:numPr>
        <w:rPr>
          <w:rFonts w:cs="Arial"/>
          <w:b/>
          <w:i/>
          <w:szCs w:val="22"/>
        </w:rPr>
      </w:pPr>
      <w:r w:rsidRPr="00AB2950">
        <w:rPr>
          <w:rFonts w:cs="Arial"/>
          <w:b/>
          <w:i/>
          <w:szCs w:val="22"/>
        </w:rPr>
        <w:t xml:space="preserve">Study Duration: </w:t>
      </w:r>
    </w:p>
    <w:p w14:paraId="33DC931A" w14:textId="0D90FB1E" w:rsidR="00B87440" w:rsidRDefault="00CD0501" w:rsidP="00635023">
      <w:pPr>
        <w:ind w:left="360"/>
        <w:rPr>
          <w:rFonts w:eastAsia="Times New Roman" w:cs="Arial"/>
          <w:color w:val="000000"/>
        </w:rPr>
      </w:pPr>
      <w:r>
        <w:rPr>
          <w:rFonts w:cs="Arial"/>
          <w:szCs w:val="22"/>
        </w:rPr>
        <w:t>The</w:t>
      </w:r>
      <w:r w:rsidR="00AB2950">
        <w:rPr>
          <w:rFonts w:cs="Arial"/>
          <w:szCs w:val="22"/>
        </w:rPr>
        <w:t xml:space="preserve"> study duration will be approximately </w:t>
      </w:r>
      <w:r w:rsidR="00B87440">
        <w:rPr>
          <w:rFonts w:cs="Arial"/>
          <w:szCs w:val="22"/>
        </w:rPr>
        <w:t>6 months per participant, defined</w:t>
      </w:r>
      <w:r w:rsidR="00AE2F23">
        <w:rPr>
          <w:rFonts w:cs="Arial"/>
          <w:szCs w:val="22"/>
        </w:rPr>
        <w:t xml:space="preserve"> by an initial index clinical encounter (marking the beginning of the nudge exposure period) and followed by a 6-month follow-up period over which </w:t>
      </w:r>
      <w:r w:rsidR="00B87440">
        <w:rPr>
          <w:rFonts w:cs="Arial"/>
          <w:szCs w:val="22"/>
        </w:rPr>
        <w:t xml:space="preserve">outcomes will be ascertained. </w:t>
      </w:r>
      <w:r w:rsidR="008B6C0A">
        <w:rPr>
          <w:rFonts w:cs="Arial"/>
          <w:szCs w:val="22"/>
        </w:rPr>
        <w:t>We will employ rapid cycle approaches (RCA) prior to clinical trial enrollment to optimize implementation strategies.</w:t>
      </w:r>
    </w:p>
    <w:p w14:paraId="5804006B" w14:textId="77777777" w:rsidR="00635023" w:rsidRDefault="00635023" w:rsidP="00635023">
      <w:pPr>
        <w:ind w:left="360"/>
        <w:rPr>
          <w:rFonts w:cs="Arial"/>
          <w:b/>
          <w:szCs w:val="22"/>
        </w:rPr>
      </w:pPr>
    </w:p>
    <w:p w14:paraId="3004222A" w14:textId="77777777" w:rsidR="003B4302" w:rsidRPr="00AF25E7" w:rsidRDefault="003B4302" w:rsidP="00FF3C92">
      <w:pPr>
        <w:rPr>
          <w:rFonts w:cs="Arial"/>
          <w:b/>
          <w:szCs w:val="22"/>
        </w:rPr>
      </w:pPr>
      <w:r w:rsidRPr="00AF25E7">
        <w:rPr>
          <w:rFonts w:cs="Arial"/>
          <w:b/>
          <w:szCs w:val="22"/>
        </w:rPr>
        <w:t>METHODS</w:t>
      </w:r>
      <w:r w:rsidR="008C0870" w:rsidRPr="00AF25E7">
        <w:rPr>
          <w:rFonts w:cs="Arial"/>
          <w:b/>
          <w:szCs w:val="22"/>
        </w:rPr>
        <w:t>:</w:t>
      </w:r>
    </w:p>
    <w:p w14:paraId="299F774E" w14:textId="77777777" w:rsidR="008C0870" w:rsidRPr="00AF25E7" w:rsidRDefault="008C0870" w:rsidP="00FF3C92">
      <w:pPr>
        <w:rPr>
          <w:rFonts w:cs="Arial"/>
          <w:b/>
          <w:szCs w:val="22"/>
        </w:rPr>
      </w:pPr>
    </w:p>
    <w:p w14:paraId="65B0C134" w14:textId="77777777" w:rsidR="003B4302" w:rsidRPr="00325396" w:rsidRDefault="003B4302" w:rsidP="00E13E9A">
      <w:pPr>
        <w:pStyle w:val="ListParagraph"/>
        <w:numPr>
          <w:ilvl w:val="0"/>
          <w:numId w:val="23"/>
        </w:numPr>
        <w:ind w:left="360" w:firstLine="0"/>
        <w:rPr>
          <w:rFonts w:cs="Arial"/>
          <w:b/>
          <w:i/>
          <w:szCs w:val="22"/>
        </w:rPr>
      </w:pPr>
      <w:r w:rsidRPr="00325396">
        <w:rPr>
          <w:rFonts w:cs="Arial"/>
          <w:b/>
          <w:i/>
          <w:szCs w:val="22"/>
        </w:rPr>
        <w:t>Study Instruments</w:t>
      </w:r>
      <w:r w:rsidR="008C0870" w:rsidRPr="00325396">
        <w:rPr>
          <w:rFonts w:cs="Arial"/>
          <w:b/>
          <w:i/>
          <w:szCs w:val="22"/>
        </w:rPr>
        <w:t>:</w:t>
      </w:r>
    </w:p>
    <w:p w14:paraId="48F0C7E0" w14:textId="77777777" w:rsidR="00B318BF" w:rsidRPr="00AF25E7" w:rsidRDefault="00B318BF" w:rsidP="00E13E9A">
      <w:pPr>
        <w:ind w:left="360"/>
        <w:rPr>
          <w:rFonts w:cs="Arial"/>
          <w:szCs w:val="22"/>
        </w:rPr>
      </w:pPr>
      <w:r w:rsidRPr="00AF25E7">
        <w:rPr>
          <w:rFonts w:cs="Arial"/>
          <w:szCs w:val="22"/>
        </w:rPr>
        <w:t xml:space="preserve">Any study instruments will be submitted to the IRB as a modification prior to use. </w:t>
      </w:r>
    </w:p>
    <w:p w14:paraId="5830AA00" w14:textId="77777777" w:rsidR="00935410" w:rsidRPr="00AF25E7" w:rsidRDefault="00935410" w:rsidP="00E13E9A">
      <w:pPr>
        <w:ind w:left="360"/>
        <w:rPr>
          <w:rFonts w:cs="Arial"/>
          <w:szCs w:val="22"/>
        </w:rPr>
      </w:pPr>
    </w:p>
    <w:p w14:paraId="5DF6A2BB" w14:textId="77777777" w:rsidR="00A22370" w:rsidRPr="00AF25E7" w:rsidRDefault="003B4302" w:rsidP="00E13E9A">
      <w:pPr>
        <w:pStyle w:val="Heading2"/>
        <w:numPr>
          <w:ilvl w:val="0"/>
          <w:numId w:val="23"/>
        </w:numPr>
        <w:ind w:left="360" w:firstLine="0"/>
        <w:jc w:val="both"/>
        <w:rPr>
          <w:rFonts w:cs="Arial"/>
          <w:i/>
          <w:sz w:val="22"/>
          <w:szCs w:val="22"/>
        </w:rPr>
      </w:pPr>
      <w:r w:rsidRPr="00AF25E7">
        <w:rPr>
          <w:rFonts w:cs="Arial"/>
          <w:i/>
          <w:sz w:val="22"/>
          <w:szCs w:val="22"/>
        </w:rPr>
        <w:t>Administration of Surveys and/or Process</w:t>
      </w:r>
      <w:r w:rsidR="008C0870" w:rsidRPr="00AF25E7">
        <w:rPr>
          <w:rFonts w:cs="Arial"/>
          <w:i/>
          <w:sz w:val="22"/>
          <w:szCs w:val="22"/>
        </w:rPr>
        <w:t>:</w:t>
      </w:r>
      <w:r w:rsidRPr="00AF25E7">
        <w:rPr>
          <w:rFonts w:cs="Arial"/>
          <w:i/>
          <w:sz w:val="22"/>
          <w:szCs w:val="22"/>
        </w:rPr>
        <w:t xml:space="preserve"> </w:t>
      </w:r>
    </w:p>
    <w:p w14:paraId="59CDCCE1" w14:textId="77777777" w:rsidR="00E13E9A" w:rsidRDefault="00E94866" w:rsidP="00E13E9A">
      <w:pPr>
        <w:ind w:left="360"/>
        <w:rPr>
          <w:rFonts w:cs="Arial"/>
          <w:szCs w:val="22"/>
        </w:rPr>
      </w:pPr>
      <w:r w:rsidRPr="00AF25E7">
        <w:rPr>
          <w:rFonts w:cs="Arial"/>
          <w:szCs w:val="22"/>
        </w:rPr>
        <w:t xml:space="preserve">Any </w:t>
      </w:r>
      <w:r>
        <w:rPr>
          <w:rFonts w:cs="Arial"/>
          <w:szCs w:val="22"/>
        </w:rPr>
        <w:t xml:space="preserve">surveys </w:t>
      </w:r>
      <w:r w:rsidRPr="00AF25E7">
        <w:rPr>
          <w:rFonts w:cs="Arial"/>
          <w:szCs w:val="22"/>
        </w:rPr>
        <w:t>will be submitted to the IRB as a modification prior to use.</w:t>
      </w:r>
    </w:p>
    <w:p w14:paraId="4739B1A0" w14:textId="77777777" w:rsidR="00E13E9A" w:rsidRDefault="00E13E9A" w:rsidP="00E13E9A">
      <w:pPr>
        <w:ind w:left="360"/>
        <w:rPr>
          <w:rFonts w:cs="Arial"/>
          <w:szCs w:val="22"/>
        </w:rPr>
      </w:pPr>
    </w:p>
    <w:p w14:paraId="0B601175" w14:textId="77777777" w:rsidR="00AC6402" w:rsidRPr="00E13E9A" w:rsidRDefault="00C96B5F" w:rsidP="00E13E9A">
      <w:pPr>
        <w:ind w:left="360"/>
        <w:rPr>
          <w:rFonts w:cs="Arial"/>
          <w:b/>
          <w:szCs w:val="22"/>
        </w:rPr>
      </w:pPr>
      <w:r w:rsidRPr="00E13E9A">
        <w:rPr>
          <w:rFonts w:cs="Arial"/>
          <w:b/>
          <w:i/>
          <w:szCs w:val="22"/>
        </w:rPr>
        <w:t>3</w:t>
      </w:r>
      <w:r w:rsidR="00AC6402" w:rsidRPr="00E13E9A">
        <w:rPr>
          <w:rFonts w:cs="Arial"/>
          <w:b/>
          <w:i/>
          <w:szCs w:val="22"/>
        </w:rPr>
        <w:t xml:space="preserve">. </w:t>
      </w:r>
      <w:r w:rsidR="00E13E9A">
        <w:rPr>
          <w:rFonts w:cs="Arial"/>
          <w:b/>
          <w:i/>
          <w:szCs w:val="22"/>
        </w:rPr>
        <w:tab/>
      </w:r>
      <w:r w:rsidR="00AC6402" w:rsidRPr="00E13E9A">
        <w:rPr>
          <w:rFonts w:cs="Arial"/>
          <w:b/>
          <w:i/>
          <w:szCs w:val="22"/>
        </w:rPr>
        <w:t>Data Management</w:t>
      </w:r>
      <w:r w:rsidR="008C0870" w:rsidRPr="00E13E9A">
        <w:rPr>
          <w:rFonts w:cs="Arial"/>
          <w:b/>
          <w:i/>
          <w:szCs w:val="22"/>
        </w:rPr>
        <w:t>:</w:t>
      </w:r>
    </w:p>
    <w:p w14:paraId="7F8A702B" w14:textId="77777777" w:rsidR="00555BC9" w:rsidRPr="009B314F" w:rsidRDefault="009B314F" w:rsidP="00E13E9A">
      <w:pPr>
        <w:autoSpaceDE w:val="0"/>
        <w:autoSpaceDN w:val="0"/>
        <w:adjustRightInd w:val="0"/>
        <w:ind w:left="360"/>
        <w:rPr>
          <w:rFonts w:cs="Arial"/>
          <w:szCs w:val="22"/>
        </w:rPr>
      </w:pPr>
      <w:r w:rsidRPr="009B314F">
        <w:rPr>
          <w:rFonts w:cs="Arial"/>
          <w:szCs w:val="22"/>
        </w:rPr>
        <w:t xml:space="preserve">To minimize the risk of breach of data and confidentiality, we will use secure, encrypted servers to host the data and conduct the analysis. The Penn Medicine Academic Computing Services (PMACS) will be the hub for the hardware and database infrastructure that will support the project. The PMACS is a joint effort of the University of Pennsylvania's Abramson Cancer Center, the Cardiovascular Institute, the Department of Pathology, and the Leonard Davis Institute. The PMACS provides a secure computing environment for a large volume of highly sensitive data, including clinical, genetic, socioeconomic, and financial information. PMACS requires all users of data or applications on PMACS servers to complete a PMACS-hosted cybersecurity awareness course annually, which stresses federal data security policies under data use agreements with the university. The curriculum includes Health Insurance Portability and Accountability Act (HIPAA) training and covers secure data transfer, passwords, computer security habits and knowledge of what constitutes misuse or inappropriate use of the server. We will implement multiple, redundant protective measures to guarantee the privacy and security of the participant data. All investigators and research staff with direct access to the identifiable data will be required to undergo annual responsible conduct of research, cybersecurity, and HIPAA certification in accordance with University of Pennsylvania regulations. Data will be stored, managed, and analyzed on a secure, encrypted server behind the University of Pennsylvania Health System (UPHS) firewall. All study personnel that will use this data are listed on the IRB application and have completed training in HIPAA standards and the CITI human subjects research. Data access will be password protected. Whenever possible, data will be </w:t>
      </w:r>
      <w:proofErr w:type="spellStart"/>
      <w:r w:rsidRPr="009B314F">
        <w:rPr>
          <w:rFonts w:cs="Arial"/>
          <w:szCs w:val="22"/>
        </w:rPr>
        <w:t>deidentified</w:t>
      </w:r>
      <w:proofErr w:type="spellEnd"/>
      <w:r w:rsidRPr="009B314F">
        <w:rPr>
          <w:rFonts w:cs="Arial"/>
          <w:szCs w:val="22"/>
        </w:rPr>
        <w:t xml:space="preserve"> for analysis.</w:t>
      </w:r>
    </w:p>
    <w:p w14:paraId="7CFE2A70" w14:textId="77777777" w:rsidR="009B314F" w:rsidRPr="00FA2996" w:rsidRDefault="009B314F" w:rsidP="00E13E9A">
      <w:pPr>
        <w:autoSpaceDE w:val="0"/>
        <w:autoSpaceDN w:val="0"/>
        <w:adjustRightInd w:val="0"/>
        <w:ind w:left="360"/>
        <w:rPr>
          <w:rFonts w:cs="Arial"/>
          <w:szCs w:val="22"/>
        </w:rPr>
      </w:pPr>
    </w:p>
    <w:p w14:paraId="3DAEFE9A" w14:textId="77777777" w:rsidR="00AC6402" w:rsidRPr="00FA2996" w:rsidRDefault="00C96B5F" w:rsidP="00E13E9A">
      <w:pPr>
        <w:pStyle w:val="Heading2"/>
        <w:numPr>
          <w:ilvl w:val="0"/>
          <w:numId w:val="0"/>
        </w:numPr>
        <w:ind w:left="360"/>
        <w:rPr>
          <w:rFonts w:cs="Arial"/>
          <w:b w:val="0"/>
          <w:sz w:val="22"/>
          <w:szCs w:val="22"/>
        </w:rPr>
      </w:pPr>
      <w:r w:rsidRPr="00FA2996">
        <w:rPr>
          <w:rFonts w:cs="Arial"/>
          <w:i/>
          <w:sz w:val="22"/>
          <w:szCs w:val="22"/>
        </w:rPr>
        <w:t>4</w:t>
      </w:r>
      <w:r w:rsidR="00AC6402" w:rsidRPr="00FA2996">
        <w:rPr>
          <w:rFonts w:cs="Arial"/>
          <w:i/>
          <w:sz w:val="22"/>
          <w:szCs w:val="22"/>
        </w:rPr>
        <w:t xml:space="preserve">. </w:t>
      </w:r>
      <w:r w:rsidR="00E13E9A">
        <w:rPr>
          <w:rFonts w:cs="Arial"/>
          <w:i/>
          <w:sz w:val="22"/>
          <w:szCs w:val="22"/>
        </w:rPr>
        <w:tab/>
      </w:r>
      <w:r w:rsidR="00AC6402" w:rsidRPr="00FA2996">
        <w:rPr>
          <w:rFonts w:cs="Arial"/>
          <w:i/>
          <w:sz w:val="22"/>
          <w:szCs w:val="22"/>
        </w:rPr>
        <w:t>Subject Follow-up</w:t>
      </w:r>
      <w:r w:rsidR="008C0870" w:rsidRPr="00FA2996">
        <w:rPr>
          <w:rFonts w:cs="Arial"/>
          <w:i/>
          <w:sz w:val="22"/>
          <w:szCs w:val="22"/>
        </w:rPr>
        <w:t>:</w:t>
      </w:r>
    </w:p>
    <w:p w14:paraId="7D6A33C8" w14:textId="77777777" w:rsidR="00C96B5F" w:rsidRPr="00FA2996" w:rsidRDefault="00AE2F23" w:rsidP="00E13E9A">
      <w:pPr>
        <w:pStyle w:val="Heading2"/>
        <w:numPr>
          <w:ilvl w:val="0"/>
          <w:numId w:val="0"/>
        </w:numPr>
        <w:ind w:left="360"/>
        <w:rPr>
          <w:rFonts w:cs="Arial"/>
          <w:b w:val="0"/>
          <w:sz w:val="22"/>
          <w:szCs w:val="22"/>
        </w:rPr>
      </w:pPr>
      <w:r>
        <w:rPr>
          <w:rFonts w:cs="Arial"/>
          <w:b w:val="0"/>
          <w:sz w:val="22"/>
          <w:szCs w:val="22"/>
        </w:rPr>
        <w:t xml:space="preserve">Subjects will be followed for </w:t>
      </w:r>
      <w:r w:rsidR="00733DE9">
        <w:rPr>
          <w:rFonts w:cs="Arial"/>
          <w:b w:val="0"/>
          <w:sz w:val="22"/>
          <w:szCs w:val="22"/>
        </w:rPr>
        <w:t xml:space="preserve">approximately </w:t>
      </w:r>
      <w:r>
        <w:rPr>
          <w:rFonts w:cs="Arial"/>
          <w:b w:val="0"/>
          <w:sz w:val="22"/>
          <w:szCs w:val="22"/>
        </w:rPr>
        <w:t>6-months after enrollment</w:t>
      </w:r>
      <w:r w:rsidR="009B314F" w:rsidRPr="00FA2996">
        <w:rPr>
          <w:rFonts w:cs="Arial"/>
          <w:b w:val="0"/>
          <w:sz w:val="22"/>
          <w:szCs w:val="22"/>
        </w:rPr>
        <w:t xml:space="preserve">. </w:t>
      </w:r>
    </w:p>
    <w:p w14:paraId="6E5177B0" w14:textId="77777777" w:rsidR="00AC6402" w:rsidRPr="00FA2996" w:rsidRDefault="00AC6402" w:rsidP="00FF3C92">
      <w:pPr>
        <w:rPr>
          <w:rFonts w:cs="Arial"/>
          <w:i/>
          <w:szCs w:val="22"/>
        </w:rPr>
      </w:pPr>
    </w:p>
    <w:p w14:paraId="46699AD7" w14:textId="12E8197A" w:rsidR="003B4302" w:rsidRPr="00FA2996" w:rsidRDefault="003B4302" w:rsidP="00FF3C92">
      <w:pPr>
        <w:pStyle w:val="Heading2"/>
        <w:numPr>
          <w:ilvl w:val="0"/>
          <w:numId w:val="0"/>
        </w:numPr>
        <w:rPr>
          <w:rFonts w:cs="Arial"/>
          <w:sz w:val="22"/>
          <w:szCs w:val="22"/>
        </w:rPr>
      </w:pPr>
      <w:r w:rsidRPr="00FA2996">
        <w:rPr>
          <w:rFonts w:cs="Arial"/>
          <w:sz w:val="22"/>
          <w:szCs w:val="22"/>
        </w:rPr>
        <w:t>STUDY PROCEDURES</w:t>
      </w:r>
      <w:r w:rsidR="0068628F">
        <w:rPr>
          <w:rFonts w:cs="Arial"/>
          <w:sz w:val="22"/>
          <w:szCs w:val="22"/>
        </w:rPr>
        <w:t>:</w:t>
      </w:r>
    </w:p>
    <w:p w14:paraId="5C660657" w14:textId="77777777" w:rsidR="008C0870" w:rsidRPr="00FA2996" w:rsidRDefault="008C0870" w:rsidP="00FF3C92">
      <w:pPr>
        <w:rPr>
          <w:rFonts w:cs="Arial"/>
          <w:szCs w:val="22"/>
        </w:rPr>
      </w:pPr>
    </w:p>
    <w:p w14:paraId="510E2872" w14:textId="77777777" w:rsidR="003B4302" w:rsidRPr="00FA2996" w:rsidRDefault="003B4302" w:rsidP="009B45B1">
      <w:pPr>
        <w:ind w:left="360"/>
        <w:rPr>
          <w:rFonts w:cs="Arial"/>
          <w:b/>
          <w:i/>
          <w:szCs w:val="22"/>
        </w:rPr>
      </w:pPr>
      <w:r w:rsidRPr="00FA2996">
        <w:rPr>
          <w:rFonts w:cs="Arial"/>
          <w:b/>
          <w:i/>
          <w:szCs w:val="22"/>
        </w:rPr>
        <w:t>1. Detailed Description</w:t>
      </w:r>
      <w:r w:rsidR="008C0870" w:rsidRPr="00FA2996">
        <w:rPr>
          <w:rFonts w:cs="Arial"/>
          <w:b/>
          <w:i/>
          <w:szCs w:val="22"/>
        </w:rPr>
        <w:t>:</w:t>
      </w:r>
    </w:p>
    <w:p w14:paraId="27328C62" w14:textId="0DFE5EAE" w:rsidR="00E13E9A" w:rsidRDefault="00E13E9A" w:rsidP="00665858">
      <w:pPr>
        <w:ind w:left="360"/>
        <w:rPr>
          <w:rFonts w:cs="Arial"/>
          <w:szCs w:val="22"/>
        </w:rPr>
      </w:pPr>
      <w:r>
        <w:rPr>
          <w:rFonts w:cs="Arial"/>
          <w:szCs w:val="22"/>
        </w:rPr>
        <w:t>Eligible clinicians and patients will be identified using the criteria listed above</w:t>
      </w:r>
      <w:r w:rsidR="00A979B4">
        <w:rPr>
          <w:rFonts w:cs="Arial"/>
          <w:szCs w:val="22"/>
        </w:rPr>
        <w:t xml:space="preserve">, and will be </w:t>
      </w:r>
      <w:r w:rsidRPr="00E13E9A">
        <w:rPr>
          <w:rFonts w:cs="Arial"/>
          <w:szCs w:val="22"/>
        </w:rPr>
        <w:t>independently randomize</w:t>
      </w:r>
      <w:r w:rsidR="00A979B4">
        <w:rPr>
          <w:rFonts w:cs="Arial"/>
          <w:szCs w:val="22"/>
        </w:rPr>
        <w:t>d</w:t>
      </w:r>
      <w:r w:rsidRPr="00E13E9A">
        <w:rPr>
          <w:rFonts w:cs="Arial"/>
          <w:szCs w:val="22"/>
        </w:rPr>
        <w:t xml:space="preserve"> </w:t>
      </w:r>
      <w:r w:rsidR="00A979B4">
        <w:rPr>
          <w:rFonts w:cs="Arial"/>
          <w:szCs w:val="22"/>
        </w:rPr>
        <w:t xml:space="preserve">to study arms </w:t>
      </w:r>
      <w:r w:rsidRPr="00E13E9A">
        <w:rPr>
          <w:rFonts w:cs="Arial"/>
          <w:szCs w:val="22"/>
        </w:rPr>
        <w:t xml:space="preserve">using a 2x2 factorial design. </w:t>
      </w:r>
      <w:r>
        <w:rPr>
          <w:rFonts w:cs="Arial"/>
          <w:szCs w:val="22"/>
        </w:rPr>
        <w:t>Eligible clinicians will be rando</w:t>
      </w:r>
      <w:r w:rsidR="00665858">
        <w:rPr>
          <w:rFonts w:cs="Arial"/>
          <w:szCs w:val="22"/>
        </w:rPr>
        <w:t xml:space="preserve">mized </w:t>
      </w:r>
      <w:r w:rsidR="00665858" w:rsidRPr="00665858">
        <w:rPr>
          <w:rFonts w:cs="Arial"/>
          <w:i/>
          <w:szCs w:val="22"/>
        </w:rPr>
        <w:t>at the start of the study</w:t>
      </w:r>
      <w:r w:rsidR="00665858">
        <w:rPr>
          <w:rFonts w:cs="Arial"/>
          <w:szCs w:val="22"/>
        </w:rPr>
        <w:t xml:space="preserve"> and will receive nudges identifying their high-risk patients with or without peer comparisons for the duration of</w:t>
      </w:r>
      <w:r w:rsidR="008B6C0A">
        <w:rPr>
          <w:rFonts w:cs="Arial"/>
          <w:szCs w:val="22"/>
        </w:rPr>
        <w:t xml:space="preserve"> the study period. </w:t>
      </w:r>
      <w:r>
        <w:rPr>
          <w:rFonts w:cs="Arial"/>
          <w:szCs w:val="22"/>
        </w:rPr>
        <w:t xml:space="preserve">Eligible patients will be randomized </w:t>
      </w:r>
      <w:r w:rsidRPr="00665858">
        <w:rPr>
          <w:rFonts w:cs="Arial"/>
          <w:i/>
          <w:szCs w:val="22"/>
        </w:rPr>
        <w:t xml:space="preserve">in advance of </w:t>
      </w:r>
      <w:r w:rsidR="00665858" w:rsidRPr="00665858">
        <w:rPr>
          <w:rFonts w:cs="Arial"/>
          <w:i/>
          <w:szCs w:val="22"/>
        </w:rPr>
        <w:t>an index outpatient clinical encounter</w:t>
      </w:r>
      <w:r w:rsidR="00665858">
        <w:rPr>
          <w:rFonts w:cs="Arial"/>
          <w:szCs w:val="22"/>
        </w:rPr>
        <w:t xml:space="preserve">, and will accrue to the study </w:t>
      </w:r>
      <w:r w:rsidR="00665858">
        <w:rPr>
          <w:rFonts w:cs="Arial"/>
          <w:szCs w:val="22"/>
        </w:rPr>
        <w:lastRenderedPageBreak/>
        <w:t xml:space="preserve">accordingly. </w:t>
      </w:r>
      <w:r w:rsidR="00EC0BC3">
        <w:rPr>
          <w:rFonts w:cs="Arial"/>
          <w:szCs w:val="22"/>
        </w:rPr>
        <w:t>P</w:t>
      </w:r>
      <w:r w:rsidRPr="00FA2996">
        <w:rPr>
          <w:rFonts w:cs="Arial"/>
          <w:szCs w:val="22"/>
        </w:rPr>
        <w:t xml:space="preserve">atients will be exposed to implementation strategies based on their assigned </w:t>
      </w:r>
      <w:r w:rsidR="00665858">
        <w:rPr>
          <w:rFonts w:cs="Arial"/>
          <w:szCs w:val="22"/>
        </w:rPr>
        <w:t xml:space="preserve">study </w:t>
      </w:r>
      <w:r w:rsidRPr="00FA2996">
        <w:rPr>
          <w:rFonts w:cs="Arial"/>
          <w:szCs w:val="22"/>
        </w:rPr>
        <w:t>arm</w:t>
      </w:r>
      <w:r w:rsidR="003D34ED">
        <w:rPr>
          <w:rFonts w:cs="Arial"/>
          <w:szCs w:val="22"/>
        </w:rPr>
        <w:t>, which will depend on their own randomization and that of their clinician (determined at the time of the index</w:t>
      </w:r>
      <w:r w:rsidR="00665858">
        <w:rPr>
          <w:rFonts w:cs="Arial"/>
          <w:szCs w:val="22"/>
        </w:rPr>
        <w:t xml:space="preserve"> outpatient clinical encounter</w:t>
      </w:r>
      <w:r w:rsidR="003D34ED">
        <w:rPr>
          <w:rFonts w:cs="Arial"/>
          <w:szCs w:val="22"/>
        </w:rPr>
        <w:t>)</w:t>
      </w:r>
      <w:r w:rsidR="00635023">
        <w:rPr>
          <w:rFonts w:cs="Arial"/>
          <w:szCs w:val="22"/>
        </w:rPr>
        <w:t xml:space="preserve">. </w:t>
      </w:r>
      <w:r w:rsidR="008B6C0A">
        <w:rPr>
          <w:rFonts w:cs="Arial"/>
          <w:szCs w:val="22"/>
        </w:rPr>
        <w:t>Physicians will be mapped to advanced practitioners (i.e. physician assistants, nurse practitioners) with whom they work, and vice versa, and this cluster will serve as the clinician unit of analysis and thus will be cluster randomized.</w:t>
      </w:r>
    </w:p>
    <w:p w14:paraId="594065D0" w14:textId="77777777" w:rsidR="007F0711" w:rsidRDefault="007F0711" w:rsidP="009B45B1">
      <w:pPr>
        <w:ind w:left="360"/>
        <w:rPr>
          <w:rFonts w:cs="Arial"/>
          <w:szCs w:val="22"/>
        </w:rPr>
      </w:pPr>
    </w:p>
    <w:p w14:paraId="168ED114" w14:textId="3ED9012F" w:rsidR="0074310D" w:rsidRPr="0074310D" w:rsidRDefault="006E545F" w:rsidP="0074310D">
      <w:pPr>
        <w:ind w:left="360"/>
        <w:rPr>
          <w:rFonts w:cs="Arial"/>
          <w:szCs w:val="22"/>
        </w:rPr>
      </w:pPr>
      <w:r>
        <w:rPr>
          <w:rFonts w:cs="Arial"/>
          <w:i/>
          <w:szCs w:val="22"/>
        </w:rPr>
        <w:t>Nudge</w:t>
      </w:r>
      <w:r w:rsidR="00FA2996" w:rsidRPr="007F0711">
        <w:rPr>
          <w:rFonts w:cs="Arial"/>
          <w:i/>
          <w:szCs w:val="22"/>
        </w:rPr>
        <w:t xml:space="preserve"> to clinician</w:t>
      </w:r>
      <w:r>
        <w:rPr>
          <w:rFonts w:cs="Arial"/>
          <w:i/>
          <w:szCs w:val="22"/>
        </w:rPr>
        <w:t xml:space="preserve"> only</w:t>
      </w:r>
      <w:r w:rsidR="00FA2996" w:rsidRPr="00FA2996">
        <w:rPr>
          <w:rFonts w:cs="Arial"/>
          <w:szCs w:val="22"/>
        </w:rPr>
        <w:t xml:space="preserve">. </w:t>
      </w:r>
      <w:r w:rsidR="00A979B4">
        <w:rPr>
          <w:rFonts w:cs="Arial"/>
          <w:szCs w:val="22"/>
        </w:rPr>
        <w:t xml:space="preserve">The clinician nudge will consist of </w:t>
      </w:r>
      <w:r w:rsidR="00A979B4" w:rsidRPr="00E13E9A">
        <w:rPr>
          <w:rFonts w:cs="Arial"/>
          <w:szCs w:val="22"/>
        </w:rPr>
        <w:t>targeted text messages identifying patients at high risk of</w:t>
      </w:r>
      <w:r w:rsidR="00665858">
        <w:rPr>
          <w:rFonts w:cs="Arial"/>
          <w:szCs w:val="22"/>
        </w:rPr>
        <w:t xml:space="preserve"> predicted</w:t>
      </w:r>
      <w:r w:rsidR="00A979B4" w:rsidRPr="00E13E9A">
        <w:rPr>
          <w:rFonts w:cs="Arial"/>
          <w:szCs w:val="22"/>
        </w:rPr>
        <w:t xml:space="preserve"> 6-month mortality based on a validated machine learning prognostic algorithm</w:t>
      </w:r>
      <w:r w:rsidR="009B45B1">
        <w:rPr>
          <w:rFonts w:cs="Arial"/>
          <w:szCs w:val="22"/>
        </w:rPr>
        <w:t>,</w:t>
      </w:r>
      <w:r w:rsidR="007E1416">
        <w:rPr>
          <w:rFonts w:cs="Arial"/>
          <w:szCs w:val="22"/>
        </w:rPr>
        <w:fldChar w:fldCharType="begin"/>
      </w:r>
      <w:r w:rsidR="00655791">
        <w:rPr>
          <w:rFonts w:cs="Arial"/>
          <w:szCs w:val="22"/>
        </w:rPr>
        <w:instrText xml:space="preserve"> ADDIN ZOTERO_ITEM CSL_CITATION {"citationID":"gH9yRs4j","properties":{"formattedCitation":"\\super 33,34\\nosupersub{}","plainCitation":"33,34","noteIndex":0},"citationItems":[{"id":661,"uris":["http://zotero.org/groups/2464975/items/3ST3TMCK"],"uri":["http://zotero.org/groups/2464975/items/3ST3TMCK"],"itemData":{"id":661,"type":"article-journal","abstract":"Importance: Machine learning algorithms could identify patients with cancer who are at risk of short-term mortality. However, it is unclear how different machine learning algorithms compare and whether they could prompt clinicians to have timely conversations about treatment and end-of-life preferences.\nObjectives: To develop, validate, and compare machine learning algorithms that use structured electronic health record data before a clinic visit to predict mortality among patients with cancer.\nDesign, Setting, and Participants: Cohort study of 26 525 adult patients who had outpatient oncology or hematology/oncology encounters at a large academic cancer center and 10 affiliated community practices between February 1, 2016, and July 1, 2016. Patients were not required to receive cancer-directed treatment. Patients were observed for up to 500 days after the encounter. Data analysis took place between October 1, 2018, and September 1, 2019.\nExposures: Logistic regression, gradient boosting, and random forest algorithms.\nMain Outcomes and Measures: Primary outcome was 180-day mortality from the index encounter; secondary outcome was 500-day mortality from the index encounter.\nResults: Among 26 525 patients in the analysis, 1065 (4.0%) died within 180 days of the index encounter. Among those who died, the mean age was 67.3 (95% CI, 66.5-68.0) years, and 500 (47.0%) were women. Among those who were alive at 180 days, the mean age was 61.3 (95% CI, 61.1-61.5) years, and 15 922 (62.5%) were women. The population was randomly partitioned into training (18 567 [70.0%]) and validation (7958 [30.0%]) cohorts at the patient level, and a randomly selected encounter was included in either the training or validation set. At a prespecified alert rate of 0.02, positive predictive values were higher for the random forest (51.3%) and gradient boosting (49.4%) algorithms compared with the logistic regression algorithm (44.7%). There was no significant difference in discrimination among the random forest (area under the receiver operating characteristic curve [AUC], 0.88; 95% CI, 0.86-0.89), gradient boosting (AUC, 0.87; 95% CI, 0.85-0.89), and logistic regression (AUC, 0.86; 95% CI, 0.84-0.88) models (P for comparison = .02). In the random forest model, observed 180-day mortality was 51.3% (95% CI, 43.6%-58.8%) in the high-risk group vs 3.4% (95% CI, 3.0%-3.8%) in the low-risk group; at 500 days, observed mortality was 64.4% (95% CI, 56.7%-71.4%) in the high-risk group and 7.6% (7.0%-8.2%) in the low-risk group. In a survey of 15 oncology clinicians with a 52.1% response rate, 100 of 171 patients (58.8%) who had been flagged as having high risk by the gradient boosting algorithm were deemed appropriate for a conversation about treatment and end-of-life preferences in the upcoming week.\nConclusions and Relevance: In this cohort study, machine learning algorithms based on structured electronic health record data accurately identified patients with cancer at risk of short-term mortality. When the gradient boosting algorithm was applied in real time, clinicians believed that most patients who had been identified as having high risk were appropriate for a timely conversation about treatment and end-of-life preferences.","container-title":"JAMA network open","DOI":"10.1001/jamanetworkopen.2019.15997","ISSN":"2574-3805","issue":"10","journalAbbreviation":"JAMA Netw Open","language":"eng","note":"PMID: 31651973\nPMCID: PMC6822091","page":"e1915997","source":"PubMed","title":"Machine Learning Approaches to Predict 6-Month Mortality Among Patients With Cancer","volume":"2","author":[{"family":"Parikh","given":"Ravi B."},{"family":"Manz","given":"Christopher"},{"family":"Chivers","given":"Corey"},{"family":"Regli","given":"Susan Harkness"},{"family":"Braun","given":"Jennifer"},{"family":"Draugelis","given":"Michael E."},{"family":"Schuchter","given":"Lynn M."},{"family":"Shulman","given":"Lawrence N."},{"family":"Navathe","given":"Amol S."},{"family":"Patel","given":"Mitesh S."},{"family":"O'Connor","given":"Nina R."}],"issued":{"date-parts":[["2019",10,2]]}}},{"id":2405,"uris":["http://zotero.org/groups/2464975/items/6HSJ9CKW"],"uri":["http://zotero.org/groups/2464975/items/6HSJ9CKW"],"itemData":{"id":2405,"type":"article-journal","container-title":"JAMA Oncology","DOI":"10.1001/jamaoncol.2020.4331","ISSN":"2374-2437","issue":"11","journalAbbreviation":"JAMA Oncol","language":"en","page":"1723","source":"DOI.org (Crossref)","title":"Validation of a Machine Learning Algorithm to Predict 180-Day Mortality for Outpatients With Cancer","volume":"6","author":[{"family":"Manz","given":"Christopher R."},{"family":"Chen","given":"Jinbo"},{"family":"Liu","given":"Manqing"},{"family":"Chivers","given":"Corey"},{"family":"Regli","given":"Susan Harkness"},{"family":"Braun","given":"Jennifer"},{"family":"Draugelis","given":"Michael"},{"family":"Hanson","given":"C. William"},{"family":"Shulman","given":"Lawrence N."},{"family":"Schuchter","given":"Lynn M."},{"family":"O’Connor","given":"Nina"},{"family":"Bekelman","given":"Justin E."},{"family":"Patel","given":"Mitesh S."},{"family":"Parikh","given":"Ravi B."}],"issued":{"date-parts":[["2020",11,1]]}}}],"schema":"https://github.com/citation-style-language/schema/raw/master/csl-citation.json"} </w:instrText>
      </w:r>
      <w:r w:rsidR="007E1416">
        <w:rPr>
          <w:rFonts w:cs="Arial"/>
          <w:szCs w:val="22"/>
        </w:rPr>
        <w:fldChar w:fldCharType="separate"/>
      </w:r>
      <w:r w:rsidR="007E1416" w:rsidRPr="007E1416">
        <w:rPr>
          <w:rFonts w:cs="Arial"/>
          <w:szCs w:val="24"/>
          <w:vertAlign w:val="superscript"/>
        </w:rPr>
        <w:t>33,34</w:t>
      </w:r>
      <w:r w:rsidR="007E1416">
        <w:rPr>
          <w:rFonts w:cs="Arial"/>
          <w:szCs w:val="22"/>
        </w:rPr>
        <w:fldChar w:fldCharType="end"/>
      </w:r>
      <w:r w:rsidR="00A979B4" w:rsidRPr="00E13E9A">
        <w:rPr>
          <w:rFonts w:cs="Arial"/>
          <w:szCs w:val="22"/>
        </w:rPr>
        <w:t xml:space="preserve"> </w:t>
      </w:r>
      <w:r w:rsidR="00665858">
        <w:rPr>
          <w:rFonts w:cs="Arial"/>
          <w:szCs w:val="22"/>
        </w:rPr>
        <w:t>as well as</w:t>
      </w:r>
      <w:r w:rsidR="00A979B4" w:rsidRPr="00E13E9A">
        <w:rPr>
          <w:rFonts w:cs="Arial"/>
          <w:szCs w:val="22"/>
        </w:rPr>
        <w:t xml:space="preserve"> </w:t>
      </w:r>
      <w:r w:rsidR="00665858">
        <w:rPr>
          <w:rFonts w:cs="Arial"/>
          <w:szCs w:val="22"/>
        </w:rPr>
        <w:t xml:space="preserve">SIC documentation </w:t>
      </w:r>
      <w:r w:rsidR="00A979B4" w:rsidRPr="00E13E9A">
        <w:rPr>
          <w:rFonts w:cs="Arial"/>
          <w:szCs w:val="22"/>
        </w:rPr>
        <w:t xml:space="preserve">performance feedback </w:t>
      </w:r>
      <w:r w:rsidR="00026319" w:rsidRPr="00026319">
        <w:rPr>
          <w:rFonts w:cs="Arial"/>
          <w:szCs w:val="22"/>
        </w:rPr>
        <w:t xml:space="preserve">graphically </w:t>
      </w:r>
      <w:r w:rsidR="00A979B4" w:rsidRPr="00E13E9A">
        <w:rPr>
          <w:rFonts w:cs="Arial"/>
          <w:szCs w:val="22"/>
        </w:rPr>
        <w:t>compared to peers (“clinician peer comparison”).</w:t>
      </w:r>
      <w:r w:rsidR="009B45B1">
        <w:rPr>
          <w:rFonts w:cs="Arial"/>
          <w:szCs w:val="22"/>
        </w:rPr>
        <w:t xml:space="preserve"> </w:t>
      </w:r>
      <w:r w:rsidR="00026319" w:rsidRPr="00026319">
        <w:rPr>
          <w:rFonts w:cs="Arial"/>
          <w:szCs w:val="22"/>
        </w:rPr>
        <w:t>The clinician nudge will be deliver</w:t>
      </w:r>
      <w:r w:rsidR="00026319">
        <w:rPr>
          <w:rFonts w:cs="Arial"/>
          <w:szCs w:val="22"/>
        </w:rPr>
        <w:t>ed weekly via email with</w:t>
      </w:r>
      <w:r w:rsidR="00026319" w:rsidRPr="00026319">
        <w:rPr>
          <w:rFonts w:cs="Arial"/>
          <w:szCs w:val="22"/>
        </w:rPr>
        <w:t xml:space="preserve"> text messages sent on the morning(s) before clinic sessions. </w:t>
      </w:r>
      <w:r w:rsidR="0074310D">
        <w:rPr>
          <w:rFonts w:cs="Arial"/>
          <w:szCs w:val="22"/>
        </w:rPr>
        <w:t xml:space="preserve">See </w:t>
      </w:r>
      <w:r w:rsidR="0074310D">
        <w:rPr>
          <w:rFonts w:cs="Arial"/>
          <w:b/>
          <w:szCs w:val="22"/>
        </w:rPr>
        <w:t xml:space="preserve">Appendix </w:t>
      </w:r>
      <w:r w:rsidR="001726E1">
        <w:rPr>
          <w:rFonts w:cs="Arial"/>
          <w:b/>
          <w:szCs w:val="22"/>
        </w:rPr>
        <w:t xml:space="preserve">1. Sample Provider Nudge </w:t>
      </w:r>
      <w:r w:rsidR="0074310D">
        <w:rPr>
          <w:rFonts w:cs="Arial"/>
          <w:szCs w:val="22"/>
        </w:rPr>
        <w:t>for the content of provider nudge email</w:t>
      </w:r>
      <w:r w:rsidR="001726E1">
        <w:rPr>
          <w:rFonts w:cs="Arial"/>
          <w:szCs w:val="22"/>
        </w:rPr>
        <w:t xml:space="preserve"> and text</w:t>
      </w:r>
      <w:r w:rsidR="0074310D">
        <w:rPr>
          <w:rFonts w:cs="Arial"/>
          <w:szCs w:val="22"/>
        </w:rPr>
        <w:t>.</w:t>
      </w:r>
    </w:p>
    <w:p w14:paraId="7FF7B10C" w14:textId="77777777" w:rsidR="007F0711" w:rsidRPr="007F0711" w:rsidRDefault="007F0711" w:rsidP="009B45B1">
      <w:pPr>
        <w:ind w:left="360"/>
        <w:rPr>
          <w:rFonts w:cs="Arial"/>
          <w:szCs w:val="22"/>
        </w:rPr>
      </w:pPr>
    </w:p>
    <w:p w14:paraId="5C500FD2" w14:textId="58360A28" w:rsidR="00FA2996" w:rsidRPr="0074310D" w:rsidRDefault="006E545F" w:rsidP="009B45B1">
      <w:pPr>
        <w:ind w:left="360"/>
        <w:rPr>
          <w:rFonts w:cs="Arial"/>
          <w:szCs w:val="22"/>
        </w:rPr>
      </w:pPr>
      <w:r>
        <w:rPr>
          <w:rFonts w:cs="Arial"/>
          <w:i/>
          <w:szCs w:val="22"/>
        </w:rPr>
        <w:t>Nudge to patient only</w:t>
      </w:r>
      <w:r w:rsidR="00FA2996" w:rsidRPr="00FA2996">
        <w:rPr>
          <w:rFonts w:cs="Arial"/>
          <w:szCs w:val="22"/>
        </w:rPr>
        <w:t xml:space="preserve">. </w:t>
      </w:r>
      <w:r w:rsidR="0074310D">
        <w:rPr>
          <w:rFonts w:cs="Arial"/>
          <w:szCs w:val="22"/>
        </w:rPr>
        <w:t xml:space="preserve">The patient nudge will consist of </w:t>
      </w:r>
      <w:r w:rsidR="00A979B4" w:rsidRPr="00E13E9A">
        <w:rPr>
          <w:rFonts w:cs="Arial"/>
          <w:szCs w:val="22"/>
        </w:rPr>
        <w:t>a normalizing message prompting patients to complete an electronic questionnaire designed to prime patients towards ha</w:t>
      </w:r>
      <w:r w:rsidR="0074310D">
        <w:rPr>
          <w:rFonts w:cs="Arial"/>
          <w:szCs w:val="22"/>
        </w:rPr>
        <w:t xml:space="preserve">ving a SIC (“patient priming”). </w:t>
      </w:r>
      <w:r w:rsidR="00026319" w:rsidRPr="00026319">
        <w:rPr>
          <w:rFonts w:cs="Arial"/>
          <w:szCs w:val="22"/>
        </w:rPr>
        <w:t xml:space="preserve">The nudge will be delivered via text message and email in advance of the index clinical encounter, and will be re-sent a maximum of two times at monthly intervals only for those patients who neither fill out the priming questionnaire nor have a documented SIC during follow-up. Patient-reported data from the priming questionnaire will be shared with clinical teams in real-time. </w:t>
      </w:r>
      <w:r w:rsidR="0074310D">
        <w:rPr>
          <w:rFonts w:cs="Arial"/>
          <w:szCs w:val="22"/>
        </w:rPr>
        <w:t xml:space="preserve">See </w:t>
      </w:r>
      <w:r w:rsidR="0074310D" w:rsidRPr="0074310D">
        <w:rPr>
          <w:rFonts w:cs="Arial"/>
          <w:b/>
          <w:szCs w:val="22"/>
        </w:rPr>
        <w:t xml:space="preserve">Appendix </w:t>
      </w:r>
      <w:r w:rsidR="001726E1">
        <w:rPr>
          <w:rFonts w:cs="Arial"/>
          <w:b/>
          <w:szCs w:val="22"/>
        </w:rPr>
        <w:t xml:space="preserve">2. Sample Patient Nudge </w:t>
      </w:r>
      <w:r w:rsidR="0074310D">
        <w:rPr>
          <w:rFonts w:cs="Arial"/>
          <w:szCs w:val="22"/>
        </w:rPr>
        <w:t>for the content of patient nudge</w:t>
      </w:r>
      <w:r w:rsidR="00544D05">
        <w:rPr>
          <w:rFonts w:cs="Arial"/>
          <w:szCs w:val="22"/>
        </w:rPr>
        <w:t xml:space="preserve"> texts, email, and</w:t>
      </w:r>
      <w:r w:rsidR="0074310D">
        <w:rPr>
          <w:rFonts w:cs="Arial"/>
          <w:szCs w:val="22"/>
        </w:rPr>
        <w:t xml:space="preserve"> electronic questionnaire.</w:t>
      </w:r>
    </w:p>
    <w:p w14:paraId="067BCBE0" w14:textId="77777777" w:rsidR="007F0711" w:rsidRPr="007F0711" w:rsidRDefault="007F0711" w:rsidP="009B45B1">
      <w:pPr>
        <w:ind w:left="360"/>
        <w:rPr>
          <w:rFonts w:cs="Arial"/>
          <w:szCs w:val="22"/>
        </w:rPr>
      </w:pPr>
    </w:p>
    <w:p w14:paraId="56490905" w14:textId="77777777" w:rsidR="00FA2996" w:rsidRPr="007F0711" w:rsidRDefault="006E545F" w:rsidP="009B45B1">
      <w:pPr>
        <w:ind w:left="360"/>
        <w:rPr>
          <w:rFonts w:cs="Arial"/>
          <w:szCs w:val="22"/>
        </w:rPr>
      </w:pPr>
      <w:r>
        <w:rPr>
          <w:rFonts w:cs="Arial"/>
          <w:i/>
          <w:szCs w:val="22"/>
        </w:rPr>
        <w:t>Nudges to both clinician</w:t>
      </w:r>
      <w:r w:rsidR="00FA2996" w:rsidRPr="007F0711">
        <w:rPr>
          <w:rFonts w:cs="Arial"/>
          <w:i/>
          <w:szCs w:val="22"/>
        </w:rPr>
        <w:t xml:space="preserve"> and patient</w:t>
      </w:r>
      <w:r w:rsidR="00FA2996" w:rsidRPr="007F0711">
        <w:rPr>
          <w:rFonts w:cs="Arial"/>
          <w:szCs w:val="22"/>
        </w:rPr>
        <w:t xml:space="preserve">. Both strategies described above will be used. </w:t>
      </w:r>
    </w:p>
    <w:p w14:paraId="4AEBEAF1" w14:textId="77777777" w:rsidR="007F0711" w:rsidRPr="007F0711" w:rsidRDefault="007F0711" w:rsidP="009B45B1">
      <w:pPr>
        <w:ind w:left="360"/>
        <w:rPr>
          <w:rFonts w:cs="Arial"/>
          <w:szCs w:val="22"/>
        </w:rPr>
      </w:pPr>
    </w:p>
    <w:p w14:paraId="57A10F7E" w14:textId="2C3083E3" w:rsidR="0074310D" w:rsidRDefault="00FA2996" w:rsidP="0094267C">
      <w:pPr>
        <w:ind w:left="360"/>
        <w:rPr>
          <w:rFonts w:cs="Arial"/>
          <w:szCs w:val="22"/>
        </w:rPr>
      </w:pPr>
      <w:r w:rsidRPr="007F0711">
        <w:rPr>
          <w:rFonts w:cs="Arial"/>
          <w:i/>
          <w:szCs w:val="22"/>
        </w:rPr>
        <w:t xml:space="preserve">Usual </w:t>
      </w:r>
      <w:r w:rsidR="006E545F">
        <w:rPr>
          <w:rFonts w:cs="Arial"/>
          <w:i/>
          <w:szCs w:val="22"/>
        </w:rPr>
        <w:t>practice</w:t>
      </w:r>
      <w:r w:rsidRPr="007F0711">
        <w:rPr>
          <w:rFonts w:cs="Arial"/>
          <w:szCs w:val="22"/>
        </w:rPr>
        <w:t xml:space="preserve">. </w:t>
      </w:r>
      <w:r w:rsidR="00A979B4">
        <w:rPr>
          <w:rFonts w:cs="Arial"/>
          <w:szCs w:val="22"/>
        </w:rPr>
        <w:t>Usual practice will consist of</w:t>
      </w:r>
      <w:r w:rsidR="0074310D" w:rsidRPr="00DD53A3">
        <w:rPr>
          <w:rFonts w:cs="Arial"/>
          <w:szCs w:val="22"/>
        </w:rPr>
        <w:t xml:space="preserve"> targeted text messages identifying patients at high risk of mortality based on a validated machine learning prognostic algorithm</w:t>
      </w:r>
      <w:r w:rsidR="008B6C0A">
        <w:rPr>
          <w:rFonts w:cs="Arial"/>
          <w:szCs w:val="22"/>
        </w:rPr>
        <w:t xml:space="preserve">, as well as clinician-directed </w:t>
      </w:r>
      <w:r w:rsidR="008B6C0A" w:rsidRPr="00DD53A3">
        <w:rPr>
          <w:rFonts w:cs="Arial"/>
          <w:szCs w:val="22"/>
        </w:rPr>
        <w:t>performance feedback</w:t>
      </w:r>
      <w:r w:rsidR="008B6C0A">
        <w:rPr>
          <w:rFonts w:cs="Arial"/>
          <w:szCs w:val="22"/>
        </w:rPr>
        <w:t xml:space="preserve"> (WITHOUT peer comparison)</w:t>
      </w:r>
      <w:r w:rsidR="00251BF0">
        <w:rPr>
          <w:rFonts w:cs="Arial"/>
          <w:szCs w:val="22"/>
        </w:rPr>
        <w:t>, thereby serving as an active control arm.</w:t>
      </w:r>
    </w:p>
    <w:p w14:paraId="59F4CF62" w14:textId="1FC4C429" w:rsidR="00635023" w:rsidRDefault="00635023" w:rsidP="0094267C">
      <w:pPr>
        <w:ind w:left="360"/>
        <w:rPr>
          <w:rFonts w:cs="Arial"/>
          <w:szCs w:val="22"/>
        </w:rPr>
      </w:pPr>
    </w:p>
    <w:p w14:paraId="4D394319" w14:textId="3C33D8F3" w:rsidR="00635023" w:rsidRDefault="00635023" w:rsidP="00635023">
      <w:pPr>
        <w:ind w:left="360"/>
        <w:rPr>
          <w:rFonts w:cs="Arial"/>
          <w:szCs w:val="22"/>
        </w:rPr>
      </w:pPr>
      <w:r w:rsidRPr="00CA4806">
        <w:rPr>
          <w:rFonts w:cs="Arial"/>
          <w:szCs w:val="22"/>
        </w:rPr>
        <w:t xml:space="preserve">We will use RCA to optimize implementation strategies to ensure face validity and maximum effect. We will focus on optimizing content, messaging, and design. RCA procedures </w:t>
      </w:r>
      <w:r w:rsidR="00251BF0" w:rsidRPr="00CA4806">
        <w:rPr>
          <w:rFonts w:cs="Arial"/>
          <w:szCs w:val="22"/>
        </w:rPr>
        <w:t xml:space="preserve">will </w:t>
      </w:r>
      <w:r w:rsidRPr="00CA4806">
        <w:rPr>
          <w:rFonts w:cs="Arial"/>
          <w:szCs w:val="22"/>
        </w:rPr>
        <w:t>involve design meetings</w:t>
      </w:r>
      <w:r w:rsidR="00034CE2">
        <w:rPr>
          <w:rFonts w:cs="Arial"/>
          <w:szCs w:val="22"/>
        </w:rPr>
        <w:t xml:space="preserve"> with study team</w:t>
      </w:r>
      <w:r w:rsidRPr="00CA4806">
        <w:rPr>
          <w:rFonts w:cs="Arial"/>
          <w:szCs w:val="22"/>
        </w:rPr>
        <w:t>, discussions with administrators and clinicians who are members of our Implementation Lab, as well as piloting of nudges with clinicians and patients to elicit feedback.</w:t>
      </w:r>
      <w:r w:rsidRPr="00635023">
        <w:rPr>
          <w:rFonts w:cs="Arial"/>
          <w:szCs w:val="22"/>
        </w:rPr>
        <w:t xml:space="preserve"> </w:t>
      </w:r>
    </w:p>
    <w:p w14:paraId="58DC3CD9" w14:textId="77777777" w:rsidR="00FA2996" w:rsidRPr="007F0711" w:rsidRDefault="00FA2996" w:rsidP="0074310D">
      <w:pPr>
        <w:rPr>
          <w:rFonts w:cs="Arial"/>
          <w:szCs w:val="22"/>
        </w:rPr>
      </w:pPr>
    </w:p>
    <w:p w14:paraId="14173623" w14:textId="77777777" w:rsidR="007F0711" w:rsidRPr="00A979B4" w:rsidRDefault="003B4302" w:rsidP="009B45B1">
      <w:pPr>
        <w:ind w:left="360"/>
        <w:rPr>
          <w:rFonts w:cs="Arial"/>
          <w:b/>
          <w:i/>
          <w:szCs w:val="22"/>
        </w:rPr>
      </w:pPr>
      <w:r w:rsidRPr="007F0711">
        <w:rPr>
          <w:rFonts w:cs="Arial"/>
          <w:b/>
          <w:i/>
          <w:szCs w:val="22"/>
        </w:rPr>
        <w:t xml:space="preserve">2. </w:t>
      </w:r>
      <w:r w:rsidR="008409F1" w:rsidRPr="007F0711">
        <w:rPr>
          <w:rFonts w:cs="Arial"/>
          <w:b/>
          <w:i/>
          <w:szCs w:val="22"/>
        </w:rPr>
        <w:t>Data Collection</w:t>
      </w:r>
      <w:r w:rsidR="008C0870" w:rsidRPr="007F0711">
        <w:rPr>
          <w:rFonts w:cs="Arial"/>
          <w:b/>
          <w:i/>
          <w:szCs w:val="22"/>
        </w:rPr>
        <w:t>:</w:t>
      </w:r>
    </w:p>
    <w:p w14:paraId="5984A65E" w14:textId="669982D3" w:rsidR="00621235" w:rsidRDefault="00A979B4" w:rsidP="009B45B1">
      <w:pPr>
        <w:ind w:left="360"/>
        <w:rPr>
          <w:rFonts w:cs="Arial"/>
          <w:szCs w:val="22"/>
        </w:rPr>
      </w:pPr>
      <w:r>
        <w:rPr>
          <w:rFonts w:cs="Arial"/>
          <w:szCs w:val="22"/>
        </w:rPr>
        <w:t xml:space="preserve">The electronic medical record </w:t>
      </w:r>
      <w:r w:rsidR="007F0711" w:rsidRPr="007F0711">
        <w:rPr>
          <w:rFonts w:cs="Arial"/>
          <w:szCs w:val="22"/>
        </w:rPr>
        <w:t xml:space="preserve">and other Penn Medicine secondary databases will be used to collect information on practices, clinicians, and patients. These systems collect this information </w:t>
      </w:r>
      <w:r w:rsidR="0094267C">
        <w:rPr>
          <w:rFonts w:cs="Arial"/>
          <w:szCs w:val="22"/>
        </w:rPr>
        <w:t xml:space="preserve">as part of </w:t>
      </w:r>
      <w:r w:rsidR="00EC0BC3">
        <w:rPr>
          <w:rFonts w:cs="Arial"/>
          <w:szCs w:val="22"/>
        </w:rPr>
        <w:t xml:space="preserve">routine </w:t>
      </w:r>
      <w:r w:rsidR="0094267C">
        <w:rPr>
          <w:rFonts w:cs="Arial"/>
          <w:szCs w:val="22"/>
        </w:rPr>
        <w:t xml:space="preserve">clinical </w:t>
      </w:r>
      <w:r w:rsidR="007F0711" w:rsidRPr="007F0711">
        <w:rPr>
          <w:rFonts w:cs="Arial"/>
          <w:szCs w:val="22"/>
        </w:rPr>
        <w:t xml:space="preserve">care. We will also collect data from the </w:t>
      </w:r>
      <w:r w:rsidR="0094267C">
        <w:rPr>
          <w:rFonts w:cs="Arial"/>
          <w:szCs w:val="22"/>
        </w:rPr>
        <w:t>U.S. C</w:t>
      </w:r>
      <w:r w:rsidR="007F0711" w:rsidRPr="007F0711">
        <w:rPr>
          <w:rFonts w:cs="Arial"/>
          <w:szCs w:val="22"/>
        </w:rPr>
        <w:t xml:space="preserve">ensus via publicly available datasets. </w:t>
      </w:r>
    </w:p>
    <w:p w14:paraId="2A3CB545" w14:textId="7602CFA9" w:rsidR="00251BF0" w:rsidRDefault="00251BF0" w:rsidP="009B45B1">
      <w:pPr>
        <w:ind w:left="360"/>
        <w:rPr>
          <w:rFonts w:cs="Arial"/>
          <w:szCs w:val="22"/>
        </w:rPr>
      </w:pPr>
    </w:p>
    <w:p w14:paraId="50EF5331" w14:textId="13483A12" w:rsidR="007F0711" w:rsidRPr="007F0711" w:rsidRDefault="00251BF0" w:rsidP="00251BF0">
      <w:pPr>
        <w:ind w:left="360"/>
        <w:rPr>
          <w:rFonts w:cs="Arial"/>
          <w:szCs w:val="22"/>
        </w:rPr>
      </w:pPr>
      <w:r w:rsidRPr="00CA4806">
        <w:rPr>
          <w:rFonts w:cs="Arial"/>
          <w:b/>
          <w:i/>
          <w:szCs w:val="22"/>
        </w:rPr>
        <w:t>Aim 1</w:t>
      </w:r>
    </w:p>
    <w:p w14:paraId="08575FFD" w14:textId="77777777" w:rsidR="003D34ED" w:rsidRPr="00733DE9" w:rsidRDefault="0094267C" w:rsidP="00733DE9">
      <w:pPr>
        <w:ind w:left="360"/>
        <w:rPr>
          <w:rFonts w:cs="Arial"/>
          <w:szCs w:val="22"/>
        </w:rPr>
      </w:pPr>
      <w:r w:rsidRPr="00934EAA">
        <w:rPr>
          <w:rFonts w:cs="Arial"/>
          <w:szCs w:val="22"/>
        </w:rPr>
        <w:t xml:space="preserve">The </w:t>
      </w:r>
      <w:r w:rsidRPr="00934EAA">
        <w:rPr>
          <w:rFonts w:cs="Arial"/>
          <w:szCs w:val="22"/>
          <w:u w:val="single"/>
        </w:rPr>
        <w:t>primary outcome</w:t>
      </w:r>
      <w:r w:rsidR="003D34ED" w:rsidRPr="00934EAA">
        <w:rPr>
          <w:rFonts w:cs="Arial"/>
          <w:szCs w:val="22"/>
        </w:rPr>
        <w:t xml:space="preserve"> </w:t>
      </w:r>
      <w:r w:rsidR="00AE2F23" w:rsidRPr="00934EAA">
        <w:rPr>
          <w:rFonts w:cs="Arial"/>
          <w:szCs w:val="22"/>
        </w:rPr>
        <w:t xml:space="preserve">is SIC </w:t>
      </w:r>
      <w:r w:rsidR="00733DE9" w:rsidRPr="00934EAA">
        <w:rPr>
          <w:rFonts w:cs="Arial"/>
          <w:szCs w:val="22"/>
        </w:rPr>
        <w:t xml:space="preserve">documentation among high-risk patients. </w:t>
      </w:r>
      <w:r w:rsidR="00797E3C" w:rsidRPr="00934EAA">
        <w:rPr>
          <w:rFonts w:cs="Arial"/>
          <w:szCs w:val="22"/>
        </w:rPr>
        <w:t xml:space="preserve">This will be measured at the patient level as a binary outcome, ascertained over the 6-month period following the index outpatient clinical encounter. </w:t>
      </w:r>
      <w:r w:rsidR="00C354EB" w:rsidRPr="00934EAA">
        <w:rPr>
          <w:rFonts w:cs="Arial"/>
          <w:szCs w:val="22"/>
        </w:rPr>
        <w:t>The electronic medical record has an Advanced Care Planning (ACP) section in which ACP notes are documented. Any note documented in this section will be classified as an ACP</w:t>
      </w:r>
      <w:r w:rsidR="00797E3C" w:rsidRPr="00934EAA">
        <w:rPr>
          <w:rFonts w:cs="Arial"/>
          <w:szCs w:val="22"/>
        </w:rPr>
        <w:t>, and only t</w:t>
      </w:r>
      <w:r w:rsidR="00C354EB" w:rsidRPr="00934EAA">
        <w:rPr>
          <w:rFonts w:cs="Arial"/>
          <w:szCs w:val="22"/>
        </w:rPr>
        <w:t>he subset of notes that include a preformatted SIC template will be classified a</w:t>
      </w:r>
      <w:r w:rsidR="00797E3C" w:rsidRPr="00934EAA">
        <w:rPr>
          <w:rFonts w:cs="Arial"/>
          <w:szCs w:val="22"/>
        </w:rPr>
        <w:t>s a</w:t>
      </w:r>
      <w:r w:rsidR="00C354EB" w:rsidRPr="00934EAA">
        <w:rPr>
          <w:rFonts w:cs="Arial"/>
          <w:szCs w:val="22"/>
        </w:rPr>
        <w:t xml:space="preserve"> SIC.</w:t>
      </w:r>
      <w:r w:rsidR="00C354EB" w:rsidRPr="00733DE9">
        <w:rPr>
          <w:rFonts w:cs="Arial"/>
          <w:szCs w:val="22"/>
        </w:rPr>
        <w:t xml:space="preserve"> </w:t>
      </w:r>
    </w:p>
    <w:p w14:paraId="1B0A1094" w14:textId="77777777" w:rsidR="007F6A31" w:rsidRPr="007F6A31" w:rsidRDefault="007F6A31" w:rsidP="007F6A31">
      <w:pPr>
        <w:pStyle w:val="ListParagraph"/>
        <w:ind w:left="1080"/>
        <w:rPr>
          <w:rFonts w:cs="Arial"/>
          <w:szCs w:val="22"/>
        </w:rPr>
      </w:pPr>
    </w:p>
    <w:p w14:paraId="6C2AC2EC" w14:textId="77777777" w:rsidR="00797E3C" w:rsidRDefault="0094267C" w:rsidP="0094267C">
      <w:pPr>
        <w:ind w:left="360"/>
        <w:rPr>
          <w:rFonts w:cs="Arial"/>
          <w:szCs w:val="22"/>
        </w:rPr>
      </w:pPr>
      <w:r w:rsidRPr="00F54398">
        <w:rPr>
          <w:rFonts w:cs="Arial"/>
          <w:szCs w:val="22"/>
        </w:rPr>
        <w:t xml:space="preserve">The </w:t>
      </w:r>
      <w:r w:rsidRPr="00F54398">
        <w:rPr>
          <w:rFonts w:cs="Arial"/>
          <w:szCs w:val="22"/>
          <w:u w:val="single"/>
        </w:rPr>
        <w:t>secondary outcomes</w:t>
      </w:r>
      <w:r w:rsidRPr="00F54398">
        <w:rPr>
          <w:rFonts w:cs="Arial"/>
          <w:szCs w:val="22"/>
        </w:rPr>
        <w:t xml:space="preserve"> </w:t>
      </w:r>
      <w:r w:rsidR="00797E3C" w:rsidRPr="00F54398">
        <w:rPr>
          <w:rFonts w:cs="Arial"/>
          <w:szCs w:val="22"/>
        </w:rPr>
        <w:t>will each be measured at the patient level as a binary outcome, ascertained over the 6-month period following the index outpatient clinical encounter</w:t>
      </w:r>
      <w:r w:rsidR="00A13B7E" w:rsidRPr="00F54398">
        <w:rPr>
          <w:rFonts w:cs="Arial"/>
          <w:szCs w:val="22"/>
        </w:rPr>
        <w:t>:</w:t>
      </w:r>
    </w:p>
    <w:p w14:paraId="3F84CAAD" w14:textId="77777777" w:rsidR="00797E3C" w:rsidRDefault="00797E3C" w:rsidP="00797E3C">
      <w:pPr>
        <w:pStyle w:val="Header"/>
        <w:numPr>
          <w:ilvl w:val="0"/>
          <w:numId w:val="38"/>
        </w:numPr>
        <w:rPr>
          <w:rFonts w:cs="Arial"/>
          <w:szCs w:val="22"/>
        </w:rPr>
      </w:pPr>
      <w:r>
        <w:rPr>
          <w:rFonts w:cs="Arial"/>
          <w:szCs w:val="22"/>
        </w:rPr>
        <w:t>SIC documentation, among all patients</w:t>
      </w:r>
    </w:p>
    <w:p w14:paraId="64601AE6" w14:textId="77777777" w:rsidR="00797E3C" w:rsidRDefault="00797E3C" w:rsidP="00797E3C">
      <w:pPr>
        <w:pStyle w:val="Header"/>
        <w:numPr>
          <w:ilvl w:val="0"/>
          <w:numId w:val="38"/>
        </w:numPr>
        <w:rPr>
          <w:rFonts w:cs="Arial"/>
          <w:szCs w:val="22"/>
        </w:rPr>
      </w:pPr>
      <w:r>
        <w:rPr>
          <w:rFonts w:cs="Arial"/>
          <w:szCs w:val="22"/>
        </w:rPr>
        <w:t>Palliative care referral, among high-risk patients</w:t>
      </w:r>
    </w:p>
    <w:p w14:paraId="55F4D167" w14:textId="6C8F7601" w:rsidR="0094267C" w:rsidRPr="00797E3C" w:rsidRDefault="00797E3C" w:rsidP="00797E3C">
      <w:pPr>
        <w:pStyle w:val="Header"/>
        <w:numPr>
          <w:ilvl w:val="0"/>
          <w:numId w:val="38"/>
        </w:numPr>
        <w:rPr>
          <w:rFonts w:cs="Arial"/>
          <w:szCs w:val="22"/>
        </w:rPr>
      </w:pPr>
      <w:r>
        <w:rPr>
          <w:rFonts w:cs="Arial"/>
          <w:szCs w:val="22"/>
        </w:rPr>
        <w:lastRenderedPageBreak/>
        <w:t>Aggressive end</w:t>
      </w:r>
      <w:r w:rsidR="00733DE9">
        <w:rPr>
          <w:rFonts w:cs="Arial"/>
          <w:szCs w:val="22"/>
        </w:rPr>
        <w:t>-</w:t>
      </w:r>
      <w:r>
        <w:rPr>
          <w:rFonts w:cs="Arial"/>
          <w:szCs w:val="22"/>
        </w:rPr>
        <w:t>of</w:t>
      </w:r>
      <w:r w:rsidR="00733DE9">
        <w:rPr>
          <w:rFonts w:cs="Arial"/>
          <w:szCs w:val="22"/>
        </w:rPr>
        <w:t>-</w:t>
      </w:r>
      <w:r>
        <w:rPr>
          <w:rFonts w:cs="Arial"/>
          <w:szCs w:val="22"/>
        </w:rPr>
        <w:t>life care (</w:t>
      </w:r>
      <w:r w:rsidRPr="00AB4A74">
        <w:rPr>
          <w:rFonts w:cs="Arial"/>
          <w:szCs w:val="22"/>
        </w:rPr>
        <w:t xml:space="preserve">any of the following three criteria: chemotherapy within 14 days before death, </w:t>
      </w:r>
      <w:r>
        <w:rPr>
          <w:rFonts w:cs="Arial"/>
          <w:szCs w:val="22"/>
        </w:rPr>
        <w:t xml:space="preserve">hospitalization within 30 days before death, or </w:t>
      </w:r>
      <w:r w:rsidRPr="00AB4A74">
        <w:rPr>
          <w:rFonts w:cs="Arial"/>
          <w:szCs w:val="22"/>
        </w:rPr>
        <w:t>admission to hospice 3 days or less before death</w:t>
      </w:r>
      <w:r>
        <w:rPr>
          <w:rFonts w:cs="Arial"/>
          <w:szCs w:val="22"/>
        </w:rPr>
        <w:t>), among high-risk patients</w:t>
      </w:r>
      <w:r w:rsidR="0094267C" w:rsidRPr="00797E3C">
        <w:rPr>
          <w:rFonts w:cs="Arial"/>
          <w:szCs w:val="22"/>
        </w:rPr>
        <w:t xml:space="preserve"> </w:t>
      </w:r>
      <w:r w:rsidR="00251BF0">
        <w:rPr>
          <w:rFonts w:cs="Arial"/>
          <w:szCs w:val="22"/>
        </w:rPr>
        <w:t>who die</w:t>
      </w:r>
    </w:p>
    <w:p w14:paraId="2C12532E" w14:textId="77777777" w:rsidR="0094267C" w:rsidRDefault="0094267C" w:rsidP="0094267C">
      <w:pPr>
        <w:ind w:left="360"/>
        <w:rPr>
          <w:rFonts w:cs="Arial"/>
          <w:szCs w:val="22"/>
        </w:rPr>
      </w:pPr>
    </w:p>
    <w:p w14:paraId="5A9B0711" w14:textId="48BB9ECB" w:rsidR="00251BF0" w:rsidRPr="00CA4806" w:rsidRDefault="00251BF0" w:rsidP="00251BF0">
      <w:pPr>
        <w:ind w:left="360"/>
        <w:rPr>
          <w:rFonts w:cs="Arial"/>
          <w:b/>
          <w:i/>
          <w:szCs w:val="22"/>
        </w:rPr>
      </w:pPr>
      <w:r w:rsidRPr="00CA4806">
        <w:rPr>
          <w:rFonts w:cs="Arial"/>
          <w:b/>
          <w:i/>
          <w:szCs w:val="22"/>
        </w:rPr>
        <w:t>Aim 2</w:t>
      </w:r>
    </w:p>
    <w:p w14:paraId="560DE1BA" w14:textId="5793C28A" w:rsidR="00EC0BC3" w:rsidRDefault="0074310D" w:rsidP="0094267C">
      <w:pPr>
        <w:ind w:left="360"/>
        <w:rPr>
          <w:rFonts w:cs="Arial"/>
          <w:szCs w:val="22"/>
        </w:rPr>
      </w:pPr>
      <w:r w:rsidRPr="0094267C">
        <w:rPr>
          <w:rFonts w:cs="Arial"/>
          <w:szCs w:val="22"/>
        </w:rPr>
        <w:t xml:space="preserve">Aim 2 measures, collected through the </w:t>
      </w:r>
      <w:r w:rsidR="0094267C" w:rsidRPr="0094267C">
        <w:rPr>
          <w:rFonts w:cs="Arial"/>
          <w:szCs w:val="22"/>
        </w:rPr>
        <w:t>electronic medical record</w:t>
      </w:r>
      <w:r w:rsidRPr="0094267C">
        <w:rPr>
          <w:rFonts w:cs="Arial"/>
          <w:szCs w:val="22"/>
        </w:rPr>
        <w:t xml:space="preserve"> and </w:t>
      </w:r>
      <w:r w:rsidR="002A32AF">
        <w:rPr>
          <w:rFonts w:cs="Arial"/>
          <w:szCs w:val="22"/>
        </w:rPr>
        <w:t xml:space="preserve">using publically available U.S. </w:t>
      </w:r>
      <w:r w:rsidRPr="0094267C">
        <w:rPr>
          <w:rFonts w:cs="Arial"/>
          <w:szCs w:val="22"/>
        </w:rPr>
        <w:t>Census</w:t>
      </w:r>
      <w:r w:rsidR="002A32AF">
        <w:rPr>
          <w:rFonts w:cs="Arial"/>
          <w:szCs w:val="22"/>
        </w:rPr>
        <w:t xml:space="preserve"> data</w:t>
      </w:r>
      <w:r w:rsidRPr="0094267C">
        <w:rPr>
          <w:rFonts w:cs="Arial"/>
          <w:szCs w:val="22"/>
        </w:rPr>
        <w:t xml:space="preserve">, </w:t>
      </w:r>
      <w:r w:rsidR="00A13B7E">
        <w:rPr>
          <w:rFonts w:cs="Arial"/>
          <w:szCs w:val="22"/>
        </w:rPr>
        <w:t xml:space="preserve">will </w:t>
      </w:r>
      <w:r w:rsidRPr="0094267C">
        <w:rPr>
          <w:rFonts w:cs="Arial"/>
          <w:szCs w:val="22"/>
        </w:rPr>
        <w:t xml:space="preserve">include: </w:t>
      </w:r>
    </w:p>
    <w:p w14:paraId="6D998A7D" w14:textId="77777777" w:rsidR="00EC0BC3" w:rsidRPr="00EC0BC3" w:rsidRDefault="00EC0BC3" w:rsidP="00EC0BC3">
      <w:pPr>
        <w:pStyle w:val="ListParagraph"/>
        <w:numPr>
          <w:ilvl w:val="0"/>
          <w:numId w:val="34"/>
        </w:numPr>
        <w:rPr>
          <w:rFonts w:cs="Arial"/>
          <w:szCs w:val="22"/>
        </w:rPr>
      </w:pPr>
      <w:r>
        <w:rPr>
          <w:rFonts w:cs="Arial"/>
          <w:i/>
          <w:szCs w:val="22"/>
        </w:rPr>
        <w:t>P</w:t>
      </w:r>
      <w:r w:rsidR="0074310D" w:rsidRPr="00EC0BC3">
        <w:rPr>
          <w:rFonts w:cs="Arial"/>
          <w:i/>
          <w:szCs w:val="22"/>
        </w:rPr>
        <w:t>atient-level data</w:t>
      </w:r>
      <w:r w:rsidR="0074310D" w:rsidRPr="00EC0BC3">
        <w:rPr>
          <w:rFonts w:cs="Arial"/>
          <w:szCs w:val="22"/>
        </w:rPr>
        <w:t xml:space="preserve">: age, sex, </w:t>
      </w:r>
      <w:r w:rsidR="002A32AF">
        <w:rPr>
          <w:rFonts w:cs="Arial"/>
          <w:szCs w:val="22"/>
        </w:rPr>
        <w:t>race/ethnicity, cancer type, cancer stage</w:t>
      </w:r>
      <w:r w:rsidR="0074310D" w:rsidRPr="00EC0BC3">
        <w:rPr>
          <w:rFonts w:cs="Arial"/>
          <w:szCs w:val="22"/>
        </w:rPr>
        <w:t>, health insura</w:t>
      </w:r>
      <w:r w:rsidR="002A32AF">
        <w:rPr>
          <w:rFonts w:cs="Arial"/>
          <w:szCs w:val="22"/>
        </w:rPr>
        <w:t>nce (e.g., Medicare, Medicaid, c</w:t>
      </w:r>
      <w:r w:rsidR="0074310D" w:rsidRPr="00EC0BC3">
        <w:rPr>
          <w:rFonts w:cs="Arial"/>
          <w:szCs w:val="22"/>
        </w:rPr>
        <w:t xml:space="preserve">ommercial); </w:t>
      </w:r>
    </w:p>
    <w:p w14:paraId="3662C928" w14:textId="77777777" w:rsidR="00EC0BC3" w:rsidRPr="00EC0BC3" w:rsidRDefault="00EC0BC3" w:rsidP="00EC0BC3">
      <w:pPr>
        <w:pStyle w:val="ListParagraph"/>
        <w:numPr>
          <w:ilvl w:val="0"/>
          <w:numId w:val="34"/>
        </w:numPr>
        <w:rPr>
          <w:rFonts w:cs="Arial"/>
          <w:szCs w:val="22"/>
        </w:rPr>
      </w:pPr>
      <w:r>
        <w:rPr>
          <w:rFonts w:cs="Arial"/>
          <w:i/>
          <w:szCs w:val="22"/>
        </w:rPr>
        <w:t>C</w:t>
      </w:r>
      <w:r w:rsidR="0074310D" w:rsidRPr="00EC0BC3">
        <w:rPr>
          <w:rFonts w:cs="Arial"/>
          <w:i/>
          <w:szCs w:val="22"/>
        </w:rPr>
        <w:t>linician-level data</w:t>
      </w:r>
      <w:r w:rsidR="0074310D" w:rsidRPr="00EC0BC3">
        <w:rPr>
          <w:rFonts w:cs="Arial"/>
          <w:szCs w:val="22"/>
        </w:rPr>
        <w:t xml:space="preserve">: years in practice and patient panel size; </w:t>
      </w:r>
    </w:p>
    <w:p w14:paraId="06CBE52B" w14:textId="77777777" w:rsidR="00EC0BC3" w:rsidRPr="00EC0BC3" w:rsidRDefault="00EC0BC3" w:rsidP="00EC0BC3">
      <w:pPr>
        <w:pStyle w:val="ListParagraph"/>
        <w:numPr>
          <w:ilvl w:val="0"/>
          <w:numId w:val="34"/>
        </w:numPr>
        <w:rPr>
          <w:rFonts w:cs="Arial"/>
          <w:szCs w:val="22"/>
        </w:rPr>
      </w:pPr>
      <w:r>
        <w:rPr>
          <w:rFonts w:cs="Arial"/>
          <w:i/>
          <w:szCs w:val="22"/>
        </w:rPr>
        <w:t>P</w:t>
      </w:r>
      <w:r w:rsidR="0074310D" w:rsidRPr="00EC0BC3">
        <w:rPr>
          <w:rFonts w:cs="Arial"/>
          <w:i/>
          <w:szCs w:val="22"/>
        </w:rPr>
        <w:t>ractice-level data</w:t>
      </w:r>
      <w:r w:rsidR="0074310D" w:rsidRPr="00EC0BC3">
        <w:rPr>
          <w:rFonts w:cs="Arial"/>
          <w:szCs w:val="22"/>
        </w:rPr>
        <w:t xml:space="preserve">: setting (community vs. hospital-based), urban vs. non-urban location, and health insurance mix; </w:t>
      </w:r>
    </w:p>
    <w:p w14:paraId="79ABF892" w14:textId="4A9E23D1" w:rsidR="0054444A" w:rsidRDefault="00EC0BC3" w:rsidP="002455AE">
      <w:pPr>
        <w:pStyle w:val="ListParagraph"/>
        <w:numPr>
          <w:ilvl w:val="0"/>
          <w:numId w:val="34"/>
        </w:numPr>
        <w:rPr>
          <w:rFonts w:cs="Arial"/>
          <w:szCs w:val="22"/>
        </w:rPr>
      </w:pPr>
      <w:r>
        <w:rPr>
          <w:rFonts w:cs="Arial"/>
          <w:i/>
          <w:szCs w:val="22"/>
        </w:rPr>
        <w:t>E</w:t>
      </w:r>
      <w:r w:rsidR="0074310D" w:rsidRPr="00EC0BC3">
        <w:rPr>
          <w:rFonts w:cs="Arial"/>
          <w:i/>
          <w:szCs w:val="22"/>
        </w:rPr>
        <w:t>cologic-level data</w:t>
      </w:r>
      <w:r w:rsidR="0074310D" w:rsidRPr="00EC0BC3">
        <w:rPr>
          <w:rFonts w:cs="Arial"/>
          <w:szCs w:val="22"/>
        </w:rPr>
        <w:t xml:space="preserve"> linked at the patient- and practice-level, including median income and educational attainment. </w:t>
      </w:r>
    </w:p>
    <w:p w14:paraId="7FD08417" w14:textId="34249AF1" w:rsidR="007F0711" w:rsidRPr="00C8273B" w:rsidRDefault="007F0711" w:rsidP="009B45B1">
      <w:pPr>
        <w:ind w:left="360"/>
        <w:rPr>
          <w:rFonts w:cs="Arial"/>
          <w:szCs w:val="22"/>
        </w:rPr>
      </w:pPr>
    </w:p>
    <w:p w14:paraId="7D685B8A" w14:textId="77777777" w:rsidR="003B4302" w:rsidRPr="00C8273B" w:rsidRDefault="003B4302" w:rsidP="009B45B1">
      <w:pPr>
        <w:pStyle w:val="Header"/>
        <w:tabs>
          <w:tab w:val="clear" w:pos="4320"/>
          <w:tab w:val="clear" w:pos="8640"/>
        </w:tabs>
        <w:ind w:left="360"/>
        <w:rPr>
          <w:rFonts w:cs="Arial"/>
          <w:b/>
          <w:i/>
          <w:szCs w:val="22"/>
        </w:rPr>
      </w:pPr>
      <w:r w:rsidRPr="00C8273B">
        <w:rPr>
          <w:rFonts w:cs="Arial"/>
          <w:b/>
          <w:i/>
          <w:szCs w:val="22"/>
        </w:rPr>
        <w:t>3. Genetic Testing</w:t>
      </w:r>
      <w:r w:rsidR="008C0870" w:rsidRPr="00C8273B">
        <w:rPr>
          <w:rFonts w:cs="Arial"/>
          <w:b/>
          <w:i/>
          <w:szCs w:val="22"/>
        </w:rPr>
        <w:t>:</w:t>
      </w:r>
    </w:p>
    <w:p w14:paraId="278CC0A2" w14:textId="77777777" w:rsidR="00621235" w:rsidRPr="00C8273B" w:rsidRDefault="00CD0501" w:rsidP="009B45B1">
      <w:pPr>
        <w:pStyle w:val="BodyText3"/>
        <w:ind w:left="360"/>
        <w:rPr>
          <w:rFonts w:cs="Arial"/>
          <w:color w:val="auto"/>
          <w:szCs w:val="22"/>
        </w:rPr>
      </w:pPr>
      <w:r>
        <w:rPr>
          <w:rFonts w:cs="Arial"/>
          <w:color w:val="auto"/>
          <w:szCs w:val="22"/>
        </w:rPr>
        <w:t>Not applicable</w:t>
      </w:r>
    </w:p>
    <w:p w14:paraId="5DC6D84C" w14:textId="77777777" w:rsidR="00BB0FE5" w:rsidRPr="00C8273B" w:rsidRDefault="00BB0FE5" w:rsidP="009B45B1">
      <w:pPr>
        <w:ind w:left="360"/>
        <w:rPr>
          <w:rFonts w:cs="Arial"/>
          <w:i/>
          <w:szCs w:val="22"/>
        </w:rPr>
      </w:pPr>
    </w:p>
    <w:p w14:paraId="3064C675" w14:textId="77777777" w:rsidR="000453F8" w:rsidRPr="00C8273B" w:rsidRDefault="000453F8" w:rsidP="009B45B1">
      <w:pPr>
        <w:pStyle w:val="BodyText3"/>
        <w:ind w:left="360"/>
        <w:rPr>
          <w:rFonts w:cs="Arial"/>
          <w:b/>
          <w:i/>
          <w:color w:val="auto"/>
          <w:szCs w:val="22"/>
        </w:rPr>
      </w:pPr>
      <w:r w:rsidRPr="00C8273B">
        <w:rPr>
          <w:rFonts w:cs="Arial"/>
          <w:b/>
          <w:i/>
          <w:color w:val="auto"/>
          <w:szCs w:val="22"/>
        </w:rPr>
        <w:t>4. Use of Deception:</w:t>
      </w:r>
    </w:p>
    <w:p w14:paraId="251E5118" w14:textId="77777777" w:rsidR="00CD0501" w:rsidRPr="00C8273B" w:rsidRDefault="00CD0501" w:rsidP="009B45B1">
      <w:pPr>
        <w:pStyle w:val="BodyText3"/>
        <w:ind w:left="360"/>
        <w:rPr>
          <w:rFonts w:cs="Arial"/>
          <w:color w:val="auto"/>
          <w:szCs w:val="22"/>
        </w:rPr>
      </w:pPr>
      <w:r>
        <w:rPr>
          <w:rFonts w:cs="Arial"/>
          <w:color w:val="auto"/>
          <w:szCs w:val="22"/>
        </w:rPr>
        <w:t>Not applicable</w:t>
      </w:r>
    </w:p>
    <w:p w14:paraId="1719D05A" w14:textId="77777777" w:rsidR="000453F8" w:rsidRPr="00C8273B" w:rsidRDefault="000453F8" w:rsidP="009B45B1">
      <w:pPr>
        <w:pStyle w:val="BodyText3"/>
        <w:ind w:left="360"/>
        <w:rPr>
          <w:rFonts w:cs="Arial"/>
          <w:b/>
          <w:i/>
          <w:color w:val="auto"/>
          <w:szCs w:val="22"/>
        </w:rPr>
      </w:pPr>
    </w:p>
    <w:p w14:paraId="545ABCE0" w14:textId="77777777" w:rsidR="00C354EB" w:rsidRDefault="000453F8" w:rsidP="001D7195">
      <w:pPr>
        <w:pStyle w:val="BodyText3"/>
        <w:ind w:left="360"/>
        <w:rPr>
          <w:rFonts w:cs="Arial"/>
          <w:b/>
          <w:i/>
          <w:color w:val="auto"/>
          <w:szCs w:val="22"/>
        </w:rPr>
      </w:pPr>
      <w:r w:rsidRPr="00C8273B">
        <w:rPr>
          <w:rFonts w:cs="Arial"/>
          <w:b/>
          <w:i/>
          <w:color w:val="auto"/>
          <w:szCs w:val="22"/>
        </w:rPr>
        <w:t>5</w:t>
      </w:r>
      <w:r w:rsidR="00AC6402" w:rsidRPr="00C8273B">
        <w:rPr>
          <w:rFonts w:cs="Arial"/>
          <w:b/>
          <w:i/>
          <w:color w:val="auto"/>
          <w:szCs w:val="22"/>
        </w:rPr>
        <w:t>. Statistical Analysis</w:t>
      </w:r>
      <w:r w:rsidR="008C0870" w:rsidRPr="00C8273B">
        <w:rPr>
          <w:rFonts w:cs="Arial"/>
          <w:b/>
          <w:i/>
          <w:color w:val="auto"/>
          <w:szCs w:val="22"/>
        </w:rPr>
        <w:t>:</w:t>
      </w:r>
    </w:p>
    <w:p w14:paraId="380CAF59" w14:textId="77777777" w:rsidR="002A32AF" w:rsidRDefault="002A32AF" w:rsidP="001D7195">
      <w:pPr>
        <w:pStyle w:val="BodyText3"/>
        <w:ind w:left="360"/>
        <w:rPr>
          <w:rFonts w:cs="Arial"/>
          <w:b/>
          <w:i/>
          <w:color w:val="auto"/>
          <w:szCs w:val="22"/>
        </w:rPr>
      </w:pPr>
    </w:p>
    <w:p w14:paraId="59AFB83B" w14:textId="77777777" w:rsidR="002A32AF" w:rsidRPr="001D7195" w:rsidRDefault="002A32AF" w:rsidP="001D7195">
      <w:pPr>
        <w:pStyle w:val="BodyText3"/>
        <w:ind w:left="360"/>
        <w:rPr>
          <w:rFonts w:cs="Arial"/>
          <w:b/>
          <w:i/>
          <w:color w:val="auto"/>
          <w:szCs w:val="22"/>
        </w:rPr>
      </w:pPr>
      <w:r>
        <w:rPr>
          <w:rFonts w:cs="Arial"/>
          <w:b/>
          <w:i/>
          <w:color w:val="auto"/>
          <w:szCs w:val="22"/>
        </w:rPr>
        <w:t>Aim 1</w:t>
      </w:r>
    </w:p>
    <w:p w14:paraId="453B938A" w14:textId="42CC2BAF" w:rsidR="002A32AF" w:rsidRDefault="001D7195" w:rsidP="0029364F">
      <w:pPr>
        <w:ind w:left="360"/>
        <w:rPr>
          <w:rFonts w:cs="Arial"/>
          <w:szCs w:val="22"/>
        </w:rPr>
      </w:pPr>
      <w:r w:rsidRPr="00F54398">
        <w:rPr>
          <w:rFonts w:cs="Arial"/>
          <w:szCs w:val="22"/>
        </w:rPr>
        <w:t>The primary outcome</w:t>
      </w:r>
      <w:r w:rsidR="003C414A" w:rsidRPr="00F54398">
        <w:rPr>
          <w:rFonts w:cs="Arial"/>
          <w:szCs w:val="22"/>
        </w:rPr>
        <w:t xml:space="preserve"> will be modeled in a time-to-event analysis using a Cox proportional hazards model</w:t>
      </w:r>
      <w:r w:rsidR="007F6A31" w:rsidRPr="00F54398">
        <w:rPr>
          <w:rFonts w:cs="Arial"/>
          <w:szCs w:val="22"/>
        </w:rPr>
        <w:t xml:space="preserve">, with </w:t>
      </w:r>
      <w:r w:rsidR="004040B2" w:rsidRPr="004040B2">
        <w:rPr>
          <w:rFonts w:cs="Arial"/>
          <w:szCs w:val="22"/>
        </w:rPr>
        <w:t xml:space="preserve">cluster-correlated </w:t>
      </w:r>
      <w:r w:rsidR="007F6A31" w:rsidRPr="00F54398">
        <w:rPr>
          <w:rFonts w:cs="Arial"/>
          <w:szCs w:val="22"/>
        </w:rPr>
        <w:t xml:space="preserve">robust standard errors to account for clustering by clinical site. </w:t>
      </w:r>
      <w:r w:rsidRPr="00F54398">
        <w:rPr>
          <w:rFonts w:cs="Arial"/>
          <w:szCs w:val="22"/>
        </w:rPr>
        <w:t xml:space="preserve">SIC documentation, as defined above, will serve as the </w:t>
      </w:r>
      <w:r w:rsidR="002A32AF" w:rsidRPr="00F54398">
        <w:rPr>
          <w:rFonts w:cs="Arial"/>
          <w:szCs w:val="22"/>
        </w:rPr>
        <w:t xml:space="preserve">primary </w:t>
      </w:r>
      <w:r w:rsidRPr="00F54398">
        <w:rPr>
          <w:rFonts w:cs="Arial"/>
          <w:szCs w:val="22"/>
        </w:rPr>
        <w:t>event outcome. Days between</w:t>
      </w:r>
      <w:r w:rsidR="002A32AF" w:rsidRPr="00F54398">
        <w:rPr>
          <w:rFonts w:cs="Arial"/>
          <w:szCs w:val="22"/>
        </w:rPr>
        <w:t xml:space="preserve"> the</w:t>
      </w:r>
      <w:r w:rsidRPr="00F54398">
        <w:rPr>
          <w:rFonts w:cs="Arial"/>
          <w:szCs w:val="22"/>
        </w:rPr>
        <w:t xml:space="preserve"> index </w:t>
      </w:r>
      <w:r w:rsidR="002A32AF" w:rsidRPr="00F54398">
        <w:rPr>
          <w:rFonts w:cs="Arial"/>
          <w:szCs w:val="22"/>
        </w:rPr>
        <w:t xml:space="preserve">clinical </w:t>
      </w:r>
      <w:r w:rsidRPr="00F54398">
        <w:rPr>
          <w:rFonts w:cs="Arial"/>
          <w:szCs w:val="22"/>
        </w:rPr>
        <w:t>encounter</w:t>
      </w:r>
      <w:r w:rsidR="002A32AF" w:rsidRPr="00F54398">
        <w:rPr>
          <w:rFonts w:cs="Arial"/>
          <w:szCs w:val="22"/>
        </w:rPr>
        <w:t xml:space="preserve"> (at which the nudge exposure period begins)</w:t>
      </w:r>
      <w:r w:rsidRPr="00F54398">
        <w:rPr>
          <w:rFonts w:cs="Arial"/>
          <w:szCs w:val="22"/>
        </w:rPr>
        <w:t xml:space="preserve"> and SIC documentation will serve as the time </w:t>
      </w:r>
      <w:r w:rsidR="002A32AF" w:rsidRPr="00F54398">
        <w:rPr>
          <w:rFonts w:cs="Arial"/>
          <w:szCs w:val="22"/>
        </w:rPr>
        <w:t>variable</w:t>
      </w:r>
      <w:r w:rsidRPr="00F54398">
        <w:rPr>
          <w:rFonts w:cs="Arial"/>
          <w:szCs w:val="22"/>
        </w:rPr>
        <w:t>.</w:t>
      </w:r>
      <w:r>
        <w:rPr>
          <w:rFonts w:cs="Arial"/>
          <w:szCs w:val="22"/>
        </w:rPr>
        <w:t xml:space="preserve"> </w:t>
      </w:r>
      <w:r w:rsidR="007F6A31">
        <w:rPr>
          <w:rFonts w:cs="Arial"/>
          <w:szCs w:val="22"/>
        </w:rPr>
        <w:t xml:space="preserve">The </w:t>
      </w:r>
      <w:r w:rsidR="00BF4BEE">
        <w:rPr>
          <w:rFonts w:cs="Arial"/>
          <w:szCs w:val="22"/>
        </w:rPr>
        <w:t xml:space="preserve">design is a 2x2 factorial, which breaks down into 4 study arms </w:t>
      </w:r>
      <w:r w:rsidR="002A32AF">
        <w:rPr>
          <w:rFonts w:cs="Arial"/>
          <w:szCs w:val="22"/>
        </w:rPr>
        <w:t xml:space="preserve">(defined by clinician </w:t>
      </w:r>
      <w:r w:rsidR="00251BF0">
        <w:rPr>
          <w:rFonts w:cs="Arial"/>
          <w:szCs w:val="22"/>
        </w:rPr>
        <w:t xml:space="preserve">cluster </w:t>
      </w:r>
      <w:r w:rsidR="002A32AF">
        <w:rPr>
          <w:rFonts w:cs="Arial"/>
          <w:szCs w:val="22"/>
        </w:rPr>
        <w:t>and patient randomization at the index clinical encounter): nudge to clinician only, nudge to patient only, nudge to both, or usual practice</w:t>
      </w:r>
      <w:r w:rsidR="007F6A31">
        <w:rPr>
          <w:rFonts w:cs="Arial"/>
          <w:szCs w:val="22"/>
        </w:rPr>
        <w:t xml:space="preserve">. </w:t>
      </w:r>
      <w:r w:rsidR="00BF4BEE">
        <w:rPr>
          <w:rFonts w:cs="Arial"/>
          <w:szCs w:val="22"/>
        </w:rPr>
        <w:t xml:space="preserve">Cox regression will estimate hazard ratios for the main effects (Aim 1) and a ratio of hazard ratios for </w:t>
      </w:r>
      <w:r w:rsidR="00BF4BEE" w:rsidRPr="004040B2">
        <w:rPr>
          <w:rFonts w:cs="Arial"/>
          <w:szCs w:val="22"/>
        </w:rPr>
        <w:t xml:space="preserve">the interaction term </w:t>
      </w:r>
      <w:r w:rsidR="00EB4A76" w:rsidRPr="004040B2">
        <w:rPr>
          <w:rFonts w:cs="Arial"/>
          <w:szCs w:val="22"/>
        </w:rPr>
        <w:t>(</w:t>
      </w:r>
      <w:r w:rsidR="00BF4BEE" w:rsidRPr="004040B2">
        <w:rPr>
          <w:rFonts w:cs="Arial"/>
          <w:szCs w:val="22"/>
        </w:rPr>
        <w:t>Aim 2).</w:t>
      </w:r>
      <w:r w:rsidR="00BF4BEE">
        <w:rPr>
          <w:rFonts w:cs="Arial"/>
          <w:szCs w:val="22"/>
        </w:rPr>
        <w:t xml:space="preserve">  Significance will be determined using the z-score corresponding to each of the estimated effects, using a two sided type 1 error of 5%.  </w:t>
      </w:r>
      <w:r w:rsidR="007F6A31">
        <w:rPr>
          <w:rFonts w:cs="Arial"/>
          <w:szCs w:val="22"/>
        </w:rPr>
        <w:t>All enrolled</w:t>
      </w:r>
      <w:r w:rsidR="007F6A31" w:rsidRPr="00C354EB">
        <w:rPr>
          <w:rFonts w:cs="Arial"/>
          <w:szCs w:val="22"/>
        </w:rPr>
        <w:t xml:space="preserve"> patients </w:t>
      </w:r>
      <w:r w:rsidR="007F6A31">
        <w:rPr>
          <w:rFonts w:cs="Arial"/>
          <w:szCs w:val="22"/>
        </w:rPr>
        <w:t>will be</w:t>
      </w:r>
      <w:r w:rsidR="007F6A31" w:rsidRPr="00C354EB">
        <w:rPr>
          <w:rFonts w:cs="Arial"/>
          <w:szCs w:val="22"/>
        </w:rPr>
        <w:t xml:space="preserve"> included in </w:t>
      </w:r>
      <w:r>
        <w:rPr>
          <w:rFonts w:cs="Arial"/>
          <w:szCs w:val="22"/>
        </w:rPr>
        <w:t>the intention-to-treat analysis, and subjects will be censored at the time of last follow-up</w:t>
      </w:r>
      <w:r w:rsidR="003C4C97">
        <w:rPr>
          <w:rFonts w:cs="Arial"/>
          <w:szCs w:val="22"/>
        </w:rPr>
        <w:t xml:space="preserve"> or death</w:t>
      </w:r>
      <w:r w:rsidR="00817A7E">
        <w:rPr>
          <w:rFonts w:cs="Arial"/>
          <w:szCs w:val="22"/>
        </w:rPr>
        <w:t xml:space="preserve">, should they not have </w:t>
      </w:r>
      <w:r w:rsidR="003C4C97">
        <w:rPr>
          <w:rFonts w:cs="Arial"/>
          <w:szCs w:val="22"/>
        </w:rPr>
        <w:t xml:space="preserve">been observed to have a documented SIC during the follow-up period. </w:t>
      </w:r>
      <w:r w:rsidR="007F6A31">
        <w:rPr>
          <w:rFonts w:cs="Arial"/>
          <w:szCs w:val="22"/>
        </w:rPr>
        <w:t>Covariates will be assessed across s</w:t>
      </w:r>
      <w:r>
        <w:rPr>
          <w:rFonts w:cs="Arial"/>
          <w:szCs w:val="22"/>
        </w:rPr>
        <w:t xml:space="preserve">tudy arms and included in the Cox </w:t>
      </w:r>
      <w:r w:rsidR="007F6A31">
        <w:rPr>
          <w:rFonts w:cs="Arial"/>
          <w:szCs w:val="22"/>
        </w:rPr>
        <w:t>model if unbalanced across arms.</w:t>
      </w:r>
      <w:r>
        <w:rPr>
          <w:rFonts w:cs="Arial"/>
          <w:szCs w:val="22"/>
        </w:rPr>
        <w:t xml:space="preserve"> </w:t>
      </w:r>
    </w:p>
    <w:p w14:paraId="1997E263" w14:textId="77777777" w:rsidR="00BF4BEE" w:rsidRDefault="00BF4BEE" w:rsidP="003C4C97">
      <w:pPr>
        <w:ind w:left="360"/>
        <w:rPr>
          <w:rFonts w:cs="Arial"/>
          <w:szCs w:val="22"/>
        </w:rPr>
      </w:pPr>
    </w:p>
    <w:p w14:paraId="72D4ADDA" w14:textId="77777777" w:rsidR="003C4C97" w:rsidRDefault="003C414A" w:rsidP="003C4C97">
      <w:pPr>
        <w:ind w:left="360"/>
        <w:rPr>
          <w:rFonts w:cs="Arial"/>
          <w:szCs w:val="22"/>
        </w:rPr>
      </w:pPr>
      <w:r w:rsidRPr="003C414A">
        <w:rPr>
          <w:rFonts w:cs="Arial"/>
          <w:szCs w:val="22"/>
        </w:rPr>
        <w:t xml:space="preserve">We will use our fitted Cox model to generate predicted probabilities of </w:t>
      </w:r>
      <w:r>
        <w:rPr>
          <w:rFonts w:cs="Arial"/>
          <w:szCs w:val="22"/>
        </w:rPr>
        <w:t xml:space="preserve">SIC documentation within 6 months, </w:t>
      </w:r>
      <w:r w:rsidRPr="003C414A">
        <w:rPr>
          <w:rFonts w:cs="Arial"/>
          <w:szCs w:val="22"/>
        </w:rPr>
        <w:t>via marginal standardization</w:t>
      </w:r>
      <w:r w:rsidR="003C4C97">
        <w:rPr>
          <w:rFonts w:cs="Arial"/>
          <w:szCs w:val="22"/>
        </w:rPr>
        <w:t>, as well as median time to documented SIC</w:t>
      </w:r>
      <w:r w:rsidR="0029364F">
        <w:rPr>
          <w:rFonts w:cs="Arial"/>
          <w:szCs w:val="22"/>
        </w:rPr>
        <w:t xml:space="preserve"> across arms. </w:t>
      </w:r>
      <w:r w:rsidRPr="003C414A">
        <w:rPr>
          <w:rFonts w:cs="Arial"/>
          <w:szCs w:val="22"/>
        </w:rPr>
        <w:t xml:space="preserve">The functional form of the model will be checked using cumulative martingale residuals, and the proportional hazards assumption will be checked using scaled </w:t>
      </w:r>
      <w:proofErr w:type="spellStart"/>
      <w:r w:rsidRPr="003C414A">
        <w:rPr>
          <w:rFonts w:cs="Arial"/>
          <w:szCs w:val="22"/>
        </w:rPr>
        <w:t>Schoenfeld</w:t>
      </w:r>
      <w:proofErr w:type="spellEnd"/>
      <w:r w:rsidRPr="003C414A">
        <w:rPr>
          <w:rFonts w:cs="Arial"/>
          <w:szCs w:val="22"/>
        </w:rPr>
        <w:t xml:space="preserve"> residuals.</w:t>
      </w:r>
      <w:r w:rsidR="003C4C97">
        <w:rPr>
          <w:rFonts w:cs="Arial"/>
          <w:szCs w:val="22"/>
        </w:rPr>
        <w:t xml:space="preserve"> </w:t>
      </w:r>
    </w:p>
    <w:p w14:paraId="641E85BF" w14:textId="77777777" w:rsidR="003C4C97" w:rsidRDefault="003C4C97" w:rsidP="003C4C97">
      <w:pPr>
        <w:ind w:left="360"/>
        <w:rPr>
          <w:rFonts w:cs="Arial"/>
          <w:szCs w:val="22"/>
        </w:rPr>
      </w:pPr>
    </w:p>
    <w:p w14:paraId="01FDCC7A" w14:textId="77777777" w:rsidR="000E25F7" w:rsidRDefault="002501B1" w:rsidP="003C4C97">
      <w:pPr>
        <w:ind w:left="360"/>
        <w:rPr>
          <w:rFonts w:cs="Arial"/>
          <w:szCs w:val="22"/>
        </w:rPr>
      </w:pPr>
      <w:r>
        <w:rPr>
          <w:rFonts w:cs="Arial"/>
          <w:szCs w:val="22"/>
        </w:rPr>
        <w:t>The secondary out</w:t>
      </w:r>
      <w:r w:rsidR="003C4C97">
        <w:rPr>
          <w:rFonts w:cs="Arial"/>
          <w:szCs w:val="22"/>
        </w:rPr>
        <w:t xml:space="preserve">comes will be similarly modeled. </w:t>
      </w:r>
      <w:r w:rsidR="00AF513E" w:rsidRPr="00C354EB">
        <w:rPr>
          <w:rFonts w:cs="Arial"/>
          <w:szCs w:val="22"/>
        </w:rPr>
        <w:t>All hypothesis tests will use a two-sided alpha of 0.0</w:t>
      </w:r>
      <w:r w:rsidR="000E25F7">
        <w:rPr>
          <w:rFonts w:cs="Arial"/>
          <w:szCs w:val="22"/>
        </w:rPr>
        <w:t>5</w:t>
      </w:r>
      <w:r w:rsidR="00AF513E" w:rsidRPr="00C354EB">
        <w:rPr>
          <w:rFonts w:cs="Arial"/>
          <w:szCs w:val="22"/>
        </w:rPr>
        <w:t xml:space="preserve"> as </w:t>
      </w:r>
      <w:r w:rsidR="000E25F7">
        <w:rPr>
          <w:rFonts w:cs="Arial"/>
          <w:szCs w:val="22"/>
        </w:rPr>
        <w:t>the</w:t>
      </w:r>
      <w:r w:rsidR="00AF513E" w:rsidRPr="00C354EB">
        <w:rPr>
          <w:rFonts w:cs="Arial"/>
          <w:szCs w:val="22"/>
        </w:rPr>
        <w:t xml:space="preserve"> thresho</w:t>
      </w:r>
      <w:r w:rsidR="000E25F7">
        <w:rPr>
          <w:rFonts w:cs="Arial"/>
          <w:szCs w:val="22"/>
        </w:rPr>
        <w:t>ld for statistical significance.</w:t>
      </w:r>
    </w:p>
    <w:p w14:paraId="009A20DE" w14:textId="77777777" w:rsidR="002A32AF" w:rsidRDefault="002A32AF" w:rsidP="003C414A">
      <w:pPr>
        <w:ind w:left="360"/>
        <w:rPr>
          <w:rFonts w:cs="Arial"/>
          <w:szCs w:val="22"/>
        </w:rPr>
      </w:pPr>
    </w:p>
    <w:p w14:paraId="33EB8F23" w14:textId="77777777" w:rsidR="0029364F" w:rsidRPr="0029364F" w:rsidRDefault="002A32AF" w:rsidP="0029364F">
      <w:pPr>
        <w:ind w:left="360"/>
        <w:rPr>
          <w:rFonts w:cs="Arial"/>
          <w:szCs w:val="22"/>
        </w:rPr>
      </w:pPr>
      <w:r w:rsidRPr="002A32AF">
        <w:rPr>
          <w:rFonts w:cs="Arial"/>
          <w:b/>
          <w:i/>
          <w:szCs w:val="22"/>
        </w:rPr>
        <w:t>Aim 2</w:t>
      </w:r>
    </w:p>
    <w:p w14:paraId="7CA235B8" w14:textId="0FD7104B" w:rsidR="000731BC" w:rsidRDefault="008F547D">
      <w:pPr>
        <w:ind w:left="360"/>
        <w:rPr>
          <w:rFonts w:cs="Arial"/>
          <w:szCs w:val="22"/>
        </w:rPr>
      </w:pPr>
      <w:r w:rsidRPr="008F547D">
        <w:rPr>
          <w:rFonts w:cs="Arial"/>
          <w:szCs w:val="22"/>
        </w:rPr>
        <w:t xml:space="preserve">We will evaluate for heterogeneity of implementation effects on SIC documentation by including an interaction term between study arm and, separately, patient factors, such as race/ethnicity, </w:t>
      </w:r>
      <w:r w:rsidR="00F54398">
        <w:rPr>
          <w:rFonts w:cs="Arial"/>
          <w:szCs w:val="22"/>
        </w:rPr>
        <w:t xml:space="preserve">income, and geographic location; </w:t>
      </w:r>
      <w:r w:rsidR="00F54398" w:rsidRPr="008F547D">
        <w:rPr>
          <w:rFonts w:cs="Arial"/>
          <w:szCs w:val="22"/>
        </w:rPr>
        <w:t>clinician factors; and inner setting factors</w:t>
      </w:r>
      <w:r w:rsidRPr="008F547D">
        <w:rPr>
          <w:rFonts w:cs="Arial"/>
          <w:szCs w:val="22"/>
        </w:rPr>
        <w:t>.</w:t>
      </w:r>
      <w:r>
        <w:rPr>
          <w:rFonts w:cs="Arial"/>
          <w:szCs w:val="22"/>
        </w:rPr>
        <w:t xml:space="preserve"> </w:t>
      </w:r>
      <w:r w:rsidR="005C559D">
        <w:rPr>
          <w:rFonts w:cs="Arial"/>
          <w:szCs w:val="22"/>
        </w:rPr>
        <w:t xml:space="preserve">Evidence for effect modification will be </w:t>
      </w:r>
      <w:r w:rsidR="0029364F">
        <w:rPr>
          <w:rFonts w:cs="Arial"/>
          <w:szCs w:val="22"/>
        </w:rPr>
        <w:t xml:space="preserve">judged based on the </w:t>
      </w:r>
      <w:r w:rsidR="00BF4BEE">
        <w:rPr>
          <w:rFonts w:cs="Arial"/>
          <w:szCs w:val="22"/>
        </w:rPr>
        <w:t>z-score corresponding to the ratio of hazard ratios (</w:t>
      </w:r>
      <w:r w:rsidR="0029364F">
        <w:rPr>
          <w:rFonts w:cs="Arial"/>
          <w:szCs w:val="22"/>
        </w:rPr>
        <w:t>interaction term</w:t>
      </w:r>
      <w:r w:rsidR="00BF4BEE">
        <w:rPr>
          <w:rFonts w:cs="Arial"/>
          <w:szCs w:val="22"/>
        </w:rPr>
        <w:t>)</w:t>
      </w:r>
      <w:r w:rsidR="0029364F">
        <w:rPr>
          <w:rFonts w:cs="Arial"/>
          <w:szCs w:val="22"/>
        </w:rPr>
        <w:t xml:space="preserve"> using again </w:t>
      </w:r>
      <w:r w:rsidR="0029364F" w:rsidRPr="00C354EB">
        <w:rPr>
          <w:rFonts w:cs="Arial"/>
          <w:szCs w:val="22"/>
        </w:rPr>
        <w:t>a two-sided alpha of 0.0</w:t>
      </w:r>
      <w:r w:rsidR="0029364F">
        <w:rPr>
          <w:rFonts w:cs="Arial"/>
          <w:szCs w:val="22"/>
        </w:rPr>
        <w:t>5</w:t>
      </w:r>
      <w:r w:rsidR="0029364F" w:rsidRPr="00C354EB">
        <w:rPr>
          <w:rFonts w:cs="Arial"/>
          <w:szCs w:val="22"/>
        </w:rPr>
        <w:t xml:space="preserve"> as </w:t>
      </w:r>
      <w:r w:rsidR="0029364F">
        <w:rPr>
          <w:rFonts w:cs="Arial"/>
          <w:szCs w:val="22"/>
        </w:rPr>
        <w:t>the</w:t>
      </w:r>
      <w:r w:rsidR="0029364F" w:rsidRPr="00C354EB">
        <w:rPr>
          <w:rFonts w:cs="Arial"/>
          <w:szCs w:val="22"/>
        </w:rPr>
        <w:t xml:space="preserve"> thresho</w:t>
      </w:r>
      <w:r w:rsidR="0029364F">
        <w:rPr>
          <w:rFonts w:cs="Arial"/>
          <w:szCs w:val="22"/>
        </w:rPr>
        <w:t>ld for statistical significance.</w:t>
      </w:r>
    </w:p>
    <w:p w14:paraId="7B6F39E8" w14:textId="77777777" w:rsidR="0064403F" w:rsidRDefault="0064403F" w:rsidP="0029364F">
      <w:pPr>
        <w:ind w:left="360"/>
        <w:rPr>
          <w:rFonts w:cs="Arial"/>
          <w:szCs w:val="22"/>
        </w:rPr>
      </w:pPr>
    </w:p>
    <w:p w14:paraId="1EE97398" w14:textId="54E87FF5" w:rsidR="0064403F" w:rsidRDefault="0064403F" w:rsidP="00251BF0">
      <w:pPr>
        <w:ind w:left="360"/>
        <w:rPr>
          <w:rFonts w:cs="Arial"/>
          <w:szCs w:val="22"/>
        </w:rPr>
      </w:pPr>
      <w:r w:rsidRPr="0064403F">
        <w:rPr>
          <w:rFonts w:cs="Arial"/>
          <w:b/>
          <w:i/>
          <w:szCs w:val="22"/>
        </w:rPr>
        <w:lastRenderedPageBreak/>
        <w:t>Power and Sample Size</w:t>
      </w:r>
    </w:p>
    <w:p w14:paraId="2EEE76FE" w14:textId="63C0B847" w:rsidR="00CF6EBE" w:rsidRPr="00E753DB" w:rsidRDefault="00102CFF" w:rsidP="00E753DB">
      <w:pPr>
        <w:ind w:left="360"/>
        <w:rPr>
          <w:rFonts w:cs="Arial"/>
          <w:szCs w:val="22"/>
          <w:highlight w:val="yellow"/>
        </w:rPr>
      </w:pPr>
      <w:r>
        <w:rPr>
          <w:rFonts w:cs="Arial"/>
          <w:szCs w:val="22"/>
        </w:rPr>
        <w:t xml:space="preserve">We </w:t>
      </w:r>
      <w:r w:rsidR="00EB4A76">
        <w:rPr>
          <w:rFonts w:cs="Arial"/>
          <w:szCs w:val="22"/>
        </w:rPr>
        <w:t>are seeking</w:t>
      </w:r>
      <w:r>
        <w:rPr>
          <w:rFonts w:cs="Arial"/>
          <w:szCs w:val="22"/>
        </w:rPr>
        <w:t xml:space="preserve"> to detect </w:t>
      </w:r>
      <w:r w:rsidR="00D32052">
        <w:rPr>
          <w:rFonts w:cs="Arial"/>
          <w:szCs w:val="22"/>
        </w:rPr>
        <w:t xml:space="preserve">the </w:t>
      </w:r>
      <w:r>
        <w:rPr>
          <w:rFonts w:cs="Arial"/>
          <w:szCs w:val="22"/>
        </w:rPr>
        <w:t>main effects</w:t>
      </w:r>
      <w:r w:rsidR="00D32052">
        <w:rPr>
          <w:rFonts w:cs="Arial"/>
          <w:szCs w:val="22"/>
        </w:rPr>
        <w:t xml:space="preserve"> of nudges</w:t>
      </w:r>
      <w:r>
        <w:rPr>
          <w:rFonts w:cs="Arial"/>
          <w:szCs w:val="22"/>
        </w:rPr>
        <w:t xml:space="preserve"> and</w:t>
      </w:r>
      <w:r w:rsidR="00D32052">
        <w:rPr>
          <w:rFonts w:cs="Arial"/>
          <w:szCs w:val="22"/>
        </w:rPr>
        <w:t xml:space="preserve"> their</w:t>
      </w:r>
      <w:r>
        <w:rPr>
          <w:rFonts w:cs="Arial"/>
          <w:szCs w:val="22"/>
        </w:rPr>
        <w:t xml:space="preserve"> interaction with </w:t>
      </w:r>
      <w:r w:rsidR="009B3E7E">
        <w:rPr>
          <w:rFonts w:cs="Arial"/>
          <w:szCs w:val="22"/>
        </w:rPr>
        <w:t xml:space="preserve">at least </w:t>
      </w:r>
      <w:r>
        <w:rPr>
          <w:rFonts w:cs="Arial"/>
          <w:szCs w:val="22"/>
        </w:rPr>
        <w:t xml:space="preserve">80% power using a two-sided </w:t>
      </w:r>
      <w:r w:rsidR="00D32052">
        <w:rPr>
          <w:rFonts w:cs="Arial"/>
          <w:szCs w:val="22"/>
        </w:rPr>
        <w:t>alpha</w:t>
      </w:r>
      <w:r>
        <w:rPr>
          <w:rFonts w:cs="Arial"/>
          <w:szCs w:val="22"/>
        </w:rPr>
        <w:t xml:space="preserve"> of </w:t>
      </w:r>
      <w:r w:rsidR="00D32052">
        <w:rPr>
          <w:rFonts w:cs="Arial"/>
          <w:szCs w:val="22"/>
        </w:rPr>
        <w:t>0.05</w:t>
      </w:r>
      <w:r>
        <w:rPr>
          <w:rFonts w:cs="Arial"/>
          <w:szCs w:val="22"/>
        </w:rPr>
        <w:t xml:space="preserve">. </w:t>
      </w:r>
      <w:r w:rsidR="00D576B7">
        <w:rPr>
          <w:rFonts w:cs="Arial"/>
          <w:szCs w:val="22"/>
        </w:rPr>
        <w:t xml:space="preserve">We </w:t>
      </w:r>
      <w:r w:rsidR="009B3E7E">
        <w:rPr>
          <w:rFonts w:cs="Arial"/>
          <w:szCs w:val="22"/>
        </w:rPr>
        <w:t>anticipate enrolling</w:t>
      </w:r>
      <w:r w:rsidR="00D576B7">
        <w:rPr>
          <w:rFonts w:cs="Arial"/>
          <w:szCs w:val="22"/>
        </w:rPr>
        <w:t xml:space="preserve"> </w:t>
      </w:r>
      <w:r w:rsidR="009B3E7E">
        <w:rPr>
          <w:rFonts w:cs="Arial"/>
          <w:szCs w:val="22"/>
        </w:rPr>
        <w:t>66</w:t>
      </w:r>
      <w:r w:rsidR="007215A2" w:rsidRPr="00F54398">
        <w:rPr>
          <w:rFonts w:cs="Arial"/>
          <w:szCs w:val="22"/>
        </w:rPr>
        <w:t xml:space="preserve"> </w:t>
      </w:r>
      <w:r w:rsidR="00EB4A76" w:rsidRPr="00F54398">
        <w:rPr>
          <w:rFonts w:cs="Arial"/>
          <w:szCs w:val="22"/>
        </w:rPr>
        <w:t xml:space="preserve">physician-APP </w:t>
      </w:r>
      <w:r w:rsidR="003B04E2" w:rsidRPr="00F54398">
        <w:rPr>
          <w:rFonts w:cs="Arial"/>
          <w:szCs w:val="22"/>
        </w:rPr>
        <w:t xml:space="preserve">clusters </w:t>
      </w:r>
      <w:r w:rsidR="007215A2" w:rsidRPr="00F54398">
        <w:rPr>
          <w:rFonts w:cs="Arial"/>
          <w:szCs w:val="22"/>
        </w:rPr>
        <w:t xml:space="preserve">who will </w:t>
      </w:r>
      <w:r w:rsidR="00D32052" w:rsidRPr="00F54398">
        <w:rPr>
          <w:rFonts w:cs="Arial"/>
          <w:szCs w:val="22"/>
        </w:rPr>
        <w:t xml:space="preserve">together </w:t>
      </w:r>
      <w:r w:rsidR="007215A2" w:rsidRPr="00F54398">
        <w:rPr>
          <w:rFonts w:cs="Arial"/>
          <w:szCs w:val="22"/>
        </w:rPr>
        <w:t xml:space="preserve">care </w:t>
      </w:r>
      <w:r w:rsidR="009B3E7E" w:rsidRPr="00F54398">
        <w:rPr>
          <w:rFonts w:cs="Arial"/>
          <w:szCs w:val="22"/>
        </w:rPr>
        <w:t>for an estimated 5,</w:t>
      </w:r>
      <w:r w:rsidR="004B1F88" w:rsidRPr="00F54398">
        <w:rPr>
          <w:rFonts w:cs="Arial"/>
          <w:szCs w:val="22"/>
        </w:rPr>
        <w:t>5</w:t>
      </w:r>
      <w:r w:rsidR="009B3E7E" w:rsidRPr="00F54398">
        <w:rPr>
          <w:rFonts w:cs="Arial"/>
          <w:szCs w:val="22"/>
        </w:rPr>
        <w:t>00 high-risk patients over the study period</w:t>
      </w:r>
      <w:r w:rsidR="00D32052" w:rsidRPr="00F54398">
        <w:rPr>
          <w:rFonts w:cs="Arial"/>
          <w:szCs w:val="22"/>
        </w:rPr>
        <w:t>, yielding</w:t>
      </w:r>
      <w:r w:rsidR="009B3E7E" w:rsidRPr="00F54398">
        <w:rPr>
          <w:rFonts w:cs="Arial"/>
          <w:szCs w:val="22"/>
        </w:rPr>
        <w:t xml:space="preserve"> approximately </w:t>
      </w:r>
      <w:r w:rsidR="004B1F88" w:rsidRPr="00F54398">
        <w:rPr>
          <w:rFonts w:cs="Arial"/>
          <w:szCs w:val="22"/>
        </w:rPr>
        <w:t>83</w:t>
      </w:r>
      <w:r w:rsidR="009B3E7E" w:rsidRPr="00F54398">
        <w:rPr>
          <w:rFonts w:cs="Arial"/>
          <w:szCs w:val="22"/>
        </w:rPr>
        <w:t xml:space="preserve"> high-risk patients per cluster</w:t>
      </w:r>
      <w:r w:rsidR="00D32052" w:rsidRPr="00F54398">
        <w:rPr>
          <w:rFonts w:cs="Arial"/>
          <w:szCs w:val="22"/>
        </w:rPr>
        <w:t xml:space="preserve"> on average</w:t>
      </w:r>
      <w:r w:rsidR="009B3E7E" w:rsidRPr="00F54398">
        <w:rPr>
          <w:rFonts w:cs="Arial"/>
          <w:szCs w:val="22"/>
        </w:rPr>
        <w:t xml:space="preserve">. We have generated power calculations using various patient enrollment and cluster correlation assumptions </w:t>
      </w:r>
      <w:r w:rsidR="00D32052" w:rsidRPr="00F54398">
        <w:rPr>
          <w:rFonts w:cs="Arial"/>
          <w:szCs w:val="22"/>
        </w:rPr>
        <w:t xml:space="preserve">as </w:t>
      </w:r>
      <w:r w:rsidR="009B3E7E" w:rsidRPr="00F54398">
        <w:rPr>
          <w:rFonts w:cs="Arial"/>
          <w:szCs w:val="22"/>
        </w:rPr>
        <w:t xml:space="preserve">below. </w:t>
      </w:r>
      <w:r w:rsidR="00D576B7">
        <w:rPr>
          <w:rFonts w:cs="Arial"/>
          <w:szCs w:val="22"/>
        </w:rPr>
        <w:t xml:space="preserve">We calculated power by simulation, generating exponential time to event under a variety of assumptions. </w:t>
      </w:r>
      <w:r w:rsidR="00E801C3">
        <w:rPr>
          <w:rFonts w:cs="Arial"/>
          <w:szCs w:val="22"/>
        </w:rPr>
        <w:t xml:space="preserve">Patients are clustered within </w:t>
      </w:r>
      <w:r w:rsidR="00251BF0">
        <w:rPr>
          <w:rFonts w:cs="Arial"/>
          <w:szCs w:val="22"/>
        </w:rPr>
        <w:t>clinician units</w:t>
      </w:r>
      <w:r w:rsidR="00F36809">
        <w:rPr>
          <w:rFonts w:cs="Arial"/>
          <w:szCs w:val="22"/>
        </w:rPr>
        <w:t xml:space="preserve">. </w:t>
      </w:r>
      <w:r w:rsidR="00E801C3">
        <w:rPr>
          <w:rFonts w:cs="Arial"/>
          <w:szCs w:val="22"/>
        </w:rPr>
        <w:t>Higher correlation within cluster will generally help with power for within-cluster comparisons, but degrade power for between</w:t>
      </w:r>
      <w:r w:rsidR="007215A2">
        <w:rPr>
          <w:rFonts w:cs="Arial"/>
          <w:szCs w:val="22"/>
        </w:rPr>
        <w:t>-</w:t>
      </w:r>
      <w:r w:rsidR="00E801C3">
        <w:rPr>
          <w:rFonts w:cs="Arial"/>
          <w:szCs w:val="22"/>
        </w:rPr>
        <w:t>cluster comparisons. Within cluster correlation was imposed</w:t>
      </w:r>
      <w:r w:rsidR="00917290">
        <w:rPr>
          <w:rFonts w:cs="Arial"/>
          <w:szCs w:val="22"/>
        </w:rPr>
        <w:t xml:space="preserve"> </w:t>
      </w:r>
      <w:r w:rsidR="00917290" w:rsidRPr="002A17DC">
        <w:t>by drawing correlated Normally-distributed random numbers, transformed to exponential using copula methods</w:t>
      </w:r>
      <w:r w:rsidR="006454A0">
        <w:t>.</w:t>
      </w:r>
    </w:p>
    <w:p w14:paraId="0D57C232" w14:textId="77777777" w:rsidR="00D576B7" w:rsidRDefault="00D576B7" w:rsidP="0029364F">
      <w:pPr>
        <w:ind w:left="360"/>
        <w:rPr>
          <w:rFonts w:cs="Arial"/>
          <w:szCs w:val="22"/>
        </w:rPr>
      </w:pPr>
    </w:p>
    <w:tbl>
      <w:tblPr>
        <w:tblStyle w:val="TableGrid"/>
        <w:tblW w:w="7678" w:type="dxa"/>
        <w:tblInd w:w="360" w:type="dxa"/>
        <w:tblLook w:val="04A0" w:firstRow="1" w:lastRow="0" w:firstColumn="1" w:lastColumn="0" w:noHBand="0" w:noVBand="1"/>
      </w:tblPr>
      <w:tblGrid>
        <w:gridCol w:w="1388"/>
        <w:gridCol w:w="1346"/>
        <w:gridCol w:w="1761"/>
        <w:gridCol w:w="1620"/>
        <w:gridCol w:w="1563"/>
      </w:tblGrid>
      <w:tr w:rsidR="00812A7C" w14:paraId="7591CB26" w14:textId="77777777" w:rsidTr="00812A7C">
        <w:tc>
          <w:tcPr>
            <w:tcW w:w="1388" w:type="dxa"/>
            <w:vMerge w:val="restart"/>
          </w:tcPr>
          <w:p w14:paraId="7AC1BC6C" w14:textId="44A574E1" w:rsidR="00812A7C" w:rsidRDefault="00812A7C" w:rsidP="00BA17FF">
            <w:pPr>
              <w:rPr>
                <w:rFonts w:cs="Arial"/>
                <w:szCs w:val="22"/>
              </w:rPr>
            </w:pPr>
            <w:r>
              <w:rPr>
                <w:rFonts w:cs="Arial"/>
                <w:szCs w:val="22"/>
              </w:rPr>
              <w:t>Patients per Cluster</w:t>
            </w:r>
          </w:p>
        </w:tc>
        <w:tc>
          <w:tcPr>
            <w:tcW w:w="1346" w:type="dxa"/>
            <w:vMerge w:val="restart"/>
          </w:tcPr>
          <w:p w14:paraId="134BA2F3" w14:textId="58B5EA1D" w:rsidR="00812A7C" w:rsidRDefault="00812A7C" w:rsidP="00CF6EBE">
            <w:pPr>
              <w:rPr>
                <w:rFonts w:cs="Arial"/>
                <w:szCs w:val="22"/>
              </w:rPr>
            </w:pPr>
            <w:r>
              <w:rPr>
                <w:rFonts w:cs="Arial"/>
                <w:szCs w:val="22"/>
              </w:rPr>
              <w:t>Within Cluster Correlation</w:t>
            </w:r>
          </w:p>
        </w:tc>
        <w:tc>
          <w:tcPr>
            <w:tcW w:w="4944" w:type="dxa"/>
            <w:gridSpan w:val="3"/>
          </w:tcPr>
          <w:p w14:paraId="2927C3DD" w14:textId="7BF188D9" w:rsidR="00812A7C" w:rsidRDefault="00812A7C" w:rsidP="00812A7C">
            <w:pPr>
              <w:jc w:val="center"/>
              <w:rPr>
                <w:rFonts w:cs="Arial"/>
                <w:szCs w:val="22"/>
              </w:rPr>
            </w:pPr>
            <w:r>
              <w:rPr>
                <w:rFonts w:cs="Arial"/>
                <w:szCs w:val="22"/>
              </w:rPr>
              <w:t>Detectable True HR of Effect (Power)</w:t>
            </w:r>
          </w:p>
        </w:tc>
      </w:tr>
      <w:tr w:rsidR="00812A7C" w14:paraId="762A95E0" w14:textId="77777777" w:rsidTr="00812A7C">
        <w:tc>
          <w:tcPr>
            <w:tcW w:w="1388" w:type="dxa"/>
            <w:vMerge/>
          </w:tcPr>
          <w:p w14:paraId="6F4BD51B" w14:textId="77777777" w:rsidR="00812A7C" w:rsidRDefault="00812A7C" w:rsidP="00BA17FF">
            <w:pPr>
              <w:rPr>
                <w:rFonts w:cs="Arial"/>
                <w:szCs w:val="22"/>
              </w:rPr>
            </w:pPr>
          </w:p>
        </w:tc>
        <w:tc>
          <w:tcPr>
            <w:tcW w:w="1346" w:type="dxa"/>
            <w:vMerge/>
          </w:tcPr>
          <w:p w14:paraId="2353C161" w14:textId="77777777" w:rsidR="00812A7C" w:rsidRDefault="00812A7C" w:rsidP="00CF6EBE">
            <w:pPr>
              <w:rPr>
                <w:rFonts w:cs="Arial"/>
                <w:szCs w:val="22"/>
              </w:rPr>
            </w:pPr>
          </w:p>
        </w:tc>
        <w:tc>
          <w:tcPr>
            <w:tcW w:w="1761" w:type="dxa"/>
            <w:shd w:val="clear" w:color="auto" w:fill="FFFFFF" w:themeFill="background1"/>
          </w:tcPr>
          <w:p w14:paraId="5D8077DA" w14:textId="79C2B825" w:rsidR="00812A7C" w:rsidRDefault="00812A7C" w:rsidP="00CF6EBE">
            <w:pPr>
              <w:rPr>
                <w:rFonts w:cs="Arial"/>
                <w:szCs w:val="22"/>
              </w:rPr>
            </w:pPr>
            <w:r>
              <w:rPr>
                <w:rFonts w:cs="Arial"/>
                <w:szCs w:val="22"/>
              </w:rPr>
              <w:t>Provider nudge</w:t>
            </w:r>
          </w:p>
        </w:tc>
        <w:tc>
          <w:tcPr>
            <w:tcW w:w="1620" w:type="dxa"/>
            <w:shd w:val="clear" w:color="auto" w:fill="FFFFFF" w:themeFill="background1"/>
          </w:tcPr>
          <w:p w14:paraId="2482BB8A" w14:textId="13300363" w:rsidR="00812A7C" w:rsidRDefault="00812A7C" w:rsidP="00CF6EBE">
            <w:pPr>
              <w:rPr>
                <w:rFonts w:cs="Arial"/>
                <w:szCs w:val="22"/>
              </w:rPr>
            </w:pPr>
            <w:r>
              <w:rPr>
                <w:rFonts w:cs="Arial"/>
                <w:szCs w:val="22"/>
              </w:rPr>
              <w:t>Patient nudge</w:t>
            </w:r>
          </w:p>
        </w:tc>
        <w:tc>
          <w:tcPr>
            <w:tcW w:w="1563" w:type="dxa"/>
            <w:shd w:val="clear" w:color="auto" w:fill="FFFFFF" w:themeFill="background1"/>
          </w:tcPr>
          <w:p w14:paraId="411FA5DB" w14:textId="67BBC8EE" w:rsidR="00812A7C" w:rsidRDefault="00812A7C" w:rsidP="00CF6EBE">
            <w:pPr>
              <w:rPr>
                <w:rFonts w:cs="Arial"/>
                <w:szCs w:val="22"/>
              </w:rPr>
            </w:pPr>
            <w:r>
              <w:rPr>
                <w:rFonts w:cs="Arial"/>
                <w:szCs w:val="22"/>
              </w:rPr>
              <w:t>Interaction</w:t>
            </w:r>
          </w:p>
        </w:tc>
      </w:tr>
      <w:tr w:rsidR="00812A7C" w14:paraId="72995861" w14:textId="77777777" w:rsidTr="00812A7C">
        <w:tc>
          <w:tcPr>
            <w:tcW w:w="1388" w:type="dxa"/>
          </w:tcPr>
          <w:p w14:paraId="752B7726" w14:textId="3D8F801A" w:rsidR="00812A7C" w:rsidRDefault="00812A7C" w:rsidP="00CF6EBE">
            <w:pPr>
              <w:rPr>
                <w:rFonts w:cs="Arial"/>
                <w:szCs w:val="22"/>
              </w:rPr>
            </w:pPr>
            <w:r>
              <w:rPr>
                <w:rFonts w:cs="Arial"/>
                <w:szCs w:val="22"/>
              </w:rPr>
              <w:t>70</w:t>
            </w:r>
          </w:p>
        </w:tc>
        <w:tc>
          <w:tcPr>
            <w:tcW w:w="1346" w:type="dxa"/>
          </w:tcPr>
          <w:p w14:paraId="13568F13" w14:textId="31DD34CC" w:rsidR="00812A7C" w:rsidRDefault="00812A7C" w:rsidP="00CF6EBE">
            <w:pPr>
              <w:rPr>
                <w:rFonts w:cs="Arial"/>
                <w:szCs w:val="22"/>
              </w:rPr>
            </w:pPr>
            <w:r>
              <w:rPr>
                <w:rFonts w:cs="Arial"/>
                <w:szCs w:val="22"/>
              </w:rPr>
              <w:t>0.</w:t>
            </w:r>
            <w:r w:rsidR="00F22D1F">
              <w:rPr>
                <w:rFonts w:cs="Arial"/>
                <w:szCs w:val="22"/>
              </w:rPr>
              <w:t>1</w:t>
            </w:r>
          </w:p>
        </w:tc>
        <w:tc>
          <w:tcPr>
            <w:tcW w:w="1761" w:type="dxa"/>
            <w:shd w:val="clear" w:color="auto" w:fill="FFFFFF" w:themeFill="background1"/>
          </w:tcPr>
          <w:p w14:paraId="146D8C6D" w14:textId="48E3EFFC" w:rsidR="00812A7C" w:rsidRDefault="00812A7C" w:rsidP="00F22D1F">
            <w:pPr>
              <w:rPr>
                <w:rFonts w:cs="Arial"/>
                <w:szCs w:val="22"/>
              </w:rPr>
            </w:pPr>
            <w:r>
              <w:rPr>
                <w:rFonts w:cs="Arial"/>
                <w:szCs w:val="22"/>
              </w:rPr>
              <w:t>1.</w:t>
            </w:r>
            <w:r w:rsidR="00F22D1F">
              <w:rPr>
                <w:rFonts w:cs="Arial"/>
                <w:szCs w:val="22"/>
              </w:rPr>
              <w:t>6</w:t>
            </w:r>
            <w:r>
              <w:rPr>
                <w:rFonts w:cs="Arial"/>
                <w:szCs w:val="22"/>
              </w:rPr>
              <w:t xml:space="preserve"> (</w:t>
            </w:r>
            <w:r w:rsidR="00F22D1F">
              <w:rPr>
                <w:rFonts w:cs="Arial"/>
                <w:szCs w:val="22"/>
              </w:rPr>
              <w:t>86</w:t>
            </w:r>
            <w:r>
              <w:rPr>
                <w:rFonts w:cs="Arial"/>
                <w:szCs w:val="22"/>
              </w:rPr>
              <w:t>%)</w:t>
            </w:r>
          </w:p>
        </w:tc>
        <w:tc>
          <w:tcPr>
            <w:tcW w:w="1620" w:type="dxa"/>
            <w:shd w:val="clear" w:color="auto" w:fill="FFFFFF" w:themeFill="background1"/>
          </w:tcPr>
          <w:p w14:paraId="49B0FB07" w14:textId="27B7848E" w:rsidR="00812A7C" w:rsidRDefault="00812A7C" w:rsidP="00F22D1F">
            <w:pPr>
              <w:rPr>
                <w:rFonts w:cs="Arial"/>
                <w:szCs w:val="22"/>
              </w:rPr>
            </w:pPr>
            <w:r>
              <w:rPr>
                <w:rFonts w:cs="Arial"/>
                <w:szCs w:val="22"/>
              </w:rPr>
              <w:t>1</w:t>
            </w:r>
            <w:r w:rsidR="00F22D1F">
              <w:rPr>
                <w:rFonts w:cs="Arial"/>
                <w:szCs w:val="22"/>
              </w:rPr>
              <w:t>.25</w:t>
            </w:r>
            <w:r>
              <w:rPr>
                <w:rFonts w:cs="Arial"/>
                <w:szCs w:val="22"/>
              </w:rPr>
              <w:t xml:space="preserve"> (</w:t>
            </w:r>
            <w:r w:rsidR="00F22D1F">
              <w:rPr>
                <w:rFonts w:cs="Arial"/>
                <w:szCs w:val="22"/>
              </w:rPr>
              <w:t>84</w:t>
            </w:r>
            <w:r>
              <w:rPr>
                <w:rFonts w:cs="Arial"/>
                <w:szCs w:val="22"/>
              </w:rPr>
              <w:t>%)</w:t>
            </w:r>
          </w:p>
        </w:tc>
        <w:tc>
          <w:tcPr>
            <w:tcW w:w="1563" w:type="dxa"/>
            <w:shd w:val="clear" w:color="auto" w:fill="FFFFFF" w:themeFill="background1"/>
          </w:tcPr>
          <w:p w14:paraId="499BA1C1" w14:textId="0614EF5D" w:rsidR="00812A7C" w:rsidRDefault="00812A7C" w:rsidP="00F22D1F">
            <w:pPr>
              <w:rPr>
                <w:rFonts w:cs="Arial"/>
                <w:szCs w:val="22"/>
              </w:rPr>
            </w:pPr>
            <w:r>
              <w:rPr>
                <w:rFonts w:cs="Arial"/>
                <w:szCs w:val="22"/>
              </w:rPr>
              <w:t>1.6 (</w:t>
            </w:r>
            <w:r w:rsidR="00F22D1F">
              <w:rPr>
                <w:rFonts w:cs="Arial"/>
                <w:szCs w:val="22"/>
              </w:rPr>
              <w:t>80</w:t>
            </w:r>
            <w:r>
              <w:rPr>
                <w:rFonts w:cs="Arial"/>
                <w:szCs w:val="22"/>
              </w:rPr>
              <w:t>%)</w:t>
            </w:r>
          </w:p>
        </w:tc>
      </w:tr>
      <w:tr w:rsidR="00812A7C" w14:paraId="7C52DEAA" w14:textId="77777777" w:rsidTr="00812A7C">
        <w:tc>
          <w:tcPr>
            <w:tcW w:w="1388" w:type="dxa"/>
          </w:tcPr>
          <w:p w14:paraId="7FE07752" w14:textId="6A86687F" w:rsidR="00812A7C" w:rsidRDefault="00812A7C" w:rsidP="00CF6EBE">
            <w:pPr>
              <w:rPr>
                <w:rFonts w:cs="Arial"/>
                <w:szCs w:val="22"/>
              </w:rPr>
            </w:pPr>
            <w:r>
              <w:rPr>
                <w:rFonts w:cs="Arial"/>
                <w:szCs w:val="22"/>
              </w:rPr>
              <w:t>70</w:t>
            </w:r>
          </w:p>
        </w:tc>
        <w:tc>
          <w:tcPr>
            <w:tcW w:w="1346" w:type="dxa"/>
          </w:tcPr>
          <w:p w14:paraId="062C5CC0" w14:textId="0E3F314E" w:rsidR="00812A7C" w:rsidRDefault="00812A7C" w:rsidP="00CF6EBE">
            <w:pPr>
              <w:rPr>
                <w:rFonts w:cs="Arial"/>
                <w:szCs w:val="22"/>
              </w:rPr>
            </w:pPr>
            <w:r>
              <w:rPr>
                <w:rFonts w:cs="Arial"/>
                <w:szCs w:val="22"/>
              </w:rPr>
              <w:t>0.</w:t>
            </w:r>
            <w:r w:rsidR="00F22D1F">
              <w:rPr>
                <w:rFonts w:cs="Arial"/>
                <w:szCs w:val="22"/>
              </w:rPr>
              <w:t>3</w:t>
            </w:r>
          </w:p>
        </w:tc>
        <w:tc>
          <w:tcPr>
            <w:tcW w:w="1761" w:type="dxa"/>
            <w:shd w:val="clear" w:color="auto" w:fill="FFFFFF" w:themeFill="background1"/>
          </w:tcPr>
          <w:p w14:paraId="1DD7C46F" w14:textId="08DBA4D7" w:rsidR="00812A7C" w:rsidRDefault="00812A7C" w:rsidP="00F22D1F">
            <w:pPr>
              <w:rPr>
                <w:rFonts w:cs="Arial"/>
                <w:szCs w:val="22"/>
              </w:rPr>
            </w:pPr>
            <w:r>
              <w:rPr>
                <w:rFonts w:cs="Arial"/>
                <w:szCs w:val="22"/>
              </w:rPr>
              <w:t>2.</w:t>
            </w:r>
            <w:r w:rsidR="00F22D1F">
              <w:rPr>
                <w:rFonts w:cs="Arial"/>
                <w:szCs w:val="22"/>
              </w:rPr>
              <w:t>0</w:t>
            </w:r>
            <w:r>
              <w:rPr>
                <w:rFonts w:cs="Arial"/>
                <w:szCs w:val="22"/>
              </w:rPr>
              <w:t xml:space="preserve"> (</w:t>
            </w:r>
            <w:r w:rsidR="00F22D1F">
              <w:rPr>
                <w:rFonts w:cs="Arial"/>
                <w:szCs w:val="22"/>
              </w:rPr>
              <w:t>85</w:t>
            </w:r>
            <w:r>
              <w:rPr>
                <w:rFonts w:cs="Arial"/>
                <w:szCs w:val="22"/>
              </w:rPr>
              <w:t>%)</w:t>
            </w:r>
          </w:p>
        </w:tc>
        <w:tc>
          <w:tcPr>
            <w:tcW w:w="1620" w:type="dxa"/>
            <w:shd w:val="clear" w:color="auto" w:fill="FFFFFF" w:themeFill="background1"/>
          </w:tcPr>
          <w:p w14:paraId="79979F4D" w14:textId="281DAB09" w:rsidR="00812A7C" w:rsidRDefault="00812A7C" w:rsidP="00F22D1F">
            <w:pPr>
              <w:rPr>
                <w:rFonts w:cs="Arial"/>
                <w:szCs w:val="22"/>
              </w:rPr>
            </w:pPr>
            <w:r>
              <w:rPr>
                <w:rFonts w:cs="Arial"/>
                <w:szCs w:val="22"/>
              </w:rPr>
              <w:t>1.3 (</w:t>
            </w:r>
            <w:r w:rsidR="00F22D1F">
              <w:rPr>
                <w:rFonts w:cs="Arial"/>
                <w:szCs w:val="22"/>
              </w:rPr>
              <w:t>90</w:t>
            </w:r>
            <w:r>
              <w:rPr>
                <w:rFonts w:cs="Arial"/>
                <w:szCs w:val="22"/>
              </w:rPr>
              <w:t>%)</w:t>
            </w:r>
          </w:p>
        </w:tc>
        <w:tc>
          <w:tcPr>
            <w:tcW w:w="1563" w:type="dxa"/>
            <w:shd w:val="clear" w:color="auto" w:fill="FFFFFF" w:themeFill="background1"/>
          </w:tcPr>
          <w:p w14:paraId="206FCE87" w14:textId="0C1B2EE8" w:rsidR="00812A7C" w:rsidRDefault="00812A7C" w:rsidP="00F22D1F">
            <w:pPr>
              <w:rPr>
                <w:rFonts w:cs="Arial"/>
                <w:szCs w:val="22"/>
              </w:rPr>
            </w:pPr>
            <w:r>
              <w:rPr>
                <w:rFonts w:cs="Arial"/>
                <w:szCs w:val="22"/>
              </w:rPr>
              <w:t>1.8 (</w:t>
            </w:r>
            <w:r w:rsidR="00F22D1F">
              <w:rPr>
                <w:rFonts w:cs="Arial"/>
                <w:szCs w:val="22"/>
              </w:rPr>
              <w:t>91</w:t>
            </w:r>
            <w:r>
              <w:rPr>
                <w:rFonts w:cs="Arial"/>
                <w:szCs w:val="22"/>
              </w:rPr>
              <w:t>%)</w:t>
            </w:r>
          </w:p>
        </w:tc>
      </w:tr>
      <w:tr w:rsidR="00812A7C" w14:paraId="43A45863" w14:textId="77777777" w:rsidTr="00812A7C">
        <w:tc>
          <w:tcPr>
            <w:tcW w:w="1388" w:type="dxa"/>
          </w:tcPr>
          <w:p w14:paraId="123526DB" w14:textId="29C1535F" w:rsidR="00812A7C" w:rsidRDefault="00812A7C" w:rsidP="00CF6EBE">
            <w:pPr>
              <w:rPr>
                <w:rFonts w:cs="Arial"/>
                <w:szCs w:val="22"/>
              </w:rPr>
            </w:pPr>
            <w:r>
              <w:rPr>
                <w:rFonts w:cs="Arial"/>
                <w:szCs w:val="22"/>
              </w:rPr>
              <w:t>90</w:t>
            </w:r>
          </w:p>
        </w:tc>
        <w:tc>
          <w:tcPr>
            <w:tcW w:w="1346" w:type="dxa"/>
          </w:tcPr>
          <w:p w14:paraId="5DFF3230" w14:textId="295343D8" w:rsidR="00812A7C" w:rsidRDefault="00812A7C" w:rsidP="00CF6EBE">
            <w:pPr>
              <w:rPr>
                <w:rFonts w:cs="Arial"/>
                <w:szCs w:val="22"/>
              </w:rPr>
            </w:pPr>
            <w:r>
              <w:rPr>
                <w:rFonts w:cs="Arial"/>
                <w:szCs w:val="22"/>
              </w:rPr>
              <w:t>0.</w:t>
            </w:r>
            <w:r w:rsidR="00F22D1F">
              <w:rPr>
                <w:rFonts w:cs="Arial"/>
                <w:szCs w:val="22"/>
              </w:rPr>
              <w:t>1</w:t>
            </w:r>
          </w:p>
        </w:tc>
        <w:tc>
          <w:tcPr>
            <w:tcW w:w="1761" w:type="dxa"/>
            <w:shd w:val="clear" w:color="auto" w:fill="FFFFFF" w:themeFill="background1"/>
          </w:tcPr>
          <w:p w14:paraId="21FE30D6" w14:textId="0C66D1C5" w:rsidR="00812A7C" w:rsidRDefault="00F22D1F" w:rsidP="00CF6EBE">
            <w:pPr>
              <w:rPr>
                <w:rFonts w:cs="Arial"/>
                <w:szCs w:val="22"/>
              </w:rPr>
            </w:pPr>
            <w:r>
              <w:rPr>
                <w:rFonts w:cs="Arial"/>
                <w:szCs w:val="22"/>
              </w:rPr>
              <w:t>1.6</w:t>
            </w:r>
            <w:r w:rsidR="00E753DB">
              <w:rPr>
                <w:rFonts w:cs="Arial"/>
                <w:szCs w:val="22"/>
              </w:rPr>
              <w:t xml:space="preserve"> (91%)</w:t>
            </w:r>
          </w:p>
        </w:tc>
        <w:tc>
          <w:tcPr>
            <w:tcW w:w="1620" w:type="dxa"/>
            <w:shd w:val="clear" w:color="auto" w:fill="FFFFFF" w:themeFill="background1"/>
          </w:tcPr>
          <w:p w14:paraId="2FA447F4" w14:textId="731F4595" w:rsidR="00812A7C" w:rsidRDefault="00E753DB" w:rsidP="00E753DB">
            <w:pPr>
              <w:rPr>
                <w:rFonts w:cs="Arial"/>
                <w:szCs w:val="22"/>
              </w:rPr>
            </w:pPr>
            <w:r>
              <w:rPr>
                <w:rFonts w:cs="Arial"/>
                <w:szCs w:val="22"/>
              </w:rPr>
              <w:t>1.25 (8</w:t>
            </w:r>
            <w:r w:rsidR="00F22D1F">
              <w:rPr>
                <w:rFonts w:cs="Arial"/>
                <w:szCs w:val="22"/>
              </w:rPr>
              <w:t>6</w:t>
            </w:r>
            <w:r>
              <w:rPr>
                <w:rFonts w:cs="Arial"/>
                <w:szCs w:val="22"/>
              </w:rPr>
              <w:t>%)</w:t>
            </w:r>
          </w:p>
        </w:tc>
        <w:tc>
          <w:tcPr>
            <w:tcW w:w="1563" w:type="dxa"/>
            <w:shd w:val="clear" w:color="auto" w:fill="FFFFFF" w:themeFill="background1"/>
          </w:tcPr>
          <w:p w14:paraId="76981681" w14:textId="0DFD62AD" w:rsidR="00812A7C" w:rsidRDefault="00F22D1F" w:rsidP="00CF6EBE">
            <w:pPr>
              <w:rPr>
                <w:rFonts w:cs="Arial"/>
                <w:szCs w:val="22"/>
              </w:rPr>
            </w:pPr>
            <w:r>
              <w:rPr>
                <w:rFonts w:cs="Arial"/>
                <w:szCs w:val="22"/>
              </w:rPr>
              <w:t>1.6 (85</w:t>
            </w:r>
            <w:r w:rsidR="00E753DB">
              <w:rPr>
                <w:rFonts w:cs="Arial"/>
                <w:szCs w:val="22"/>
              </w:rPr>
              <w:t>%)</w:t>
            </w:r>
          </w:p>
        </w:tc>
      </w:tr>
      <w:tr w:rsidR="00812A7C" w14:paraId="250FB2A7" w14:textId="77777777" w:rsidTr="00812A7C">
        <w:tc>
          <w:tcPr>
            <w:tcW w:w="1388" w:type="dxa"/>
          </w:tcPr>
          <w:p w14:paraId="12DF9BD2" w14:textId="65302671" w:rsidR="00812A7C" w:rsidRDefault="00812A7C" w:rsidP="00CF6EBE">
            <w:pPr>
              <w:rPr>
                <w:rFonts w:cs="Arial"/>
                <w:szCs w:val="22"/>
              </w:rPr>
            </w:pPr>
            <w:r>
              <w:rPr>
                <w:rFonts w:cs="Arial"/>
                <w:szCs w:val="22"/>
              </w:rPr>
              <w:t>90</w:t>
            </w:r>
          </w:p>
        </w:tc>
        <w:tc>
          <w:tcPr>
            <w:tcW w:w="1346" w:type="dxa"/>
          </w:tcPr>
          <w:p w14:paraId="725487E8" w14:textId="7A5E8C62" w:rsidR="00812A7C" w:rsidRDefault="00812A7C" w:rsidP="00CF6EBE">
            <w:pPr>
              <w:rPr>
                <w:rFonts w:cs="Arial"/>
                <w:szCs w:val="22"/>
              </w:rPr>
            </w:pPr>
            <w:r>
              <w:rPr>
                <w:rFonts w:cs="Arial"/>
                <w:szCs w:val="22"/>
              </w:rPr>
              <w:t>0.</w:t>
            </w:r>
            <w:r w:rsidR="00F22D1F">
              <w:rPr>
                <w:rFonts w:cs="Arial"/>
                <w:szCs w:val="22"/>
              </w:rPr>
              <w:t>3</w:t>
            </w:r>
          </w:p>
        </w:tc>
        <w:tc>
          <w:tcPr>
            <w:tcW w:w="1761" w:type="dxa"/>
            <w:shd w:val="clear" w:color="auto" w:fill="FFFFFF" w:themeFill="background1"/>
          </w:tcPr>
          <w:p w14:paraId="1302351D" w14:textId="0C20AB7B" w:rsidR="00812A7C" w:rsidRDefault="00F22D1F" w:rsidP="00F22D1F">
            <w:pPr>
              <w:rPr>
                <w:rFonts w:cs="Arial"/>
                <w:szCs w:val="22"/>
              </w:rPr>
            </w:pPr>
            <w:r>
              <w:rPr>
                <w:rFonts w:cs="Arial"/>
                <w:szCs w:val="22"/>
              </w:rPr>
              <w:t>2.0</w:t>
            </w:r>
            <w:r w:rsidR="00E753DB">
              <w:rPr>
                <w:rFonts w:cs="Arial"/>
                <w:szCs w:val="22"/>
              </w:rPr>
              <w:t xml:space="preserve"> (</w:t>
            </w:r>
            <w:r>
              <w:rPr>
                <w:rFonts w:cs="Arial"/>
                <w:szCs w:val="22"/>
              </w:rPr>
              <w:t>86</w:t>
            </w:r>
            <w:r w:rsidR="00E753DB">
              <w:rPr>
                <w:rFonts w:cs="Arial"/>
                <w:szCs w:val="22"/>
              </w:rPr>
              <w:t>%)</w:t>
            </w:r>
          </w:p>
        </w:tc>
        <w:tc>
          <w:tcPr>
            <w:tcW w:w="1620" w:type="dxa"/>
            <w:shd w:val="clear" w:color="auto" w:fill="FFFFFF" w:themeFill="background1"/>
          </w:tcPr>
          <w:p w14:paraId="56BC522E" w14:textId="68414B9D" w:rsidR="00812A7C" w:rsidRDefault="00E753DB" w:rsidP="00CF6EBE">
            <w:pPr>
              <w:rPr>
                <w:rFonts w:cs="Arial"/>
                <w:szCs w:val="22"/>
              </w:rPr>
            </w:pPr>
            <w:r>
              <w:rPr>
                <w:rFonts w:cs="Arial"/>
                <w:szCs w:val="22"/>
              </w:rPr>
              <w:t>1.</w:t>
            </w:r>
            <w:r w:rsidR="00F22D1F">
              <w:rPr>
                <w:rFonts w:cs="Arial"/>
                <w:szCs w:val="22"/>
              </w:rPr>
              <w:t>25 (84</w:t>
            </w:r>
            <w:r>
              <w:rPr>
                <w:rFonts w:cs="Arial"/>
                <w:szCs w:val="22"/>
              </w:rPr>
              <w:t>%)</w:t>
            </w:r>
          </w:p>
        </w:tc>
        <w:tc>
          <w:tcPr>
            <w:tcW w:w="1563" w:type="dxa"/>
            <w:shd w:val="clear" w:color="auto" w:fill="FFFFFF" w:themeFill="background1"/>
          </w:tcPr>
          <w:p w14:paraId="31BFC5B0" w14:textId="0044C43D" w:rsidR="00812A7C" w:rsidRDefault="00F22D1F" w:rsidP="00CF6EBE">
            <w:pPr>
              <w:rPr>
                <w:rFonts w:cs="Arial"/>
                <w:szCs w:val="22"/>
              </w:rPr>
            </w:pPr>
            <w:r>
              <w:rPr>
                <w:rFonts w:cs="Arial"/>
                <w:szCs w:val="22"/>
              </w:rPr>
              <w:t>1.6 (83</w:t>
            </w:r>
            <w:r w:rsidR="00E753DB">
              <w:rPr>
                <w:rFonts w:cs="Arial"/>
                <w:szCs w:val="22"/>
              </w:rPr>
              <w:t>%)</w:t>
            </w:r>
          </w:p>
        </w:tc>
      </w:tr>
    </w:tbl>
    <w:p w14:paraId="3D4A039B" w14:textId="77777777" w:rsidR="00D576B7" w:rsidRDefault="00D576B7" w:rsidP="0029364F">
      <w:pPr>
        <w:ind w:left="360"/>
        <w:rPr>
          <w:rFonts w:cs="Arial"/>
          <w:szCs w:val="22"/>
        </w:rPr>
      </w:pPr>
    </w:p>
    <w:p w14:paraId="7BB88453" w14:textId="73937FB3" w:rsidR="00E753DB" w:rsidRDefault="00E753DB" w:rsidP="00E753DB">
      <w:pPr>
        <w:ind w:left="360"/>
        <w:rPr>
          <w:rFonts w:cs="Arial"/>
          <w:szCs w:val="22"/>
        </w:rPr>
      </w:pPr>
      <w:r>
        <w:rPr>
          <w:rFonts w:cs="Arial"/>
          <w:szCs w:val="22"/>
        </w:rPr>
        <w:t xml:space="preserve">Assuming </w:t>
      </w:r>
      <w:r w:rsidR="005A7C5A">
        <w:rPr>
          <w:rFonts w:cs="Arial"/>
          <w:szCs w:val="22"/>
        </w:rPr>
        <w:t xml:space="preserve">conservatively that </w:t>
      </w:r>
      <w:r w:rsidR="0067146E">
        <w:rPr>
          <w:rFonts w:cs="Arial"/>
          <w:szCs w:val="22"/>
        </w:rPr>
        <w:t xml:space="preserve">we enroll </w:t>
      </w:r>
      <w:r>
        <w:rPr>
          <w:rFonts w:cs="Arial"/>
          <w:szCs w:val="22"/>
        </w:rPr>
        <w:t xml:space="preserve">70 patients per cluster </w:t>
      </w:r>
      <w:r w:rsidR="005A7C5A">
        <w:rPr>
          <w:rFonts w:cs="Arial"/>
          <w:szCs w:val="22"/>
        </w:rPr>
        <w:t>with</w:t>
      </w:r>
      <w:r>
        <w:rPr>
          <w:rFonts w:cs="Arial"/>
          <w:szCs w:val="22"/>
        </w:rPr>
        <w:t xml:space="preserve"> a cluster correlation of 0.</w:t>
      </w:r>
      <w:r w:rsidR="00D665B7">
        <w:rPr>
          <w:rFonts w:cs="Arial"/>
          <w:szCs w:val="22"/>
        </w:rPr>
        <w:t>1</w:t>
      </w:r>
      <w:r>
        <w:rPr>
          <w:rFonts w:cs="Arial"/>
          <w:szCs w:val="22"/>
        </w:rPr>
        <w:t>, we will have &gt;80% power to detect a true hazard rat</w:t>
      </w:r>
      <w:r w:rsidR="00D665B7">
        <w:rPr>
          <w:rFonts w:cs="Arial"/>
          <w:szCs w:val="22"/>
        </w:rPr>
        <w:t>io of effect of HR 1.6 for the provider nudge, HR 1.25</w:t>
      </w:r>
      <w:r>
        <w:rPr>
          <w:rFonts w:cs="Arial"/>
          <w:szCs w:val="22"/>
        </w:rPr>
        <w:t xml:space="preserve"> for the patient nudge, and </w:t>
      </w:r>
      <w:r w:rsidR="00D665B7">
        <w:rPr>
          <w:rFonts w:cs="Arial"/>
          <w:szCs w:val="22"/>
        </w:rPr>
        <w:t>HR</w:t>
      </w:r>
      <w:r w:rsidR="0067146E">
        <w:rPr>
          <w:rFonts w:cs="Arial"/>
          <w:szCs w:val="22"/>
        </w:rPr>
        <w:t>R</w:t>
      </w:r>
      <w:r>
        <w:rPr>
          <w:rFonts w:cs="Arial"/>
          <w:szCs w:val="22"/>
        </w:rPr>
        <w:t xml:space="preserve"> 1.6 for the interaction. Assuming </w:t>
      </w:r>
      <w:r w:rsidR="00D665B7">
        <w:rPr>
          <w:rFonts w:cs="Arial"/>
          <w:szCs w:val="22"/>
        </w:rPr>
        <w:t>70</w:t>
      </w:r>
      <w:r>
        <w:rPr>
          <w:rFonts w:cs="Arial"/>
          <w:szCs w:val="22"/>
        </w:rPr>
        <w:t xml:space="preserve"> patients per cluster and a cluster correlation of 0.</w:t>
      </w:r>
      <w:r w:rsidR="00D665B7">
        <w:rPr>
          <w:rFonts w:cs="Arial"/>
          <w:szCs w:val="22"/>
        </w:rPr>
        <w:t>3</w:t>
      </w:r>
      <w:r>
        <w:rPr>
          <w:rFonts w:cs="Arial"/>
          <w:szCs w:val="22"/>
        </w:rPr>
        <w:t xml:space="preserve">, we will have &gt;80% power to detect a true hazard ratio of effect of HR </w:t>
      </w:r>
      <w:r w:rsidR="00D665B7">
        <w:rPr>
          <w:rFonts w:cs="Arial"/>
          <w:szCs w:val="22"/>
        </w:rPr>
        <w:t>2.0</w:t>
      </w:r>
      <w:r>
        <w:rPr>
          <w:rFonts w:cs="Arial"/>
          <w:szCs w:val="22"/>
        </w:rPr>
        <w:t xml:space="preserve"> for the provider nudge, HR 1.3 for the patient nudge, and HR</w:t>
      </w:r>
      <w:r w:rsidR="0067146E">
        <w:rPr>
          <w:rFonts w:cs="Arial"/>
          <w:szCs w:val="22"/>
        </w:rPr>
        <w:t>R</w:t>
      </w:r>
      <w:r>
        <w:rPr>
          <w:rFonts w:cs="Arial"/>
          <w:szCs w:val="22"/>
        </w:rPr>
        <w:t xml:space="preserve"> 1.</w:t>
      </w:r>
      <w:r w:rsidR="00F22D1F">
        <w:rPr>
          <w:rFonts w:cs="Arial"/>
          <w:szCs w:val="22"/>
        </w:rPr>
        <w:t>8 for the interaction.</w:t>
      </w:r>
      <w:r w:rsidR="00D665B7">
        <w:rPr>
          <w:rFonts w:cs="Arial"/>
          <w:szCs w:val="22"/>
        </w:rPr>
        <w:t xml:space="preserve"> These estimates improve slightly if we assume enrollment of 90 patients per cluster, allowing us to detect similar effect sizes with more power, as shown in the Table above.</w:t>
      </w:r>
    </w:p>
    <w:p w14:paraId="65D169D4" w14:textId="77777777" w:rsidR="0064403F" w:rsidRPr="0029364F" w:rsidRDefault="0064403F" w:rsidP="0029364F">
      <w:pPr>
        <w:ind w:left="360"/>
        <w:rPr>
          <w:rFonts w:cs="Arial"/>
          <w:b/>
          <w:i/>
          <w:szCs w:val="22"/>
        </w:rPr>
      </w:pPr>
    </w:p>
    <w:p w14:paraId="2DD5D816" w14:textId="77777777" w:rsidR="00FE7AB0" w:rsidRDefault="00FE7AB0" w:rsidP="00FF3C92">
      <w:pPr>
        <w:rPr>
          <w:rFonts w:cs="Arial"/>
          <w:b/>
          <w:szCs w:val="22"/>
        </w:rPr>
      </w:pPr>
    </w:p>
    <w:p w14:paraId="7FCF974F" w14:textId="77777777" w:rsidR="003B4302" w:rsidRPr="00C8273B" w:rsidRDefault="003B4302" w:rsidP="00FF3C92">
      <w:pPr>
        <w:rPr>
          <w:rFonts w:cs="Arial"/>
          <w:b/>
          <w:szCs w:val="22"/>
        </w:rPr>
      </w:pPr>
      <w:r w:rsidRPr="00C8273B">
        <w:rPr>
          <w:rFonts w:cs="Arial"/>
          <w:b/>
          <w:szCs w:val="22"/>
        </w:rPr>
        <w:t>RISK/BENEFIT ASSESSMENT</w:t>
      </w:r>
      <w:r w:rsidR="008C0870" w:rsidRPr="00C8273B">
        <w:rPr>
          <w:rFonts w:cs="Arial"/>
          <w:b/>
          <w:szCs w:val="22"/>
        </w:rPr>
        <w:t>:</w:t>
      </w:r>
    </w:p>
    <w:p w14:paraId="59ECB14D" w14:textId="77777777" w:rsidR="003B4302" w:rsidRPr="00C8273B" w:rsidRDefault="003B4302" w:rsidP="00FF3C92">
      <w:pPr>
        <w:tabs>
          <w:tab w:val="left" w:pos="-1440"/>
        </w:tabs>
        <w:jc w:val="both"/>
        <w:rPr>
          <w:rFonts w:cs="Arial"/>
          <w:b/>
          <w:szCs w:val="22"/>
        </w:rPr>
      </w:pPr>
    </w:p>
    <w:p w14:paraId="685ABDB2" w14:textId="77777777" w:rsidR="003B4302" w:rsidRPr="00C8273B" w:rsidRDefault="003B4302" w:rsidP="005C559D">
      <w:pPr>
        <w:tabs>
          <w:tab w:val="left" w:pos="-1440"/>
        </w:tabs>
        <w:ind w:left="360"/>
        <w:jc w:val="both"/>
        <w:rPr>
          <w:rFonts w:cs="Arial"/>
          <w:b/>
          <w:i/>
          <w:szCs w:val="22"/>
        </w:rPr>
      </w:pPr>
      <w:r w:rsidRPr="00C8273B">
        <w:rPr>
          <w:rFonts w:cs="Arial"/>
          <w:b/>
          <w:i/>
          <w:szCs w:val="22"/>
        </w:rPr>
        <w:t>1. Risks</w:t>
      </w:r>
      <w:r w:rsidR="008C0870" w:rsidRPr="00C8273B">
        <w:rPr>
          <w:rFonts w:cs="Arial"/>
          <w:b/>
          <w:i/>
          <w:szCs w:val="22"/>
        </w:rPr>
        <w:t>:</w:t>
      </w:r>
      <w:r w:rsidRPr="00C8273B">
        <w:rPr>
          <w:rFonts w:cs="Arial"/>
          <w:b/>
          <w:i/>
          <w:szCs w:val="22"/>
        </w:rPr>
        <w:t xml:space="preserve"> </w:t>
      </w:r>
    </w:p>
    <w:p w14:paraId="7C2C56FD" w14:textId="77777777" w:rsidR="00A646C2" w:rsidRDefault="00C8273B" w:rsidP="005C559D">
      <w:pPr>
        <w:tabs>
          <w:tab w:val="left" w:pos="-1440"/>
        </w:tabs>
        <w:ind w:left="360"/>
        <w:rPr>
          <w:rFonts w:cs="Arial"/>
          <w:szCs w:val="22"/>
        </w:rPr>
      </w:pPr>
      <w:r w:rsidRPr="00C8273B">
        <w:rPr>
          <w:rFonts w:cs="Arial"/>
          <w:szCs w:val="22"/>
        </w:rPr>
        <w:t xml:space="preserve">There are minimal risks to participants in this trial. </w:t>
      </w:r>
      <w:r w:rsidR="00C0581B" w:rsidRPr="00C0581B">
        <w:rPr>
          <w:rFonts w:cs="Arial"/>
          <w:szCs w:val="22"/>
        </w:rPr>
        <w:t>There is a risk of breach of data and confidentiality, however we described the precautions in place to securely manage this data in the Data Management section of this protocol.</w:t>
      </w:r>
      <w:r w:rsidR="00C0581B">
        <w:rPr>
          <w:rFonts w:cs="Arial"/>
          <w:szCs w:val="22"/>
        </w:rPr>
        <w:t xml:space="preserve"> </w:t>
      </w:r>
      <w:r w:rsidR="00A646C2" w:rsidRPr="00A646C2">
        <w:rPr>
          <w:rFonts w:cs="Arial"/>
          <w:szCs w:val="22"/>
        </w:rPr>
        <w:t xml:space="preserve">As noted above, substantial data demonstrates that ACPs improve patient goal-concordant care without any identified harms (despite concerns that ACPs may increase psychosocial distress, the opposite has been found), so the negative impact on patients is minimal. </w:t>
      </w:r>
    </w:p>
    <w:p w14:paraId="4C121561" w14:textId="77777777" w:rsidR="00A646C2" w:rsidRPr="00A646C2" w:rsidRDefault="00A646C2" w:rsidP="005C559D">
      <w:pPr>
        <w:tabs>
          <w:tab w:val="left" w:pos="-1440"/>
        </w:tabs>
        <w:ind w:left="360"/>
        <w:rPr>
          <w:rFonts w:cs="Arial"/>
          <w:szCs w:val="22"/>
        </w:rPr>
      </w:pPr>
    </w:p>
    <w:p w14:paraId="6CCB129C" w14:textId="77777777" w:rsidR="0026323B" w:rsidRPr="007326C2" w:rsidRDefault="00A646C2" w:rsidP="005C559D">
      <w:pPr>
        <w:tabs>
          <w:tab w:val="left" w:pos="-1440"/>
        </w:tabs>
        <w:ind w:left="360"/>
        <w:rPr>
          <w:rFonts w:cs="Arial"/>
          <w:szCs w:val="22"/>
        </w:rPr>
      </w:pPr>
      <w:r w:rsidRPr="00A646C2">
        <w:rPr>
          <w:rFonts w:cs="Arial"/>
          <w:szCs w:val="22"/>
        </w:rPr>
        <w:t>The provider data that will be shared with providers is already shared in one form (in the case of SIC rates</w:t>
      </w:r>
      <w:r>
        <w:rPr>
          <w:rFonts w:cs="Arial"/>
          <w:szCs w:val="22"/>
        </w:rPr>
        <w:t>), so the trial does not expos</w:t>
      </w:r>
      <w:r w:rsidRPr="00A646C2">
        <w:rPr>
          <w:rFonts w:cs="Arial"/>
          <w:szCs w:val="22"/>
        </w:rPr>
        <w:t>e providers to additional risk.</w:t>
      </w:r>
    </w:p>
    <w:p w14:paraId="4595EBD9" w14:textId="77777777" w:rsidR="00621235" w:rsidRPr="007326C2" w:rsidRDefault="00621235" w:rsidP="005C559D">
      <w:pPr>
        <w:tabs>
          <w:tab w:val="left" w:pos="-1440"/>
        </w:tabs>
        <w:ind w:left="360"/>
        <w:jc w:val="both"/>
        <w:rPr>
          <w:rFonts w:cs="Arial"/>
          <w:szCs w:val="22"/>
        </w:rPr>
      </w:pPr>
    </w:p>
    <w:p w14:paraId="2385C35E" w14:textId="77777777" w:rsidR="003B4302" w:rsidRPr="007326C2" w:rsidRDefault="003B4302" w:rsidP="005C559D">
      <w:pPr>
        <w:tabs>
          <w:tab w:val="left" w:pos="-1440"/>
        </w:tabs>
        <w:ind w:left="360"/>
        <w:jc w:val="both"/>
        <w:rPr>
          <w:rFonts w:cs="Arial"/>
          <w:b/>
          <w:szCs w:val="22"/>
        </w:rPr>
      </w:pPr>
      <w:r w:rsidRPr="007326C2">
        <w:rPr>
          <w:rFonts w:cs="Arial"/>
          <w:b/>
          <w:i/>
          <w:szCs w:val="22"/>
        </w:rPr>
        <w:t>2. Benefits</w:t>
      </w:r>
      <w:r w:rsidR="008C0870" w:rsidRPr="007326C2">
        <w:rPr>
          <w:rFonts w:cs="Arial"/>
          <w:b/>
          <w:i/>
          <w:szCs w:val="22"/>
        </w:rPr>
        <w:t>:</w:t>
      </w:r>
    </w:p>
    <w:p w14:paraId="5DA4B753" w14:textId="77777777" w:rsidR="00C8273B" w:rsidRDefault="00A646C2" w:rsidP="005C559D">
      <w:pPr>
        <w:ind w:left="360"/>
        <w:rPr>
          <w:rFonts w:cs="Arial"/>
          <w:bCs/>
          <w:szCs w:val="22"/>
        </w:rPr>
      </w:pPr>
      <w:r w:rsidRPr="00A646C2">
        <w:rPr>
          <w:rFonts w:cs="Arial"/>
          <w:bCs/>
          <w:szCs w:val="22"/>
        </w:rPr>
        <w:t xml:space="preserve">As described in the literature, patients may have improved quality of life and better goal-concordant care when exposed to ACPs, especially earlier in their disease course. An intervention that </w:t>
      </w:r>
      <w:r>
        <w:rPr>
          <w:rFonts w:cs="Arial"/>
          <w:bCs/>
          <w:szCs w:val="22"/>
        </w:rPr>
        <w:t>prompts providers to have an SIC</w:t>
      </w:r>
      <w:r w:rsidRPr="00A646C2">
        <w:rPr>
          <w:rFonts w:cs="Arial"/>
          <w:bCs/>
          <w:szCs w:val="22"/>
        </w:rPr>
        <w:t xml:space="preserve"> with patients </w:t>
      </w:r>
      <w:r>
        <w:rPr>
          <w:rFonts w:cs="Arial"/>
          <w:bCs/>
          <w:szCs w:val="22"/>
        </w:rPr>
        <w:t xml:space="preserve">on active treatment for cancer </w:t>
      </w:r>
      <w:r w:rsidRPr="00A646C2">
        <w:rPr>
          <w:rFonts w:cs="Arial"/>
          <w:bCs/>
          <w:szCs w:val="22"/>
        </w:rPr>
        <w:t>may increase the likelihood that these conversations occur and that they occur earlier in the disease course. However, it is possible that patients will receive no benefit from this study.</w:t>
      </w:r>
    </w:p>
    <w:p w14:paraId="1319E49D" w14:textId="77777777" w:rsidR="00A646C2" w:rsidRPr="007326C2" w:rsidRDefault="00A646C2" w:rsidP="005C559D">
      <w:pPr>
        <w:ind w:left="360"/>
      </w:pPr>
    </w:p>
    <w:p w14:paraId="63641F5E" w14:textId="77777777" w:rsidR="006F1D97" w:rsidRPr="007326C2" w:rsidRDefault="003B4302" w:rsidP="005C559D">
      <w:pPr>
        <w:ind w:left="360"/>
        <w:rPr>
          <w:rFonts w:cs="Arial"/>
          <w:b/>
          <w:i/>
          <w:szCs w:val="22"/>
        </w:rPr>
      </w:pPr>
      <w:r w:rsidRPr="007326C2">
        <w:rPr>
          <w:rFonts w:cs="Arial"/>
          <w:b/>
          <w:i/>
          <w:szCs w:val="22"/>
        </w:rPr>
        <w:t>3.</w:t>
      </w:r>
      <w:r w:rsidR="0026323B" w:rsidRPr="007326C2">
        <w:rPr>
          <w:rFonts w:cs="Arial"/>
          <w:b/>
          <w:i/>
          <w:szCs w:val="22"/>
        </w:rPr>
        <w:t xml:space="preserve"> </w:t>
      </w:r>
      <w:r w:rsidR="006F1D97" w:rsidRPr="007326C2">
        <w:rPr>
          <w:rFonts w:cs="Arial"/>
          <w:b/>
          <w:i/>
          <w:szCs w:val="22"/>
        </w:rPr>
        <w:t>Subject Privacy:</w:t>
      </w:r>
    </w:p>
    <w:p w14:paraId="13144C2B" w14:textId="77777777" w:rsidR="006F1D97" w:rsidRPr="007326C2" w:rsidRDefault="009124D1" w:rsidP="005C559D">
      <w:pPr>
        <w:pStyle w:val="Heading2"/>
        <w:numPr>
          <w:ilvl w:val="0"/>
          <w:numId w:val="0"/>
        </w:numPr>
        <w:ind w:left="360"/>
        <w:rPr>
          <w:rFonts w:cs="Arial"/>
          <w:b w:val="0"/>
          <w:sz w:val="22"/>
          <w:szCs w:val="22"/>
        </w:rPr>
      </w:pPr>
      <w:r w:rsidRPr="007326C2">
        <w:rPr>
          <w:rFonts w:cs="Arial"/>
          <w:b w:val="0"/>
          <w:sz w:val="22"/>
          <w:szCs w:val="22"/>
        </w:rPr>
        <w:t>Privacy will be given utmost consideration and is highly valued in the proposed research.</w:t>
      </w:r>
      <w:r w:rsidR="003A29D1">
        <w:rPr>
          <w:rFonts w:cs="Arial"/>
          <w:b w:val="0"/>
          <w:sz w:val="22"/>
          <w:szCs w:val="22"/>
        </w:rPr>
        <w:t xml:space="preserve"> No research activities involve any direct interaction with subjects that would pose risk to their privacy. </w:t>
      </w:r>
    </w:p>
    <w:p w14:paraId="0CBABA22" w14:textId="77777777" w:rsidR="009124D1" w:rsidRPr="007326C2" w:rsidRDefault="009124D1" w:rsidP="005C559D">
      <w:pPr>
        <w:ind w:left="360"/>
      </w:pPr>
    </w:p>
    <w:p w14:paraId="728359C7" w14:textId="77777777" w:rsidR="003B4302" w:rsidRPr="007326C2" w:rsidRDefault="006F1D97" w:rsidP="005C559D">
      <w:pPr>
        <w:pStyle w:val="Heading2"/>
        <w:numPr>
          <w:ilvl w:val="0"/>
          <w:numId w:val="0"/>
        </w:numPr>
        <w:ind w:left="360"/>
        <w:rPr>
          <w:rFonts w:cs="Arial"/>
          <w:i/>
          <w:sz w:val="22"/>
          <w:szCs w:val="22"/>
        </w:rPr>
      </w:pPr>
      <w:r w:rsidRPr="007326C2">
        <w:rPr>
          <w:rFonts w:cs="Arial"/>
          <w:i/>
          <w:sz w:val="22"/>
          <w:szCs w:val="22"/>
        </w:rPr>
        <w:lastRenderedPageBreak/>
        <w:t xml:space="preserve">4. </w:t>
      </w:r>
      <w:r w:rsidR="003B4302" w:rsidRPr="007326C2">
        <w:rPr>
          <w:rFonts w:cs="Arial"/>
          <w:i/>
          <w:sz w:val="22"/>
          <w:szCs w:val="22"/>
        </w:rPr>
        <w:t>Subject Confidentiality</w:t>
      </w:r>
      <w:r w:rsidR="008C0870" w:rsidRPr="007326C2">
        <w:rPr>
          <w:rFonts w:cs="Arial"/>
          <w:i/>
          <w:sz w:val="22"/>
          <w:szCs w:val="22"/>
        </w:rPr>
        <w:t>:</w:t>
      </w:r>
    </w:p>
    <w:p w14:paraId="341826AC" w14:textId="77777777" w:rsidR="00FC2C27" w:rsidRPr="007326C2" w:rsidRDefault="00FC2C27" w:rsidP="005C559D">
      <w:pPr>
        <w:pStyle w:val="Heading2"/>
        <w:numPr>
          <w:ilvl w:val="0"/>
          <w:numId w:val="0"/>
        </w:numPr>
        <w:ind w:left="360"/>
        <w:rPr>
          <w:rFonts w:cs="Arial"/>
          <w:b w:val="0"/>
          <w:spacing w:val="-3"/>
          <w:sz w:val="22"/>
          <w:szCs w:val="22"/>
        </w:rPr>
      </w:pPr>
      <w:r w:rsidRPr="007326C2">
        <w:rPr>
          <w:rFonts w:cs="Arial"/>
          <w:b w:val="0"/>
          <w:spacing w:val="-3"/>
          <w:sz w:val="22"/>
          <w:szCs w:val="22"/>
        </w:rPr>
        <w:t xml:space="preserve">Confidentiality refers to the subject’s understanding of, and agreement to, the ways </w:t>
      </w:r>
      <w:r w:rsidR="00404450" w:rsidRPr="007326C2">
        <w:rPr>
          <w:rFonts w:cs="Arial"/>
          <w:b w:val="0"/>
          <w:spacing w:val="-3"/>
          <w:sz w:val="22"/>
          <w:szCs w:val="22"/>
        </w:rPr>
        <w:t>in which</w:t>
      </w:r>
      <w:r w:rsidRPr="007326C2">
        <w:rPr>
          <w:rFonts w:cs="Arial"/>
          <w:b w:val="0"/>
          <w:spacing w:val="-3"/>
          <w:sz w:val="22"/>
          <w:szCs w:val="22"/>
        </w:rPr>
        <w:t xml:space="preserve"> identifiable information will be stored and shared.  </w:t>
      </w:r>
    </w:p>
    <w:p w14:paraId="1D90663C" w14:textId="77777777" w:rsidR="00FC2C27" w:rsidRPr="007326C2" w:rsidRDefault="00FC2C27" w:rsidP="00FF3C92">
      <w:pPr>
        <w:rPr>
          <w:rFonts w:cs="Arial"/>
          <w:b/>
          <w:szCs w:val="22"/>
        </w:rPr>
      </w:pPr>
    </w:p>
    <w:p w14:paraId="47AEC5CB" w14:textId="77777777" w:rsidR="0094267C" w:rsidRPr="007326C2" w:rsidRDefault="0094267C" w:rsidP="0094267C">
      <w:pPr>
        <w:rPr>
          <w:rFonts w:cs="Arial"/>
          <w:b/>
          <w:szCs w:val="22"/>
        </w:rPr>
      </w:pPr>
      <w:r w:rsidRPr="007326C2">
        <w:rPr>
          <w:rFonts w:cs="Arial"/>
          <w:b/>
          <w:szCs w:val="22"/>
        </w:rPr>
        <w:t xml:space="preserve">How will confidentiality of data be maintained?  </w:t>
      </w:r>
    </w:p>
    <w:p w14:paraId="2E676553" w14:textId="77777777" w:rsidR="0094267C" w:rsidRPr="007326C2" w:rsidRDefault="0094267C" w:rsidP="00F54398">
      <w:pPr>
        <w:rPr>
          <w:rFonts w:cs="Arial"/>
          <w:szCs w:val="22"/>
        </w:rPr>
      </w:pPr>
      <w:bookmarkStart w:id="1" w:name="Check148"/>
      <w:bookmarkEnd w:id="1"/>
      <w:r w:rsidRPr="007326C2">
        <w:rPr>
          <w:rFonts w:cs="Arial"/>
          <w:szCs w:val="22"/>
        </w:rPr>
        <w:t xml:space="preserve"> </w:t>
      </w:r>
    </w:p>
    <w:p w14:paraId="4740995B" w14:textId="77777777" w:rsidR="00B6030A" w:rsidRPr="006D3614" w:rsidRDefault="00B6030A" w:rsidP="00B6030A">
      <w:pPr>
        <w:ind w:left="720"/>
        <w:rPr>
          <w:rFonts w:cs="Arial"/>
        </w:rPr>
      </w:pPr>
      <w:r w:rsidRPr="006D3614">
        <w:rPr>
          <w:rFonts w:cs="Arial"/>
        </w:rPr>
        <w:fldChar w:fldCharType="begin">
          <w:ffData>
            <w:name w:val="Check148"/>
            <w:enabled/>
            <w:calcOnExit w:val="0"/>
            <w:checkBox>
              <w:sizeAuto/>
              <w:default w:val="0"/>
            </w:checkBox>
          </w:ffData>
        </w:fldChar>
      </w:r>
      <w:r w:rsidRPr="006D3614">
        <w:rPr>
          <w:rFonts w:cs="Arial"/>
        </w:rPr>
        <w:instrText xml:space="preserve"> FORMCHECKBOX </w:instrText>
      </w:r>
      <w:r w:rsidR="00791C6F">
        <w:rPr>
          <w:rFonts w:cs="Arial"/>
        </w:rPr>
      </w:r>
      <w:r w:rsidR="00791C6F">
        <w:rPr>
          <w:rFonts w:cs="Arial"/>
        </w:rPr>
        <w:fldChar w:fldCharType="separate"/>
      </w:r>
      <w:r w:rsidRPr="006D3614">
        <w:rPr>
          <w:rFonts w:cs="Arial"/>
        </w:rPr>
        <w:fldChar w:fldCharType="end"/>
      </w:r>
      <w:r w:rsidRPr="006D3614">
        <w:rPr>
          <w:rFonts w:cs="Arial"/>
        </w:rPr>
        <w:t xml:space="preserve"> Paper-based records will be kept in a secure location and only be accessible to personnel involved in the study.</w:t>
      </w:r>
    </w:p>
    <w:p w14:paraId="14480EE7" w14:textId="77777777" w:rsidR="00B6030A" w:rsidRPr="006D3614" w:rsidRDefault="00B6030A" w:rsidP="00B6030A">
      <w:pPr>
        <w:ind w:left="720"/>
        <w:rPr>
          <w:rFonts w:cs="Arial"/>
        </w:rPr>
      </w:pPr>
      <w:r w:rsidRPr="006D3614">
        <w:rPr>
          <w:rFonts w:cs="Arial"/>
        </w:rPr>
        <w:fldChar w:fldCharType="begin">
          <w:ffData>
            <w:name w:val="Check148"/>
            <w:enabled/>
            <w:calcOnExit w:val="0"/>
            <w:checkBox>
              <w:sizeAuto/>
              <w:default w:val="1"/>
            </w:checkBox>
          </w:ffData>
        </w:fldChar>
      </w:r>
      <w:r w:rsidRPr="006D3614">
        <w:rPr>
          <w:rFonts w:cs="Arial"/>
        </w:rPr>
        <w:instrText xml:space="preserve"> FORMCHECKBOX </w:instrText>
      </w:r>
      <w:r w:rsidR="00791C6F">
        <w:rPr>
          <w:rFonts w:cs="Arial"/>
        </w:rPr>
      </w:r>
      <w:r w:rsidR="00791C6F">
        <w:rPr>
          <w:rFonts w:cs="Arial"/>
        </w:rPr>
        <w:fldChar w:fldCharType="separate"/>
      </w:r>
      <w:r w:rsidRPr="006D3614">
        <w:rPr>
          <w:rFonts w:cs="Arial"/>
        </w:rPr>
        <w:fldChar w:fldCharType="end"/>
      </w:r>
      <w:r w:rsidRPr="006D3614">
        <w:rPr>
          <w:rFonts w:cs="Arial"/>
        </w:rPr>
        <w:t xml:space="preserve"> Computer-based files will only be made available to personnel involved in the study through the use of access privileges and passwords.</w:t>
      </w:r>
    </w:p>
    <w:p w14:paraId="2B707B67" w14:textId="77777777" w:rsidR="00B6030A" w:rsidRPr="006D3614" w:rsidRDefault="00B6030A" w:rsidP="00B6030A">
      <w:pPr>
        <w:ind w:left="720"/>
        <w:rPr>
          <w:rFonts w:cs="Arial"/>
        </w:rPr>
      </w:pPr>
      <w:r w:rsidRPr="006D3614">
        <w:rPr>
          <w:rFonts w:cs="Arial"/>
        </w:rPr>
        <w:fldChar w:fldCharType="begin">
          <w:ffData>
            <w:name w:val="Check148"/>
            <w:enabled/>
            <w:calcOnExit w:val="0"/>
            <w:checkBox>
              <w:sizeAuto/>
              <w:default w:val="1"/>
            </w:checkBox>
          </w:ffData>
        </w:fldChar>
      </w:r>
      <w:r w:rsidRPr="006D3614">
        <w:rPr>
          <w:rFonts w:cs="Arial"/>
        </w:rPr>
        <w:instrText xml:space="preserve"> FORMCHECKBOX </w:instrText>
      </w:r>
      <w:r w:rsidR="00791C6F">
        <w:rPr>
          <w:rFonts w:cs="Arial"/>
        </w:rPr>
      </w:r>
      <w:r w:rsidR="00791C6F">
        <w:rPr>
          <w:rFonts w:cs="Arial"/>
        </w:rPr>
        <w:fldChar w:fldCharType="separate"/>
      </w:r>
      <w:r w:rsidRPr="006D3614">
        <w:rPr>
          <w:rFonts w:cs="Arial"/>
        </w:rPr>
        <w:fldChar w:fldCharType="end"/>
      </w:r>
      <w:r w:rsidRPr="006D3614">
        <w:rPr>
          <w:rFonts w:cs="Arial"/>
        </w:rPr>
        <w:t xml:space="preserve"> Prior to access to any study-related information, personnel will be required to sign statements agreeing to protect the security and confidentiality of identifiable information.</w:t>
      </w:r>
    </w:p>
    <w:p w14:paraId="153ADCD6" w14:textId="77777777" w:rsidR="00B6030A" w:rsidRPr="006D3614" w:rsidRDefault="00B6030A" w:rsidP="00B6030A">
      <w:pPr>
        <w:ind w:left="720"/>
        <w:rPr>
          <w:rFonts w:cs="Arial"/>
        </w:rPr>
      </w:pPr>
      <w:r w:rsidRPr="006D3614">
        <w:rPr>
          <w:rFonts w:cs="Arial"/>
        </w:rPr>
        <w:fldChar w:fldCharType="begin">
          <w:ffData>
            <w:name w:val="Check148"/>
            <w:enabled/>
            <w:calcOnExit w:val="0"/>
            <w:checkBox>
              <w:sizeAuto/>
              <w:default w:val="1"/>
            </w:checkBox>
          </w:ffData>
        </w:fldChar>
      </w:r>
      <w:r w:rsidRPr="006D3614">
        <w:rPr>
          <w:rFonts w:cs="Arial"/>
        </w:rPr>
        <w:instrText xml:space="preserve"> FORMCHECKBOX </w:instrText>
      </w:r>
      <w:r w:rsidR="00791C6F">
        <w:rPr>
          <w:rFonts w:cs="Arial"/>
        </w:rPr>
      </w:r>
      <w:r w:rsidR="00791C6F">
        <w:rPr>
          <w:rFonts w:cs="Arial"/>
        </w:rPr>
        <w:fldChar w:fldCharType="separate"/>
      </w:r>
      <w:r w:rsidRPr="006D3614">
        <w:rPr>
          <w:rFonts w:cs="Arial"/>
        </w:rPr>
        <w:fldChar w:fldCharType="end"/>
      </w:r>
      <w:r w:rsidRPr="006D3614">
        <w:rPr>
          <w:rFonts w:cs="Arial"/>
        </w:rPr>
        <w:t xml:space="preserve"> Whenever feasible, identifiers will be removed from study-related information. </w:t>
      </w:r>
    </w:p>
    <w:p w14:paraId="0E36BCFC" w14:textId="77777777" w:rsidR="00B6030A" w:rsidRPr="006D3614" w:rsidRDefault="00B6030A" w:rsidP="00B6030A">
      <w:pPr>
        <w:ind w:left="720"/>
        <w:rPr>
          <w:rFonts w:cs="Arial"/>
        </w:rPr>
      </w:pPr>
      <w:r w:rsidRPr="006D3614">
        <w:rPr>
          <w:rFonts w:cs="Arial"/>
        </w:rPr>
        <w:fldChar w:fldCharType="begin">
          <w:ffData>
            <w:name w:val="Check148"/>
            <w:enabled/>
            <w:calcOnExit w:val="0"/>
            <w:checkBox>
              <w:sizeAuto/>
              <w:default w:val="0"/>
            </w:checkBox>
          </w:ffData>
        </w:fldChar>
      </w:r>
      <w:r w:rsidRPr="006D3614">
        <w:rPr>
          <w:rFonts w:cs="Arial"/>
        </w:rPr>
        <w:instrText xml:space="preserve"> FORMCHECKBOX </w:instrText>
      </w:r>
      <w:r w:rsidR="00791C6F">
        <w:rPr>
          <w:rFonts w:cs="Arial"/>
        </w:rPr>
      </w:r>
      <w:r w:rsidR="00791C6F">
        <w:rPr>
          <w:rFonts w:cs="Arial"/>
        </w:rPr>
        <w:fldChar w:fldCharType="separate"/>
      </w:r>
      <w:r w:rsidRPr="006D3614">
        <w:rPr>
          <w:rFonts w:cs="Arial"/>
        </w:rPr>
        <w:fldChar w:fldCharType="end"/>
      </w:r>
      <w:r w:rsidRPr="006D3614">
        <w:rPr>
          <w:rFonts w:cs="Arial"/>
        </w:rPr>
        <w:t xml:space="preserve"> A Certificate of Confidentiality will be obtained, because the research could place the subject at risk of criminal or civil liability or cause damage to the subject’s financial standing, employability, or liability.</w:t>
      </w:r>
    </w:p>
    <w:p w14:paraId="64FCCEB6" w14:textId="77777777" w:rsidR="00B6030A" w:rsidRPr="006D3614" w:rsidRDefault="00B6030A" w:rsidP="00B6030A">
      <w:pPr>
        <w:ind w:left="720"/>
        <w:rPr>
          <w:rFonts w:cs="Arial"/>
        </w:rPr>
      </w:pPr>
      <w:r w:rsidRPr="006D3614">
        <w:rPr>
          <w:rFonts w:cs="Arial"/>
        </w:rPr>
        <w:fldChar w:fldCharType="begin">
          <w:ffData>
            <w:name w:val="Check148"/>
            <w:enabled/>
            <w:calcOnExit w:val="0"/>
            <w:checkBox>
              <w:sizeAuto/>
              <w:default w:val="1"/>
            </w:checkBox>
          </w:ffData>
        </w:fldChar>
      </w:r>
      <w:r w:rsidRPr="006D3614">
        <w:rPr>
          <w:rFonts w:cs="Arial"/>
        </w:rPr>
        <w:instrText xml:space="preserve"> FORMCHECKBOX </w:instrText>
      </w:r>
      <w:r w:rsidR="00791C6F">
        <w:rPr>
          <w:rFonts w:cs="Arial"/>
        </w:rPr>
      </w:r>
      <w:r w:rsidR="00791C6F">
        <w:rPr>
          <w:rFonts w:cs="Arial"/>
        </w:rPr>
        <w:fldChar w:fldCharType="separate"/>
      </w:r>
      <w:r w:rsidRPr="006D3614">
        <w:rPr>
          <w:rFonts w:cs="Arial"/>
        </w:rPr>
        <w:fldChar w:fldCharType="end"/>
      </w:r>
      <w:r w:rsidRPr="006D3614">
        <w:rPr>
          <w:rFonts w:cs="Arial"/>
        </w:rPr>
        <w:t xml:space="preserve"> A waiver of documentation of consent is being requested, because the only link between the subject and the study would be the consent document and the primary risk is a breach of confidentiality.  (This is not an option for FDA-regulated research.) </w:t>
      </w:r>
    </w:p>
    <w:p w14:paraId="5192FAAD" w14:textId="77777777" w:rsidR="00B6030A" w:rsidRPr="006D3614" w:rsidRDefault="00B6030A" w:rsidP="00B6030A">
      <w:pPr>
        <w:ind w:left="720"/>
        <w:rPr>
          <w:rFonts w:cs="Arial"/>
        </w:rPr>
      </w:pPr>
      <w:r w:rsidRPr="006D3614">
        <w:rPr>
          <w:rFonts w:cs="Arial"/>
        </w:rPr>
        <w:fldChar w:fldCharType="begin">
          <w:ffData>
            <w:name w:val="Check148"/>
            <w:enabled/>
            <w:calcOnExit w:val="0"/>
            <w:checkBox>
              <w:sizeAuto/>
              <w:default w:val="1"/>
            </w:checkBox>
          </w:ffData>
        </w:fldChar>
      </w:r>
      <w:r w:rsidRPr="006D3614">
        <w:rPr>
          <w:rFonts w:cs="Arial"/>
        </w:rPr>
        <w:instrText xml:space="preserve"> FORMCHECKBOX </w:instrText>
      </w:r>
      <w:r w:rsidR="00791C6F">
        <w:rPr>
          <w:rFonts w:cs="Arial"/>
        </w:rPr>
      </w:r>
      <w:r w:rsidR="00791C6F">
        <w:rPr>
          <w:rFonts w:cs="Arial"/>
        </w:rPr>
        <w:fldChar w:fldCharType="separate"/>
      </w:r>
      <w:r w:rsidRPr="006D3614">
        <w:rPr>
          <w:rFonts w:cs="Arial"/>
        </w:rPr>
        <w:fldChar w:fldCharType="end"/>
      </w:r>
      <w:r w:rsidRPr="006D3614">
        <w:rPr>
          <w:rFonts w:cs="Arial"/>
        </w:rPr>
        <w:t xml:space="preserve"> Precautions are in place to ensure the data is secure by using passwords and encryption, because the research involves web-based surveys.  </w:t>
      </w:r>
    </w:p>
    <w:p w14:paraId="0EA7A188" w14:textId="77777777" w:rsidR="00B6030A" w:rsidRPr="006D3614" w:rsidRDefault="00B6030A" w:rsidP="00B6030A">
      <w:pPr>
        <w:ind w:left="720"/>
        <w:rPr>
          <w:rFonts w:cs="Arial"/>
        </w:rPr>
      </w:pPr>
      <w:r w:rsidRPr="006D3614">
        <w:rPr>
          <w:rFonts w:cs="Arial"/>
        </w:rPr>
        <w:fldChar w:fldCharType="begin">
          <w:ffData>
            <w:name w:val=""/>
            <w:enabled/>
            <w:calcOnExit w:val="0"/>
            <w:checkBox>
              <w:sizeAuto/>
              <w:default w:val="0"/>
            </w:checkBox>
          </w:ffData>
        </w:fldChar>
      </w:r>
      <w:r w:rsidRPr="006D3614">
        <w:rPr>
          <w:rFonts w:cs="Arial"/>
        </w:rPr>
        <w:instrText xml:space="preserve"> FORMCHECKBOX </w:instrText>
      </w:r>
      <w:r w:rsidR="00791C6F">
        <w:rPr>
          <w:rFonts w:cs="Arial"/>
        </w:rPr>
      </w:r>
      <w:r w:rsidR="00791C6F">
        <w:rPr>
          <w:rFonts w:cs="Arial"/>
        </w:rPr>
        <w:fldChar w:fldCharType="separate"/>
      </w:r>
      <w:r w:rsidRPr="006D3614">
        <w:rPr>
          <w:rFonts w:cs="Arial"/>
        </w:rPr>
        <w:fldChar w:fldCharType="end"/>
      </w:r>
      <w:r w:rsidRPr="006D3614">
        <w:rPr>
          <w:rFonts w:cs="Arial"/>
        </w:rPr>
        <w:t xml:space="preserve"> Audio and/or video recordings will be transcribed and then destroyed to eliminate audible identification of subjects. </w:t>
      </w:r>
    </w:p>
    <w:p w14:paraId="59F2AD12" w14:textId="4FEC9A59" w:rsidR="0060205E" w:rsidRPr="006D3614" w:rsidRDefault="00B6030A" w:rsidP="00B6030A">
      <w:pPr>
        <w:ind w:left="720"/>
        <w:rPr>
          <w:rFonts w:cs="Arial"/>
        </w:rPr>
      </w:pPr>
      <w:r w:rsidRPr="006D3614">
        <w:rPr>
          <w:rFonts w:cs="Arial"/>
        </w:rPr>
        <w:fldChar w:fldCharType="begin">
          <w:ffData>
            <w:name w:val="Check148"/>
            <w:enabled/>
            <w:calcOnExit w:val="0"/>
            <w:checkBox>
              <w:sizeAuto/>
              <w:default w:val="0"/>
            </w:checkBox>
          </w:ffData>
        </w:fldChar>
      </w:r>
      <w:r w:rsidRPr="006D3614">
        <w:rPr>
          <w:rFonts w:cs="Arial"/>
        </w:rPr>
        <w:instrText xml:space="preserve"> FORMCHECKBOX </w:instrText>
      </w:r>
      <w:r w:rsidR="00791C6F">
        <w:rPr>
          <w:rFonts w:cs="Arial"/>
        </w:rPr>
      </w:r>
      <w:r w:rsidR="00791C6F">
        <w:rPr>
          <w:rFonts w:cs="Arial"/>
        </w:rPr>
        <w:fldChar w:fldCharType="separate"/>
      </w:r>
      <w:r w:rsidRPr="006D3614">
        <w:rPr>
          <w:rFonts w:cs="Arial"/>
        </w:rPr>
        <w:fldChar w:fldCharType="end"/>
      </w:r>
      <w:r w:rsidRPr="006D3614">
        <w:rPr>
          <w:rFonts w:cs="Arial"/>
        </w:rPr>
        <w:t xml:space="preserve"> Other (specify):   </w:t>
      </w:r>
      <w:r w:rsidR="0060205E" w:rsidRPr="006D3614">
        <w:rPr>
          <w:rFonts w:cs="Arial"/>
        </w:rPr>
        <w:tab/>
      </w:r>
    </w:p>
    <w:p w14:paraId="4DE66467" w14:textId="77777777" w:rsidR="0094267C" w:rsidRPr="007326C2" w:rsidRDefault="0094267C" w:rsidP="00957969">
      <w:pPr>
        <w:rPr>
          <w:rFonts w:cs="Arial"/>
          <w:szCs w:val="22"/>
        </w:rPr>
      </w:pPr>
    </w:p>
    <w:p w14:paraId="1AA6AD98" w14:textId="77777777" w:rsidR="0094267C" w:rsidRPr="007326C2" w:rsidRDefault="0094267C" w:rsidP="0094267C">
      <w:pPr>
        <w:pStyle w:val="Heading2"/>
        <w:numPr>
          <w:ilvl w:val="0"/>
          <w:numId w:val="0"/>
        </w:numPr>
        <w:rPr>
          <w:rFonts w:cs="Arial"/>
          <w:b w:val="0"/>
          <w:i/>
          <w:sz w:val="22"/>
          <w:szCs w:val="22"/>
        </w:rPr>
      </w:pPr>
    </w:p>
    <w:p w14:paraId="075E6276" w14:textId="77777777" w:rsidR="0094267C" w:rsidRPr="007326C2" w:rsidRDefault="0094267C" w:rsidP="0094267C">
      <w:pPr>
        <w:rPr>
          <w:rFonts w:cs="Arial"/>
          <w:szCs w:val="22"/>
        </w:rPr>
      </w:pPr>
      <w:r w:rsidRPr="007326C2">
        <w:rPr>
          <w:rFonts w:cs="Arial"/>
          <w:szCs w:val="22"/>
        </w:rPr>
        <w:t xml:space="preserve">To protect participant confidentiality, only the research team outlined in HSERA will have access to review identified research records. Confidentiality will be protected to the fullest extent allowable under the law. See the Data Management section for more details. </w:t>
      </w:r>
    </w:p>
    <w:p w14:paraId="4AF3EBDC" w14:textId="77777777" w:rsidR="0094267C" w:rsidRPr="007326C2" w:rsidRDefault="0094267C" w:rsidP="0094267C">
      <w:pPr>
        <w:rPr>
          <w:rFonts w:cs="Arial"/>
          <w:szCs w:val="22"/>
        </w:rPr>
      </w:pPr>
    </w:p>
    <w:p w14:paraId="0AAC2A19" w14:textId="77777777" w:rsidR="0094267C" w:rsidRPr="007326C2" w:rsidRDefault="0094267C" w:rsidP="0094267C">
      <w:pPr>
        <w:rPr>
          <w:rFonts w:cs="Arial"/>
          <w:szCs w:val="22"/>
        </w:rPr>
      </w:pPr>
      <w:r w:rsidRPr="007326C2">
        <w:rPr>
          <w:rFonts w:cs="Arial"/>
          <w:szCs w:val="22"/>
        </w:rPr>
        <w:t xml:space="preserve">If any data needs to be transmitted, it will be done through a Penn-approved secure encrypted file transfer solution as is described Penn IRB’s Guidance on Electronic Data Protection Requirements for Research Involving the Use of PHI. Records will not be released without the participant’s consent unless required by law (e.g., imminent risk of harm to </w:t>
      </w:r>
      <w:proofErr w:type="spellStart"/>
      <w:r w:rsidRPr="007326C2">
        <w:rPr>
          <w:rFonts w:cs="Arial"/>
          <w:szCs w:val="22"/>
        </w:rPr>
        <w:t>self suspected</w:t>
      </w:r>
      <w:proofErr w:type="spellEnd"/>
      <w:r w:rsidRPr="007326C2">
        <w:rPr>
          <w:rFonts w:cs="Arial"/>
          <w:szCs w:val="22"/>
        </w:rPr>
        <w:t>) or court order. When results of the research are presented at scientific meetings or published, no identifying information will be included.</w:t>
      </w:r>
    </w:p>
    <w:p w14:paraId="09D7A606" w14:textId="77777777" w:rsidR="0094267C" w:rsidRPr="007326C2" w:rsidRDefault="0094267C" w:rsidP="0094267C">
      <w:pPr>
        <w:rPr>
          <w:rFonts w:cs="Arial"/>
          <w:szCs w:val="22"/>
        </w:rPr>
      </w:pPr>
    </w:p>
    <w:p w14:paraId="3108FCB6" w14:textId="77777777" w:rsidR="009124D1" w:rsidRDefault="0094267C" w:rsidP="0094267C">
      <w:pPr>
        <w:rPr>
          <w:rFonts w:cs="Arial"/>
          <w:szCs w:val="22"/>
        </w:rPr>
      </w:pPr>
      <w:r w:rsidRPr="007326C2">
        <w:rPr>
          <w:rFonts w:cs="Arial"/>
          <w:szCs w:val="22"/>
        </w:rPr>
        <w:t>All identifiable data, including the master list linking identifiers to the ID number and recordings, will be destroyed in 2028, seven years after the award period ends.</w:t>
      </w:r>
    </w:p>
    <w:p w14:paraId="40D3A55D" w14:textId="77777777" w:rsidR="0094267C" w:rsidRPr="007326C2" w:rsidRDefault="0094267C" w:rsidP="0094267C">
      <w:pPr>
        <w:rPr>
          <w:rFonts w:cs="Arial"/>
          <w:szCs w:val="22"/>
        </w:rPr>
      </w:pPr>
    </w:p>
    <w:p w14:paraId="127BB30F" w14:textId="77777777" w:rsidR="009124D1" w:rsidRPr="003F19A2" w:rsidRDefault="006F1D97" w:rsidP="003F19A2">
      <w:pPr>
        <w:rPr>
          <w:rFonts w:cs="Arial"/>
          <w:szCs w:val="22"/>
        </w:rPr>
      </w:pPr>
      <w:r w:rsidRPr="007326C2">
        <w:rPr>
          <w:rFonts w:cs="Arial"/>
          <w:b/>
          <w:i/>
          <w:szCs w:val="22"/>
        </w:rPr>
        <w:t>5</w:t>
      </w:r>
      <w:r w:rsidR="003B4302" w:rsidRPr="007326C2">
        <w:rPr>
          <w:rFonts w:cs="Arial"/>
          <w:b/>
          <w:i/>
          <w:szCs w:val="22"/>
        </w:rPr>
        <w:t xml:space="preserve">. </w:t>
      </w:r>
      <w:r w:rsidRPr="007326C2">
        <w:rPr>
          <w:rFonts w:cs="Arial"/>
          <w:b/>
          <w:i/>
          <w:szCs w:val="22"/>
        </w:rPr>
        <w:t>Protected Health Information</w:t>
      </w:r>
    </w:p>
    <w:p w14:paraId="2E910ADC" w14:textId="77777777" w:rsidR="00080CCF" w:rsidRPr="00726526" w:rsidRDefault="00080CCF" w:rsidP="00726526">
      <w:pPr>
        <w:pStyle w:val="Header"/>
        <w:numPr>
          <w:ilvl w:val="0"/>
          <w:numId w:val="11"/>
        </w:numPr>
        <w:tabs>
          <w:tab w:val="clear" w:pos="4320"/>
          <w:tab w:val="center" w:pos="360"/>
        </w:tabs>
        <w:rPr>
          <w:rFonts w:cs="Arial"/>
          <w:szCs w:val="22"/>
        </w:rPr>
      </w:pPr>
      <w:r w:rsidRPr="00726526">
        <w:rPr>
          <w:rFonts w:cs="Arial"/>
          <w:szCs w:val="22"/>
        </w:rPr>
        <w:t>Name</w:t>
      </w:r>
    </w:p>
    <w:p w14:paraId="0D5A6D8C" w14:textId="77777777" w:rsidR="00080CCF" w:rsidRPr="00726526" w:rsidRDefault="00080CCF" w:rsidP="00726526">
      <w:pPr>
        <w:pStyle w:val="Header"/>
        <w:numPr>
          <w:ilvl w:val="0"/>
          <w:numId w:val="11"/>
        </w:numPr>
        <w:tabs>
          <w:tab w:val="clear" w:pos="4320"/>
          <w:tab w:val="center" w:pos="360"/>
        </w:tabs>
        <w:rPr>
          <w:rFonts w:cs="Arial"/>
          <w:szCs w:val="22"/>
        </w:rPr>
      </w:pPr>
      <w:r w:rsidRPr="00726526">
        <w:rPr>
          <w:rFonts w:cs="Arial"/>
          <w:szCs w:val="22"/>
        </w:rPr>
        <w:t>Address</w:t>
      </w:r>
    </w:p>
    <w:p w14:paraId="61293C3E" w14:textId="77777777" w:rsidR="00080CCF" w:rsidRPr="00726526" w:rsidRDefault="00080CCF" w:rsidP="00726526">
      <w:pPr>
        <w:pStyle w:val="Header"/>
        <w:numPr>
          <w:ilvl w:val="0"/>
          <w:numId w:val="11"/>
        </w:numPr>
        <w:tabs>
          <w:tab w:val="clear" w:pos="4320"/>
          <w:tab w:val="center" w:pos="360"/>
        </w:tabs>
        <w:rPr>
          <w:rFonts w:cs="Arial"/>
          <w:szCs w:val="22"/>
        </w:rPr>
      </w:pPr>
      <w:r w:rsidRPr="00726526">
        <w:rPr>
          <w:rFonts w:cs="Arial"/>
          <w:szCs w:val="22"/>
        </w:rPr>
        <w:t>Date of Birth</w:t>
      </w:r>
    </w:p>
    <w:p w14:paraId="05F9130F" w14:textId="77777777" w:rsidR="00080CCF" w:rsidRPr="00726526" w:rsidRDefault="00080CCF" w:rsidP="00726526">
      <w:pPr>
        <w:pStyle w:val="Header"/>
        <w:numPr>
          <w:ilvl w:val="0"/>
          <w:numId w:val="11"/>
        </w:numPr>
        <w:tabs>
          <w:tab w:val="clear" w:pos="4320"/>
          <w:tab w:val="center" w:pos="360"/>
        </w:tabs>
        <w:rPr>
          <w:rFonts w:cs="Arial"/>
          <w:szCs w:val="22"/>
        </w:rPr>
      </w:pPr>
      <w:r w:rsidRPr="00726526">
        <w:rPr>
          <w:rFonts w:cs="Arial"/>
          <w:szCs w:val="22"/>
        </w:rPr>
        <w:t>Phone number(s)</w:t>
      </w:r>
    </w:p>
    <w:p w14:paraId="3F5CD594" w14:textId="77777777" w:rsidR="00080CCF" w:rsidRPr="00726526" w:rsidRDefault="00080CCF" w:rsidP="00726526">
      <w:pPr>
        <w:pStyle w:val="Header"/>
        <w:numPr>
          <w:ilvl w:val="0"/>
          <w:numId w:val="11"/>
        </w:numPr>
        <w:tabs>
          <w:tab w:val="clear" w:pos="4320"/>
          <w:tab w:val="center" w:pos="360"/>
        </w:tabs>
        <w:rPr>
          <w:rFonts w:cs="Arial"/>
          <w:szCs w:val="22"/>
        </w:rPr>
      </w:pPr>
      <w:r w:rsidRPr="00726526">
        <w:rPr>
          <w:rFonts w:cs="Arial"/>
          <w:szCs w:val="22"/>
        </w:rPr>
        <w:t>Electronic mail address</w:t>
      </w:r>
    </w:p>
    <w:p w14:paraId="677A7245" w14:textId="77777777" w:rsidR="00FF3C92" w:rsidRPr="00243405" w:rsidRDefault="00FF3C92" w:rsidP="00FF3C92">
      <w:pPr>
        <w:pStyle w:val="Header"/>
        <w:tabs>
          <w:tab w:val="clear" w:pos="4320"/>
          <w:tab w:val="clear" w:pos="8640"/>
        </w:tabs>
        <w:rPr>
          <w:rFonts w:cs="Arial"/>
          <w:i/>
          <w:szCs w:val="22"/>
        </w:rPr>
      </w:pPr>
    </w:p>
    <w:p w14:paraId="5F7EA34C" w14:textId="77777777" w:rsidR="003B4302" w:rsidRPr="00243405" w:rsidRDefault="00BD3719" w:rsidP="00FF3C92">
      <w:pPr>
        <w:tabs>
          <w:tab w:val="left" w:pos="-1440"/>
        </w:tabs>
        <w:jc w:val="both"/>
        <w:rPr>
          <w:rFonts w:cs="Arial"/>
          <w:b/>
          <w:i/>
          <w:szCs w:val="22"/>
        </w:rPr>
      </w:pPr>
      <w:r w:rsidRPr="00243405">
        <w:rPr>
          <w:rFonts w:cs="Arial"/>
          <w:b/>
          <w:i/>
          <w:szCs w:val="22"/>
        </w:rPr>
        <w:t>6</w:t>
      </w:r>
      <w:r w:rsidR="003B4302" w:rsidRPr="00243405">
        <w:rPr>
          <w:rFonts w:cs="Arial"/>
          <w:b/>
          <w:i/>
          <w:szCs w:val="22"/>
        </w:rPr>
        <w:t>. Compensation</w:t>
      </w:r>
      <w:r w:rsidR="00A20FBF" w:rsidRPr="00243405">
        <w:rPr>
          <w:rFonts w:cs="Arial"/>
          <w:b/>
          <w:i/>
          <w:szCs w:val="22"/>
        </w:rPr>
        <w:t>:</w:t>
      </w:r>
      <w:r w:rsidR="003B4302" w:rsidRPr="00243405">
        <w:rPr>
          <w:rFonts w:cs="Arial"/>
          <w:b/>
          <w:i/>
          <w:szCs w:val="22"/>
        </w:rPr>
        <w:t xml:space="preserve"> </w:t>
      </w:r>
    </w:p>
    <w:p w14:paraId="184B7979" w14:textId="77777777" w:rsidR="009124D1" w:rsidRPr="00243405" w:rsidRDefault="00243405" w:rsidP="00FF3C92">
      <w:pPr>
        <w:tabs>
          <w:tab w:val="left" w:pos="-1440"/>
        </w:tabs>
        <w:jc w:val="both"/>
        <w:rPr>
          <w:rFonts w:cs="Arial"/>
          <w:szCs w:val="22"/>
        </w:rPr>
      </w:pPr>
      <w:r w:rsidRPr="00243405">
        <w:rPr>
          <w:rFonts w:cs="Arial"/>
          <w:szCs w:val="22"/>
        </w:rPr>
        <w:t>Participants will not be compensated for participating</w:t>
      </w:r>
      <w:r w:rsidR="003F19A2">
        <w:rPr>
          <w:rFonts w:cs="Arial"/>
          <w:szCs w:val="22"/>
        </w:rPr>
        <w:t xml:space="preserve"> in this study</w:t>
      </w:r>
      <w:r w:rsidRPr="00243405">
        <w:rPr>
          <w:rFonts w:cs="Arial"/>
          <w:szCs w:val="22"/>
        </w:rPr>
        <w:t xml:space="preserve">. </w:t>
      </w:r>
    </w:p>
    <w:p w14:paraId="227FC8C9" w14:textId="77777777" w:rsidR="00243405" w:rsidRPr="00243405" w:rsidRDefault="00243405" w:rsidP="00FF3C92">
      <w:pPr>
        <w:tabs>
          <w:tab w:val="left" w:pos="-1440"/>
        </w:tabs>
        <w:jc w:val="both"/>
        <w:rPr>
          <w:rFonts w:cs="Arial"/>
          <w:szCs w:val="22"/>
        </w:rPr>
      </w:pPr>
    </w:p>
    <w:p w14:paraId="1B4698D8" w14:textId="77777777" w:rsidR="00A22370" w:rsidRPr="00243405" w:rsidRDefault="00BD3719" w:rsidP="00FF3C92">
      <w:pPr>
        <w:rPr>
          <w:rFonts w:cs="Arial"/>
          <w:b/>
          <w:i/>
          <w:szCs w:val="22"/>
        </w:rPr>
      </w:pPr>
      <w:r w:rsidRPr="00243405">
        <w:rPr>
          <w:rFonts w:cs="Arial"/>
          <w:b/>
          <w:i/>
          <w:szCs w:val="22"/>
        </w:rPr>
        <w:t>7</w:t>
      </w:r>
      <w:r w:rsidR="00A22370" w:rsidRPr="00243405">
        <w:rPr>
          <w:rFonts w:cs="Arial"/>
          <w:b/>
          <w:i/>
          <w:szCs w:val="22"/>
        </w:rPr>
        <w:t>. Data and Safety Monitoring</w:t>
      </w:r>
      <w:r w:rsidR="00A20FBF" w:rsidRPr="00243405">
        <w:rPr>
          <w:rFonts w:cs="Arial"/>
          <w:b/>
          <w:i/>
          <w:szCs w:val="22"/>
        </w:rPr>
        <w:t>:</w:t>
      </w:r>
    </w:p>
    <w:p w14:paraId="5AF3B6A9" w14:textId="60B74468" w:rsidR="00C35E10" w:rsidRDefault="00C35E10" w:rsidP="00C35E10">
      <w:pPr>
        <w:rPr>
          <w:rFonts w:eastAsia="Times New Roman" w:cs="Arial"/>
          <w:color w:val="000000"/>
        </w:rPr>
      </w:pPr>
      <w:r>
        <w:rPr>
          <w:rFonts w:eastAsia="Times New Roman" w:cs="Arial"/>
          <w:color w:val="000000"/>
        </w:rPr>
        <w:t>T</w:t>
      </w:r>
      <w:r w:rsidRPr="006D3614">
        <w:rPr>
          <w:rFonts w:eastAsia="Times New Roman" w:cs="Arial"/>
          <w:color w:val="000000"/>
        </w:rPr>
        <w:t>he nature of the project</w:t>
      </w:r>
      <w:r>
        <w:rPr>
          <w:rFonts w:eastAsia="Times New Roman" w:cs="Arial"/>
          <w:color w:val="000000"/>
        </w:rPr>
        <w:t xml:space="preserve"> poses </w:t>
      </w:r>
      <w:r w:rsidRPr="006D3614">
        <w:rPr>
          <w:rFonts w:eastAsia="Times New Roman" w:cs="Arial"/>
          <w:color w:val="000000"/>
        </w:rPr>
        <w:t xml:space="preserve">minimal risk to participant </w:t>
      </w:r>
      <w:r>
        <w:rPr>
          <w:rFonts w:eastAsia="Times New Roman" w:cs="Arial"/>
          <w:color w:val="000000"/>
        </w:rPr>
        <w:t xml:space="preserve">safety and </w:t>
      </w:r>
      <w:r w:rsidRPr="006D3614">
        <w:rPr>
          <w:rFonts w:eastAsia="Times New Roman" w:cs="Arial"/>
          <w:color w:val="000000"/>
        </w:rPr>
        <w:t>privacy</w:t>
      </w:r>
      <w:r>
        <w:rPr>
          <w:rFonts w:eastAsia="Times New Roman" w:cs="Arial"/>
          <w:color w:val="000000"/>
        </w:rPr>
        <w:t xml:space="preserve">. Yet, </w:t>
      </w:r>
      <w:r w:rsidRPr="006D3614">
        <w:rPr>
          <w:rFonts w:eastAsia="Times New Roman" w:cs="Arial"/>
          <w:color w:val="000000"/>
        </w:rPr>
        <w:t xml:space="preserve">we </w:t>
      </w:r>
      <w:r>
        <w:rPr>
          <w:rFonts w:eastAsia="Times New Roman" w:cs="Arial"/>
          <w:color w:val="000000"/>
        </w:rPr>
        <w:t xml:space="preserve">will </w:t>
      </w:r>
      <w:r w:rsidRPr="006D3614">
        <w:rPr>
          <w:rFonts w:eastAsia="Times New Roman" w:cs="Arial"/>
          <w:color w:val="000000"/>
        </w:rPr>
        <w:t xml:space="preserve">constitute a formal Data Safety Monitoring Board. </w:t>
      </w:r>
      <w:r w:rsidRPr="00550007">
        <w:rPr>
          <w:rFonts w:eastAsia="Times New Roman" w:cs="Arial"/>
          <w:color w:val="000000"/>
          <w:szCs w:val="22"/>
        </w:rPr>
        <w:t>The specific aspects of the DSMB for this study are as follows:</w:t>
      </w:r>
    </w:p>
    <w:p w14:paraId="52B34DB5" w14:textId="77777777" w:rsidR="00C35E10" w:rsidRDefault="00C35E10" w:rsidP="00C35E10">
      <w:pPr>
        <w:pStyle w:val="Default"/>
        <w:numPr>
          <w:ilvl w:val="0"/>
          <w:numId w:val="42"/>
        </w:numPr>
        <w:contextualSpacing/>
      </w:pPr>
      <w:r w:rsidRPr="002B19C3">
        <w:rPr>
          <w:sz w:val="22"/>
          <w:szCs w:val="22"/>
        </w:rPr>
        <w:lastRenderedPageBreak/>
        <w:t xml:space="preserve">The DSMB will consist of 4 members: 1) Erin </w:t>
      </w:r>
      <w:proofErr w:type="spellStart"/>
      <w:r w:rsidRPr="002B19C3">
        <w:rPr>
          <w:sz w:val="22"/>
          <w:szCs w:val="22"/>
        </w:rPr>
        <w:t>Aakhus</w:t>
      </w:r>
      <w:proofErr w:type="spellEnd"/>
      <w:r w:rsidRPr="002B19C3">
        <w:rPr>
          <w:sz w:val="22"/>
          <w:szCs w:val="22"/>
        </w:rPr>
        <w:t xml:space="preserve">, MD, </w:t>
      </w:r>
      <w:r w:rsidRPr="00550007">
        <w:rPr>
          <w:sz w:val="22"/>
          <w:szCs w:val="22"/>
        </w:rPr>
        <w:t xml:space="preserve">Assistant Professor of Clinical Medicine, Perelman School of Medicine, University of Pennsylvania, Associate Director of the Hematology Oncology Fellowship Program 2) Kate </w:t>
      </w:r>
      <w:proofErr w:type="spellStart"/>
      <w:r w:rsidRPr="00550007">
        <w:rPr>
          <w:sz w:val="22"/>
          <w:szCs w:val="22"/>
        </w:rPr>
        <w:t>Courtright</w:t>
      </w:r>
      <w:proofErr w:type="spellEnd"/>
      <w:r w:rsidRPr="00550007">
        <w:rPr>
          <w:sz w:val="22"/>
          <w:szCs w:val="22"/>
        </w:rPr>
        <w:t xml:space="preserve">, MD, MSHP, Assistant Professor of Clinical Medicine at the Perelman School of Medicine of the University of Pennsylvania 3) Kit Delgado, MD, MS, Assistant Professor of Emergency Medicine at the Perelman School of Medicine of the University of Pennsylvania, Associate Director of Center for Health Incentives and Behavioral Economics 4) Meghan Lane-Fall, MD, MSHP, David E. </w:t>
      </w:r>
      <w:proofErr w:type="spellStart"/>
      <w:r w:rsidRPr="00550007">
        <w:rPr>
          <w:sz w:val="22"/>
          <w:szCs w:val="22"/>
        </w:rPr>
        <w:t>Longnecker</w:t>
      </w:r>
      <w:proofErr w:type="spellEnd"/>
      <w:r w:rsidRPr="00550007">
        <w:rPr>
          <w:sz w:val="22"/>
          <w:szCs w:val="22"/>
        </w:rPr>
        <w:t xml:space="preserve"> Associate Professor of Anesthesiology and Critical Care &amp; Associate Professor of Epidemiology at the Perelman School of Medicine of the University of Pennsylvania, Associate Director of the Center for Health Incentives and Behavioral Economics </w:t>
      </w:r>
    </w:p>
    <w:p w14:paraId="43B8EA33" w14:textId="77777777" w:rsidR="00C35E10" w:rsidRPr="00550007" w:rsidRDefault="00C35E10" w:rsidP="00C35E10">
      <w:pPr>
        <w:pStyle w:val="Default"/>
        <w:numPr>
          <w:ilvl w:val="0"/>
          <w:numId w:val="42"/>
        </w:numPr>
        <w:contextualSpacing/>
      </w:pPr>
      <w:r w:rsidRPr="00550007">
        <w:rPr>
          <w:sz w:val="22"/>
          <w:szCs w:val="22"/>
        </w:rPr>
        <w:t>The DSMB will perform several duties. First, they will review and approve research protocols and plans for data and safety monitoring prior to any study commencement. Second, they will evaluate the progress of any eligible trial. This will include assessment of data quality, participant recruitment, accrual and retention, participant risk versus benefit, and study outcomes. This assessment will be performed at meetings every six months during eligible trials and, more frequently, if decided by the DSMB. Third, they will make recommendations to ensure that all of the issues above are appropriately addressed. The corresponding project teams will be responsible for responding to all recommendations of the DSMB and submitting DSMB reports to the University of Pennsylvania IRB.</w:t>
      </w:r>
    </w:p>
    <w:p w14:paraId="27FD9160" w14:textId="77777777" w:rsidR="00C35E10" w:rsidRPr="00F54398" w:rsidRDefault="00C35E10" w:rsidP="00C35E10">
      <w:pPr>
        <w:rPr>
          <w:rFonts w:eastAsia="Times New Roman" w:cs="Arial"/>
          <w:i/>
          <w:color w:val="000000"/>
        </w:rPr>
      </w:pPr>
    </w:p>
    <w:p w14:paraId="03660E89" w14:textId="1F045C51" w:rsidR="00C34530" w:rsidRPr="00F54398" w:rsidRDefault="00C35E10" w:rsidP="00C35E10">
      <w:pPr>
        <w:rPr>
          <w:rFonts w:cs="Arial"/>
          <w:i/>
          <w:szCs w:val="22"/>
        </w:rPr>
      </w:pPr>
      <w:r w:rsidRPr="00493859">
        <w:rPr>
          <w:rFonts w:cs="Arial"/>
          <w:i/>
          <w:szCs w:val="22"/>
        </w:rPr>
        <w:t>Data Safety and Monitoring Plan</w:t>
      </w:r>
      <w:r w:rsidR="00493859">
        <w:rPr>
          <w:rFonts w:cs="Arial"/>
          <w:i/>
          <w:szCs w:val="22"/>
        </w:rPr>
        <w:t xml:space="preserve">. </w:t>
      </w:r>
      <w:r>
        <w:rPr>
          <w:rFonts w:eastAsia="Times New Roman" w:cs="Arial"/>
          <w:color w:val="000000"/>
        </w:rPr>
        <w:t>O</w:t>
      </w:r>
      <w:r w:rsidRPr="006D3614">
        <w:rPr>
          <w:rFonts w:eastAsia="Times New Roman" w:cs="Arial"/>
          <w:color w:val="000000"/>
        </w:rPr>
        <w:t xml:space="preserve">versight and evaluation will be accomplished using standard University procedures for safety monitoring. The specific elements of our oversight plan are as above: 1) all project staff will complete certification in the protection of research participants; 2) the principal investigator will supply the IRB with annual progress reports, or more frequently as determined by the IRB, which may in turn suspend, terminate or restrict the study as appropriate; </w:t>
      </w:r>
      <w:r>
        <w:rPr>
          <w:rFonts w:eastAsia="Times New Roman" w:cs="Arial"/>
          <w:color w:val="000000"/>
        </w:rPr>
        <w:t xml:space="preserve">and </w:t>
      </w:r>
      <w:r w:rsidRPr="006D3614">
        <w:rPr>
          <w:rFonts w:eastAsia="Times New Roman" w:cs="Arial"/>
          <w:color w:val="000000"/>
        </w:rPr>
        <w:t xml:space="preserve">3) any serious adverse events will be reviewed in real time by the PI and reported to the IRB as required. </w:t>
      </w:r>
      <w:r w:rsidR="00C34530" w:rsidRPr="00243405">
        <w:rPr>
          <w:rFonts w:cs="Arial"/>
          <w:szCs w:val="22"/>
        </w:rPr>
        <w:t xml:space="preserve">Individual-level data for participants will be kept confidential and will only be stored on highly secure servers available for patient-level data. Only authorized project personnel will have access to the data and the data will only be stored on servers and not stand-alone PCs or laptops. All data will be reported at units of aggregation which make impossible the identification of individual patients or clinicians. </w:t>
      </w:r>
    </w:p>
    <w:p w14:paraId="5A6A4F2B" w14:textId="77777777" w:rsidR="00C34530" w:rsidRDefault="00C34530" w:rsidP="00C35E10">
      <w:pPr>
        <w:rPr>
          <w:rFonts w:cs="Arial"/>
          <w:szCs w:val="22"/>
        </w:rPr>
      </w:pPr>
    </w:p>
    <w:p w14:paraId="4C8F4B77" w14:textId="7D485177" w:rsidR="00C35E10" w:rsidRPr="006D3614" w:rsidRDefault="00C35E10" w:rsidP="00C35E10">
      <w:pPr>
        <w:rPr>
          <w:rFonts w:cs="Arial"/>
        </w:rPr>
      </w:pPr>
      <w:r w:rsidRPr="006D3614">
        <w:rPr>
          <w:rFonts w:cs="Arial"/>
        </w:rPr>
        <w:t xml:space="preserve">The data and safety monitoring plan will have 3 parts. First, the study MPIs, biostatistician, and Director of the Data Management Unit will develop and implement methods of verifying entered data and of quality control. Second, the MPIs will be directly responsible for identifying and reporting all adverse events, protocol deviations/violations and unanticipated events to the IRB and funding agency promptly, as appropriate. The PIs will also report all adverse events, accrual rates, retention rates, and all other logistical issues to the DSMB (described </w:t>
      </w:r>
      <w:r>
        <w:rPr>
          <w:rFonts w:cs="Arial"/>
        </w:rPr>
        <w:t>above</w:t>
      </w:r>
      <w:r w:rsidRPr="006D3614">
        <w:rPr>
          <w:rFonts w:cs="Arial"/>
        </w:rPr>
        <w:t xml:space="preserve">) at least biannually (and more frequently if there are serious adverse events). Third, there will be a DSMB responsible for monitoring the trial. </w:t>
      </w:r>
    </w:p>
    <w:p w14:paraId="304EE634" w14:textId="77777777" w:rsidR="00C35E10" w:rsidRPr="006D3614" w:rsidRDefault="00C35E10" w:rsidP="00C35E10">
      <w:pPr>
        <w:rPr>
          <w:rFonts w:cs="Arial"/>
        </w:rPr>
      </w:pPr>
    </w:p>
    <w:p w14:paraId="5DE227CA" w14:textId="77777777" w:rsidR="00C35E10" w:rsidRPr="006D3614" w:rsidRDefault="00C35E10" w:rsidP="00C35E10">
      <w:pPr>
        <w:rPr>
          <w:rFonts w:cs="Arial"/>
        </w:rPr>
      </w:pPr>
      <w:r w:rsidRPr="006D3614">
        <w:rPr>
          <w:rFonts w:cs="Arial"/>
        </w:rPr>
        <w:t xml:space="preserve">A written research protocol will undergo formal institutional scientific and institutional review board (IRB) review at the University of Pennsylvania (Penn) to ensure protection of the rights and welfare of human research subjects. Specifically, the MPIs and the IRB will be responsible for ensuring risks to human subjects are minimized, risks are reasonable, subject selection is equitable, the research team has access to adequate resources to conduct the study, the informed consent process (or waiver) meets regulatory and ethical requirements, adequate provision is made to protect human subjects by monitoring the data collected and there are adequate provisions to protect subject privacy per HIPAA regulations and confidentiality of data. </w:t>
      </w:r>
    </w:p>
    <w:p w14:paraId="481D547D" w14:textId="77777777" w:rsidR="00C35E10" w:rsidRPr="006D3614" w:rsidRDefault="00C35E10" w:rsidP="00C35E10">
      <w:pPr>
        <w:rPr>
          <w:rFonts w:cs="Arial"/>
        </w:rPr>
      </w:pPr>
    </w:p>
    <w:p w14:paraId="283F0CAA" w14:textId="77777777" w:rsidR="00C35E10" w:rsidRPr="006D3614" w:rsidRDefault="00C35E10" w:rsidP="00C35E10">
      <w:pPr>
        <w:rPr>
          <w:rFonts w:cs="Arial"/>
        </w:rPr>
      </w:pPr>
      <w:r w:rsidRPr="006D3614">
        <w:rPr>
          <w:rFonts w:cs="Arial"/>
        </w:rPr>
        <w:t xml:space="preserve">All senior/key personnel and research staff who will be involved in the design and conduct of the study must receive education in human research subject protection from a training program that is approved </w:t>
      </w:r>
      <w:r w:rsidRPr="006D3614">
        <w:rPr>
          <w:rFonts w:cs="Arial"/>
        </w:rPr>
        <w:lastRenderedPageBreak/>
        <w:t xml:space="preserve">by a properly constituted independent Ethics Committee or Institutional Review Board. The MPIs will be responsible for ensuring project faculty and staff have the equipment and training required to protect privacy and confidentiality and will monitor and document that these individuals are properly certified. If new senior/key personnel and staff become involved in the research, documentation that they have received the required education will be included in the annual progress reports. The UPENN Office of Regulatory Affairs currently requires HIPAA training upon designation as research investigator/staff and recertification in human research </w:t>
      </w:r>
      <w:proofErr w:type="gramStart"/>
      <w:r w:rsidRPr="006D3614">
        <w:rPr>
          <w:rFonts w:cs="Arial"/>
        </w:rPr>
        <w:t>subjects</w:t>
      </w:r>
      <w:proofErr w:type="gramEnd"/>
      <w:r w:rsidRPr="006D3614">
        <w:rPr>
          <w:rFonts w:cs="Arial"/>
        </w:rPr>
        <w:t xml:space="preserve"> protection every three years.</w:t>
      </w:r>
    </w:p>
    <w:p w14:paraId="15D593A7" w14:textId="77777777" w:rsidR="00C35E10" w:rsidRPr="006D3614" w:rsidRDefault="00C35E10" w:rsidP="00C35E10">
      <w:pPr>
        <w:rPr>
          <w:rFonts w:cs="Arial"/>
        </w:rPr>
      </w:pPr>
    </w:p>
    <w:p w14:paraId="3D8E227E" w14:textId="77777777" w:rsidR="00C35E10" w:rsidRPr="006D3614" w:rsidRDefault="00C35E10" w:rsidP="00C35E10">
      <w:pPr>
        <w:rPr>
          <w:rFonts w:cs="Arial"/>
        </w:rPr>
      </w:pPr>
      <w:r w:rsidRPr="006D3614">
        <w:rPr>
          <w:rFonts w:cs="Arial"/>
        </w:rPr>
        <w:t>The Penn IRB will serve as the IRB of record for any external ethics review boards or IRBs applicable to researchers from other institutions who may have access to human research subjects identified data.</w:t>
      </w:r>
    </w:p>
    <w:p w14:paraId="11953F43" w14:textId="3B6C1816" w:rsidR="009124D1" w:rsidRPr="00291D75" w:rsidRDefault="009124D1" w:rsidP="00FF3C92">
      <w:pPr>
        <w:rPr>
          <w:rFonts w:cs="Arial"/>
          <w:szCs w:val="22"/>
        </w:rPr>
      </w:pPr>
    </w:p>
    <w:p w14:paraId="25A8B5CC" w14:textId="2AFDDC4D" w:rsidR="003B4302" w:rsidRPr="00291D75" w:rsidRDefault="00C35E10" w:rsidP="00FF3C92">
      <w:pPr>
        <w:rPr>
          <w:rFonts w:cs="Arial"/>
          <w:b/>
          <w:i/>
          <w:szCs w:val="22"/>
        </w:rPr>
      </w:pPr>
      <w:r>
        <w:rPr>
          <w:rFonts w:cs="Arial"/>
          <w:b/>
          <w:i/>
          <w:szCs w:val="22"/>
        </w:rPr>
        <w:t>8</w:t>
      </w:r>
      <w:r w:rsidR="00A22370" w:rsidRPr="00291D75">
        <w:rPr>
          <w:rFonts w:cs="Arial"/>
          <w:b/>
          <w:i/>
          <w:szCs w:val="22"/>
        </w:rPr>
        <w:t xml:space="preserve">. </w:t>
      </w:r>
      <w:r w:rsidR="003B4302" w:rsidRPr="00291D75">
        <w:rPr>
          <w:rFonts w:cs="Arial"/>
          <w:b/>
          <w:i/>
          <w:szCs w:val="22"/>
        </w:rPr>
        <w:t>Investigator’s Risk/Benefit Assessment</w:t>
      </w:r>
      <w:r w:rsidR="00A20FBF" w:rsidRPr="00291D75">
        <w:rPr>
          <w:rFonts w:cs="Arial"/>
          <w:b/>
          <w:i/>
          <w:szCs w:val="22"/>
        </w:rPr>
        <w:t>:</w:t>
      </w:r>
    </w:p>
    <w:p w14:paraId="54531F63" w14:textId="77777777" w:rsidR="003B4302" w:rsidRPr="00291D75" w:rsidRDefault="009124D1" w:rsidP="00FF3C92">
      <w:pPr>
        <w:pStyle w:val="Header"/>
        <w:tabs>
          <w:tab w:val="clear" w:pos="4320"/>
          <w:tab w:val="clear" w:pos="8640"/>
        </w:tabs>
        <w:rPr>
          <w:rFonts w:cs="Arial"/>
          <w:szCs w:val="22"/>
        </w:rPr>
      </w:pPr>
      <w:r w:rsidRPr="00291D75">
        <w:rPr>
          <w:rFonts w:cs="Arial"/>
          <w:szCs w:val="22"/>
        </w:rPr>
        <w:t>This study presents minimal risk that is balanced by the potential benefits of the research to society.</w:t>
      </w:r>
    </w:p>
    <w:p w14:paraId="13E7EF5C" w14:textId="77777777" w:rsidR="009124D1" w:rsidRPr="00291D75" w:rsidRDefault="009124D1" w:rsidP="00FF3C92">
      <w:pPr>
        <w:pStyle w:val="Header"/>
        <w:tabs>
          <w:tab w:val="clear" w:pos="4320"/>
          <w:tab w:val="clear" w:pos="8640"/>
        </w:tabs>
        <w:rPr>
          <w:rFonts w:cs="Arial"/>
          <w:szCs w:val="22"/>
        </w:rPr>
      </w:pPr>
    </w:p>
    <w:p w14:paraId="43D66075" w14:textId="77777777" w:rsidR="003B4302" w:rsidRPr="00291D75" w:rsidRDefault="003B4302" w:rsidP="00FF3C92">
      <w:pPr>
        <w:rPr>
          <w:rFonts w:cs="Arial"/>
          <w:b/>
          <w:szCs w:val="22"/>
        </w:rPr>
      </w:pPr>
      <w:r w:rsidRPr="00291D75">
        <w:rPr>
          <w:rFonts w:cs="Arial"/>
          <w:b/>
          <w:szCs w:val="22"/>
        </w:rPr>
        <w:t>INFORMED CONSENT</w:t>
      </w:r>
      <w:r w:rsidR="00A20FBF" w:rsidRPr="00291D75">
        <w:rPr>
          <w:rFonts w:cs="Arial"/>
          <w:b/>
          <w:szCs w:val="22"/>
        </w:rPr>
        <w:t>:</w:t>
      </w:r>
    </w:p>
    <w:p w14:paraId="123F3FA6" w14:textId="77777777" w:rsidR="00A20FBF" w:rsidRPr="00291D75" w:rsidRDefault="00A20FBF" w:rsidP="00FF3C92">
      <w:pPr>
        <w:rPr>
          <w:rFonts w:cs="Arial"/>
          <w:b/>
          <w:szCs w:val="22"/>
        </w:rPr>
      </w:pPr>
    </w:p>
    <w:p w14:paraId="1F79804C" w14:textId="77777777" w:rsidR="00846D6F" w:rsidRPr="00291D75" w:rsidRDefault="003B4302" w:rsidP="00FF3C92">
      <w:pPr>
        <w:rPr>
          <w:rFonts w:cs="Arial"/>
          <w:b/>
          <w:i/>
          <w:szCs w:val="22"/>
        </w:rPr>
      </w:pPr>
      <w:r w:rsidRPr="00291D75">
        <w:rPr>
          <w:rFonts w:cs="Arial"/>
          <w:b/>
          <w:i/>
          <w:szCs w:val="22"/>
        </w:rPr>
        <w:t>1. Consent Process</w:t>
      </w:r>
      <w:r w:rsidR="00A20FBF" w:rsidRPr="00291D75">
        <w:rPr>
          <w:rFonts w:cs="Arial"/>
          <w:b/>
          <w:i/>
          <w:szCs w:val="22"/>
        </w:rPr>
        <w:t>:</w:t>
      </w:r>
    </w:p>
    <w:p w14:paraId="133BB7E8" w14:textId="77777777" w:rsidR="00FF3C92" w:rsidRPr="00291D75" w:rsidRDefault="00291D75" w:rsidP="00FF3C92">
      <w:pPr>
        <w:rPr>
          <w:rFonts w:cs="Arial"/>
          <w:szCs w:val="22"/>
        </w:rPr>
      </w:pPr>
      <w:r w:rsidRPr="00291D75">
        <w:rPr>
          <w:rFonts w:cs="Arial"/>
          <w:szCs w:val="22"/>
          <w:u w:val="single"/>
        </w:rPr>
        <w:t>Aims 1 and 2</w:t>
      </w:r>
      <w:r w:rsidRPr="00291D75">
        <w:rPr>
          <w:rFonts w:cs="Arial"/>
          <w:szCs w:val="22"/>
        </w:rPr>
        <w:t xml:space="preserve">. Since this is a pragmatic trial focused on improving implementation of higher-value evidence-based practices with minimal risk to patients, we are requesting a waiver of informed consent from clinicians and patients. We have received this in the past for these types of trials. We will identify clinicians at the practice sites and their patients using the EMR. </w:t>
      </w:r>
      <w:r w:rsidR="00FF3C92" w:rsidRPr="00291D75">
        <w:rPr>
          <w:rFonts w:cs="Arial"/>
          <w:szCs w:val="22"/>
        </w:rPr>
        <w:t xml:space="preserve"> </w:t>
      </w:r>
    </w:p>
    <w:p w14:paraId="750B0004" w14:textId="77777777" w:rsidR="00FF3C92" w:rsidRPr="00291D75" w:rsidRDefault="00FF3C92" w:rsidP="00FF3C92">
      <w:pPr>
        <w:rPr>
          <w:rFonts w:cs="Arial"/>
          <w:szCs w:val="22"/>
        </w:rPr>
      </w:pPr>
    </w:p>
    <w:p w14:paraId="420C9742" w14:textId="77777777" w:rsidR="003B4302" w:rsidRPr="00291D75" w:rsidRDefault="003B4302" w:rsidP="00FF3C92">
      <w:pPr>
        <w:rPr>
          <w:rFonts w:cs="Arial"/>
          <w:b/>
          <w:szCs w:val="22"/>
        </w:rPr>
      </w:pPr>
      <w:r w:rsidRPr="00291D75">
        <w:rPr>
          <w:rFonts w:cs="Arial"/>
          <w:b/>
          <w:szCs w:val="22"/>
        </w:rPr>
        <w:t>2. Waiver of Informed Consent</w:t>
      </w:r>
      <w:r w:rsidR="00A20FBF" w:rsidRPr="00291D75">
        <w:rPr>
          <w:rFonts w:cs="Arial"/>
          <w:b/>
          <w:szCs w:val="22"/>
        </w:rPr>
        <w:t>:</w:t>
      </w:r>
    </w:p>
    <w:p w14:paraId="22B7DD27" w14:textId="3297EC21" w:rsidR="00291D75" w:rsidRPr="00291D75" w:rsidRDefault="00291D75" w:rsidP="00FF3C92">
      <w:pPr>
        <w:rPr>
          <w:rFonts w:cs="Arial"/>
          <w:szCs w:val="22"/>
        </w:rPr>
      </w:pPr>
      <w:r w:rsidRPr="00291D75">
        <w:rPr>
          <w:rFonts w:cs="Arial"/>
          <w:szCs w:val="22"/>
        </w:rPr>
        <w:t>We are requesting a waiver of informed consent and HIPAA authorization from clinicians and patients (see attached request for waiver of HIPAA authorization). A waiver of informed consent is reques</w:t>
      </w:r>
      <w:r w:rsidR="00A646C2">
        <w:rPr>
          <w:rFonts w:cs="Arial"/>
          <w:szCs w:val="22"/>
        </w:rPr>
        <w:t xml:space="preserve">ted for the following reasons. </w:t>
      </w:r>
      <w:r w:rsidR="00A646C2" w:rsidRPr="00604077">
        <w:rPr>
          <w:rFonts w:cs="Arial"/>
          <w:szCs w:val="22"/>
        </w:rPr>
        <w:t xml:space="preserve">First, it is not feasible to consent every patient and </w:t>
      </w:r>
      <w:r w:rsidR="00BA17FF">
        <w:rPr>
          <w:rFonts w:cs="Arial"/>
          <w:szCs w:val="22"/>
        </w:rPr>
        <w:t xml:space="preserve">clinician </w:t>
      </w:r>
      <w:r w:rsidR="00A646C2">
        <w:rPr>
          <w:rFonts w:cs="Arial"/>
          <w:szCs w:val="22"/>
        </w:rPr>
        <w:t>randomized to nudges</w:t>
      </w:r>
      <w:r w:rsidR="00A646C2" w:rsidRPr="00604077">
        <w:rPr>
          <w:rFonts w:cs="Arial"/>
          <w:szCs w:val="22"/>
        </w:rPr>
        <w:t xml:space="preserve">. Second, if members of the control group were consented, they would know they were being studied and this could change their behavior. This could </w:t>
      </w:r>
      <w:r w:rsidR="00A646C2" w:rsidRPr="00E44650">
        <w:rPr>
          <w:rFonts w:cs="Arial"/>
          <w:color w:val="000000"/>
          <w:szCs w:val="22"/>
        </w:rPr>
        <w:t>potential</w:t>
      </w:r>
      <w:r w:rsidR="00A646C2">
        <w:rPr>
          <w:rFonts w:cs="Arial"/>
          <w:color w:val="000000"/>
          <w:szCs w:val="22"/>
        </w:rPr>
        <w:t>ly</w:t>
      </w:r>
      <w:r w:rsidR="00A646C2" w:rsidRPr="00604077">
        <w:rPr>
          <w:rFonts w:cs="Arial"/>
          <w:szCs w:val="22"/>
        </w:rPr>
        <w:t xml:space="preserve"> disrupt the design of the study and make interpretation of the findings challenging. Third, clinicians are not forced to </w:t>
      </w:r>
      <w:r w:rsidR="00A646C2" w:rsidRPr="001049A9">
        <w:rPr>
          <w:rFonts w:cs="Arial"/>
          <w:szCs w:val="22"/>
        </w:rPr>
        <w:t xml:space="preserve">have serious illness conversations </w:t>
      </w:r>
      <w:r w:rsidR="00A646C2">
        <w:rPr>
          <w:rFonts w:cs="Arial"/>
          <w:szCs w:val="22"/>
        </w:rPr>
        <w:t>with</w:t>
      </w:r>
      <w:r w:rsidR="00A646C2" w:rsidRPr="001049A9">
        <w:rPr>
          <w:rFonts w:cs="Arial"/>
          <w:szCs w:val="22"/>
        </w:rPr>
        <w:t xml:space="preserve"> their patients</w:t>
      </w:r>
      <w:r w:rsidR="00A646C2">
        <w:rPr>
          <w:rFonts w:cs="Arial"/>
          <w:szCs w:val="22"/>
        </w:rPr>
        <w:t>,</w:t>
      </w:r>
      <w:r w:rsidR="00A646C2" w:rsidRPr="00604077">
        <w:rPr>
          <w:rFonts w:cs="Arial"/>
          <w:szCs w:val="22"/>
        </w:rPr>
        <w:t xml:space="preserve"> and patients are not being forced to </w:t>
      </w:r>
      <w:r w:rsidR="00A646C2">
        <w:rPr>
          <w:rFonts w:cs="Arial"/>
          <w:szCs w:val="22"/>
        </w:rPr>
        <w:t>engage in the pre-work or the conversations with their providers</w:t>
      </w:r>
      <w:r w:rsidR="00A646C2" w:rsidRPr="00604077">
        <w:rPr>
          <w:rFonts w:cs="Arial"/>
          <w:szCs w:val="22"/>
        </w:rPr>
        <w:t xml:space="preserve">. In all arms, clinicians </w:t>
      </w:r>
      <w:r w:rsidR="00A646C2" w:rsidRPr="00B318BF">
        <w:rPr>
          <w:rFonts w:cs="Arial"/>
          <w:szCs w:val="22"/>
        </w:rPr>
        <w:t xml:space="preserve">can still </w:t>
      </w:r>
      <w:r w:rsidR="00A646C2">
        <w:rPr>
          <w:rFonts w:cs="Arial"/>
          <w:szCs w:val="22"/>
        </w:rPr>
        <w:t>engage or refrain from the conversation</w:t>
      </w:r>
      <w:r w:rsidR="00A646C2" w:rsidRPr="00B318BF">
        <w:rPr>
          <w:rFonts w:cs="Arial"/>
          <w:szCs w:val="22"/>
        </w:rPr>
        <w:t xml:space="preserve"> according to their best clinical judgment</w:t>
      </w:r>
      <w:r w:rsidR="00A646C2">
        <w:rPr>
          <w:rFonts w:cs="Arial"/>
          <w:szCs w:val="22"/>
        </w:rPr>
        <w:t>, and patients can refuse to participate in the conversation, even when engaged by their clinician</w:t>
      </w:r>
      <w:r w:rsidR="00A646C2" w:rsidRPr="00B318BF">
        <w:rPr>
          <w:rFonts w:cs="Arial"/>
          <w:szCs w:val="22"/>
        </w:rPr>
        <w:t xml:space="preserve">. </w:t>
      </w:r>
      <w:r w:rsidR="00A646C2" w:rsidRPr="001049A9">
        <w:rPr>
          <w:rFonts w:cs="Arial"/>
          <w:szCs w:val="22"/>
        </w:rPr>
        <w:t>Finally, as part of a previous quality improvement initiative, we interviewed 40 patients after a serious illness conversation with their oncologist. We found no evidence of harm and found that serious illness conversations were considered standard of care for patients with cancer.</w:t>
      </w:r>
      <w:r w:rsidR="00A646C2">
        <w:rPr>
          <w:rFonts w:cs="Arial"/>
          <w:szCs w:val="22"/>
        </w:rPr>
        <w:t xml:space="preserve"> This has been reiterated in the previous study, during which no clinicians reported harm as a result of the intervention.</w:t>
      </w:r>
    </w:p>
    <w:p w14:paraId="02ABDF70" w14:textId="77777777" w:rsidR="005D6171" w:rsidRPr="00291D75" w:rsidRDefault="009124D1" w:rsidP="00FF3C92">
      <w:pPr>
        <w:rPr>
          <w:rFonts w:cs="Arial"/>
          <w:szCs w:val="22"/>
        </w:rPr>
      </w:pPr>
      <w:r w:rsidRPr="00291D75">
        <w:rPr>
          <w:rFonts w:cs="Arial"/>
          <w:szCs w:val="22"/>
        </w:rPr>
        <w:t xml:space="preserve"> </w:t>
      </w:r>
    </w:p>
    <w:p w14:paraId="16A77CFE" w14:textId="56A2F09B" w:rsidR="000638AB" w:rsidRDefault="000638AB" w:rsidP="00FF3C92">
      <w:pPr>
        <w:rPr>
          <w:rFonts w:cs="Arial"/>
          <w:b/>
          <w:szCs w:val="22"/>
        </w:rPr>
      </w:pPr>
      <w:r w:rsidRPr="00291D75">
        <w:rPr>
          <w:rFonts w:cs="Arial"/>
          <w:b/>
          <w:szCs w:val="22"/>
        </w:rPr>
        <w:t>RESOURCES NECESSARY FOR HUMAN RESEARCH PROTECTION</w:t>
      </w:r>
      <w:r w:rsidR="00A20FBF" w:rsidRPr="00291D75">
        <w:rPr>
          <w:rFonts w:cs="Arial"/>
          <w:b/>
          <w:szCs w:val="22"/>
        </w:rPr>
        <w:t>:</w:t>
      </w:r>
    </w:p>
    <w:p w14:paraId="3272E3AF" w14:textId="5712133C" w:rsidR="000638AB" w:rsidRDefault="00845B5C" w:rsidP="00FF3C92">
      <w:pPr>
        <w:rPr>
          <w:rFonts w:cs="Arial"/>
          <w:szCs w:val="22"/>
        </w:rPr>
      </w:pPr>
      <w:r w:rsidRPr="00291D75">
        <w:rPr>
          <w:rFonts w:cs="Arial"/>
          <w:szCs w:val="22"/>
        </w:rPr>
        <w:t xml:space="preserve">Adequate facilities are available </w:t>
      </w:r>
      <w:r w:rsidR="00291D75" w:rsidRPr="00291D75">
        <w:rPr>
          <w:rFonts w:cs="Arial"/>
          <w:szCs w:val="22"/>
        </w:rPr>
        <w:t>at the ACC</w:t>
      </w:r>
      <w:r w:rsidRPr="00291D75">
        <w:rPr>
          <w:rFonts w:cs="Arial"/>
          <w:szCs w:val="22"/>
        </w:rPr>
        <w:t xml:space="preserve">. The </w:t>
      </w:r>
      <w:r w:rsidR="00811A7A" w:rsidRPr="00291D75">
        <w:rPr>
          <w:rFonts w:cs="Arial"/>
          <w:szCs w:val="22"/>
        </w:rPr>
        <w:t xml:space="preserve">members of the research </w:t>
      </w:r>
      <w:r w:rsidRPr="00291D75">
        <w:rPr>
          <w:rFonts w:cs="Arial"/>
          <w:szCs w:val="22"/>
        </w:rPr>
        <w:t xml:space="preserve">team </w:t>
      </w:r>
      <w:r w:rsidR="00811A7A" w:rsidRPr="00291D75">
        <w:rPr>
          <w:rFonts w:cs="Arial"/>
          <w:szCs w:val="22"/>
        </w:rPr>
        <w:t xml:space="preserve">are outlined in HSERA and include </w:t>
      </w:r>
      <w:r w:rsidR="00291D75" w:rsidRPr="00291D75">
        <w:rPr>
          <w:rFonts w:cs="Arial"/>
          <w:szCs w:val="22"/>
        </w:rPr>
        <w:t>appropriate personnel to successfully implement this project</w:t>
      </w:r>
      <w:r w:rsidR="00811A7A" w:rsidRPr="00291D75">
        <w:rPr>
          <w:rFonts w:cs="Arial"/>
          <w:szCs w:val="22"/>
        </w:rPr>
        <w:t xml:space="preserve">. The entire team will be overseen by the PI. </w:t>
      </w:r>
      <w:r w:rsidRPr="00291D75">
        <w:rPr>
          <w:rFonts w:cs="Arial"/>
          <w:szCs w:val="22"/>
        </w:rPr>
        <w:t xml:space="preserve">All personnel will complete required training before being granted access to any identifying information. This includes training on confidentiality through the Collaborative IRB Training Initiative (CITI) course. All personnel will </w:t>
      </w:r>
      <w:r w:rsidR="00291D75" w:rsidRPr="00291D75">
        <w:rPr>
          <w:rFonts w:cs="Arial"/>
          <w:szCs w:val="22"/>
        </w:rPr>
        <w:t xml:space="preserve">be trained in the </w:t>
      </w:r>
      <w:r w:rsidRPr="00291D75">
        <w:rPr>
          <w:rFonts w:cs="Arial"/>
          <w:szCs w:val="22"/>
        </w:rPr>
        <w:t>procedures for reporting unintentional breaches in confidentiality to the PI</w:t>
      </w:r>
      <w:r w:rsidR="00291D75" w:rsidRPr="00291D75">
        <w:rPr>
          <w:rFonts w:cs="Arial"/>
          <w:szCs w:val="22"/>
        </w:rPr>
        <w:t xml:space="preserve">. All personnel will be aware that </w:t>
      </w:r>
      <w:r w:rsidRPr="00291D75">
        <w:rPr>
          <w:rFonts w:cs="Arial"/>
          <w:szCs w:val="22"/>
        </w:rPr>
        <w:t>violations of participants’ confidentiality, either unintentional or deliberate, may result in termination of hire. The PI will conduct training with all research personnel regarding data, limits of confidentiality, maintaining confidentiality and proper study procedures.</w:t>
      </w:r>
    </w:p>
    <w:p w14:paraId="6B78C66D" w14:textId="4CAD9125" w:rsidR="00454CFA" w:rsidRDefault="00454CFA" w:rsidP="00FF3C92">
      <w:pPr>
        <w:rPr>
          <w:rFonts w:cs="Arial"/>
          <w:szCs w:val="22"/>
        </w:rPr>
      </w:pPr>
    </w:p>
    <w:p w14:paraId="342B319A" w14:textId="5343AB40" w:rsidR="00454CFA" w:rsidRDefault="00454CFA" w:rsidP="00454CFA">
      <w:pPr>
        <w:rPr>
          <w:lang w:eastAsia="x-none"/>
        </w:rPr>
      </w:pPr>
      <w:r w:rsidRPr="008727FC">
        <w:rPr>
          <w:lang w:eastAsia="x-none"/>
        </w:rPr>
        <w:t>The following research staff will be directly involved with the implementation and execution of the current stu</w:t>
      </w:r>
      <w:r w:rsidRPr="00686005">
        <w:rPr>
          <w:lang w:eastAsia="x-none"/>
        </w:rPr>
        <w:t>dy:</w:t>
      </w:r>
    </w:p>
    <w:p w14:paraId="660DA0A5" w14:textId="77777777" w:rsidR="00454CFA" w:rsidRPr="00686005" w:rsidRDefault="00454CFA" w:rsidP="00454CFA">
      <w:pPr>
        <w:rPr>
          <w:lang w:eastAsia="x-non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454CFA" w14:paraId="27AE99D8" w14:textId="77777777" w:rsidTr="00454CFA">
        <w:tc>
          <w:tcPr>
            <w:tcW w:w="4675" w:type="dxa"/>
          </w:tcPr>
          <w:p w14:paraId="781ABAC8" w14:textId="77777777" w:rsidR="00454CFA" w:rsidRPr="001C010C" w:rsidRDefault="00454CFA" w:rsidP="00454CFA">
            <w:pPr>
              <w:rPr>
                <w:b/>
                <w:lang w:eastAsia="x-none"/>
              </w:rPr>
            </w:pPr>
            <w:r w:rsidRPr="001C010C">
              <w:rPr>
                <w:b/>
                <w:lang w:eastAsia="x-none"/>
              </w:rPr>
              <w:lastRenderedPageBreak/>
              <w:t>Name</w:t>
            </w:r>
          </w:p>
        </w:tc>
        <w:tc>
          <w:tcPr>
            <w:tcW w:w="4675" w:type="dxa"/>
          </w:tcPr>
          <w:p w14:paraId="347C82B1" w14:textId="77777777" w:rsidR="00454CFA" w:rsidRPr="001C010C" w:rsidRDefault="00454CFA" w:rsidP="00454CFA">
            <w:pPr>
              <w:rPr>
                <w:b/>
                <w:lang w:eastAsia="x-none"/>
              </w:rPr>
            </w:pPr>
            <w:r w:rsidRPr="001C010C">
              <w:rPr>
                <w:b/>
                <w:lang w:eastAsia="x-none"/>
              </w:rPr>
              <w:t>Study Role</w:t>
            </w:r>
          </w:p>
        </w:tc>
      </w:tr>
      <w:tr w:rsidR="00454CFA" w14:paraId="337D1D91" w14:textId="77777777" w:rsidTr="00454CFA">
        <w:tc>
          <w:tcPr>
            <w:tcW w:w="4675" w:type="dxa"/>
          </w:tcPr>
          <w:p w14:paraId="7050A944" w14:textId="1E63BDB6" w:rsidR="00454CFA" w:rsidRPr="001D1825" w:rsidRDefault="00454CFA" w:rsidP="00454CFA">
            <w:pPr>
              <w:rPr>
                <w:rFonts w:cs="Arial"/>
                <w:szCs w:val="22"/>
              </w:rPr>
            </w:pPr>
            <w:r w:rsidRPr="00DD53A3">
              <w:rPr>
                <w:rFonts w:cs="Arial"/>
                <w:szCs w:val="22"/>
              </w:rPr>
              <w:t>Ravi Parikh, MD, MPP, FACP</w:t>
            </w:r>
          </w:p>
        </w:tc>
        <w:tc>
          <w:tcPr>
            <w:tcW w:w="4675" w:type="dxa"/>
          </w:tcPr>
          <w:p w14:paraId="617A7F93" w14:textId="77777777" w:rsidR="00454CFA" w:rsidRDefault="00454CFA" w:rsidP="00454CFA">
            <w:pPr>
              <w:rPr>
                <w:lang w:eastAsia="x-none"/>
              </w:rPr>
            </w:pPr>
            <w:r w:rsidRPr="00AE61BB">
              <w:rPr>
                <w:lang w:eastAsia="x-none"/>
              </w:rPr>
              <w:t>Principal Investigator</w:t>
            </w:r>
          </w:p>
        </w:tc>
      </w:tr>
      <w:tr w:rsidR="00454CFA" w14:paraId="44CAA559" w14:textId="77777777" w:rsidTr="00454CFA">
        <w:tc>
          <w:tcPr>
            <w:tcW w:w="4675" w:type="dxa"/>
          </w:tcPr>
          <w:p w14:paraId="61E4247B" w14:textId="3B2EFDC2" w:rsidR="00454CFA" w:rsidRPr="001D1825" w:rsidRDefault="00454CFA" w:rsidP="00454CFA">
            <w:pPr>
              <w:rPr>
                <w:rFonts w:cs="Arial"/>
                <w:szCs w:val="22"/>
              </w:rPr>
            </w:pPr>
            <w:r w:rsidRPr="00DD53A3">
              <w:rPr>
                <w:rFonts w:cs="Arial"/>
                <w:szCs w:val="22"/>
              </w:rPr>
              <w:t>Samuel U. Takvorian, MD, MS</w:t>
            </w:r>
          </w:p>
        </w:tc>
        <w:tc>
          <w:tcPr>
            <w:tcW w:w="4675" w:type="dxa"/>
          </w:tcPr>
          <w:p w14:paraId="0858769A" w14:textId="77777777" w:rsidR="00454CFA" w:rsidRDefault="00454CFA" w:rsidP="00454CFA">
            <w:pPr>
              <w:rPr>
                <w:lang w:eastAsia="x-none"/>
              </w:rPr>
            </w:pPr>
            <w:r w:rsidRPr="00AE61BB">
              <w:rPr>
                <w:lang w:eastAsia="x-none"/>
              </w:rPr>
              <w:t>Principal Investigator</w:t>
            </w:r>
          </w:p>
        </w:tc>
      </w:tr>
      <w:tr w:rsidR="00454CFA" w14:paraId="64168681" w14:textId="77777777" w:rsidTr="00454CFA">
        <w:tc>
          <w:tcPr>
            <w:tcW w:w="4675" w:type="dxa"/>
          </w:tcPr>
          <w:p w14:paraId="2D361209" w14:textId="0640BD4B" w:rsidR="00454CFA" w:rsidRDefault="006F1DDE" w:rsidP="00454CFA">
            <w:pPr>
              <w:rPr>
                <w:lang w:eastAsia="x-none"/>
              </w:rPr>
            </w:pPr>
            <w:r>
              <w:rPr>
                <w:lang w:eastAsia="x-none"/>
              </w:rPr>
              <w:t>Robert A. Schnoll, Ph</w:t>
            </w:r>
            <w:r w:rsidR="00454CFA" w:rsidRPr="00AE61BB">
              <w:rPr>
                <w:lang w:eastAsia="x-none"/>
              </w:rPr>
              <w:t>D</w:t>
            </w:r>
          </w:p>
        </w:tc>
        <w:tc>
          <w:tcPr>
            <w:tcW w:w="4675" w:type="dxa"/>
          </w:tcPr>
          <w:p w14:paraId="0E5EC0C9" w14:textId="77777777" w:rsidR="00454CFA" w:rsidRDefault="00454CFA" w:rsidP="00454CFA">
            <w:pPr>
              <w:rPr>
                <w:lang w:eastAsia="x-none"/>
              </w:rPr>
            </w:pPr>
            <w:r w:rsidRPr="00AE61BB">
              <w:rPr>
                <w:rFonts w:eastAsia="Calibri" w:cs="Arial"/>
                <w:iCs/>
              </w:rPr>
              <w:t>Collaborator</w:t>
            </w:r>
          </w:p>
        </w:tc>
      </w:tr>
      <w:tr w:rsidR="00454CFA" w14:paraId="100C2FA4" w14:textId="77777777" w:rsidTr="00454CFA">
        <w:tc>
          <w:tcPr>
            <w:tcW w:w="4675" w:type="dxa"/>
          </w:tcPr>
          <w:p w14:paraId="4F32F880" w14:textId="1F472FAC" w:rsidR="00454CFA" w:rsidRDefault="00454CFA">
            <w:pPr>
              <w:rPr>
                <w:lang w:eastAsia="x-none"/>
              </w:rPr>
            </w:pPr>
            <w:r w:rsidRPr="00AE61BB">
              <w:rPr>
                <w:rFonts w:cs="Arial"/>
                <w:lang w:eastAsia="x-none"/>
              </w:rPr>
              <w:t xml:space="preserve">Rinad Beidas, </w:t>
            </w:r>
            <w:r w:rsidR="006F1DDE">
              <w:rPr>
                <w:rFonts w:cs="Arial"/>
                <w:lang w:eastAsia="x-none"/>
              </w:rPr>
              <w:t>PhD</w:t>
            </w:r>
          </w:p>
        </w:tc>
        <w:tc>
          <w:tcPr>
            <w:tcW w:w="4675" w:type="dxa"/>
          </w:tcPr>
          <w:p w14:paraId="71742714" w14:textId="77777777" w:rsidR="00454CFA" w:rsidRDefault="00454CFA" w:rsidP="00454CFA">
            <w:pPr>
              <w:rPr>
                <w:lang w:eastAsia="x-none"/>
              </w:rPr>
            </w:pPr>
            <w:r w:rsidRPr="00AE61BB">
              <w:rPr>
                <w:rFonts w:eastAsia="Calibri" w:cs="Arial"/>
                <w:iCs/>
              </w:rPr>
              <w:t>Collaborator</w:t>
            </w:r>
          </w:p>
        </w:tc>
      </w:tr>
      <w:tr w:rsidR="00454CFA" w14:paraId="2C116DF0" w14:textId="77777777" w:rsidTr="00454CFA">
        <w:tc>
          <w:tcPr>
            <w:tcW w:w="4675" w:type="dxa"/>
          </w:tcPr>
          <w:p w14:paraId="3E8C6658" w14:textId="224B0024" w:rsidR="00454CFA" w:rsidRDefault="006F1DDE" w:rsidP="00454CFA">
            <w:pPr>
              <w:rPr>
                <w:lang w:eastAsia="x-none"/>
              </w:rPr>
            </w:pPr>
            <w:r>
              <w:rPr>
                <w:lang w:eastAsia="x-none"/>
              </w:rPr>
              <w:t>Justin Bekelman, MD</w:t>
            </w:r>
          </w:p>
        </w:tc>
        <w:tc>
          <w:tcPr>
            <w:tcW w:w="4675" w:type="dxa"/>
          </w:tcPr>
          <w:p w14:paraId="2B3F078D" w14:textId="77777777" w:rsidR="00454CFA" w:rsidRDefault="00454CFA" w:rsidP="00454CFA">
            <w:pPr>
              <w:rPr>
                <w:lang w:eastAsia="x-none"/>
              </w:rPr>
            </w:pPr>
            <w:r w:rsidRPr="00AE61BB">
              <w:rPr>
                <w:rFonts w:eastAsia="Calibri" w:cs="Arial"/>
                <w:iCs/>
              </w:rPr>
              <w:t>Collaborator</w:t>
            </w:r>
          </w:p>
        </w:tc>
      </w:tr>
      <w:tr w:rsidR="00454CFA" w14:paraId="7C74789E" w14:textId="77777777" w:rsidTr="00454CFA">
        <w:tc>
          <w:tcPr>
            <w:tcW w:w="4675" w:type="dxa"/>
          </w:tcPr>
          <w:p w14:paraId="33B34F21" w14:textId="651899ED" w:rsidR="00454CFA" w:rsidRDefault="00454CFA" w:rsidP="00454CFA">
            <w:pPr>
              <w:rPr>
                <w:lang w:eastAsia="x-none"/>
              </w:rPr>
            </w:pPr>
            <w:r w:rsidRPr="00454CFA">
              <w:rPr>
                <w:rFonts w:cs="Arial"/>
                <w:lang w:eastAsia="x-none"/>
              </w:rPr>
              <w:t>Peter Gabriel, MD, MSE</w:t>
            </w:r>
          </w:p>
        </w:tc>
        <w:tc>
          <w:tcPr>
            <w:tcW w:w="4675" w:type="dxa"/>
          </w:tcPr>
          <w:p w14:paraId="00EF6EA6" w14:textId="2B273BC6" w:rsidR="00454CFA" w:rsidRDefault="006F1DDE" w:rsidP="002B32B4">
            <w:pPr>
              <w:rPr>
                <w:lang w:eastAsia="x-none"/>
              </w:rPr>
            </w:pPr>
            <w:r w:rsidRPr="006F1DDE">
              <w:rPr>
                <w:rFonts w:eastAsia="Calibri" w:cs="Arial"/>
              </w:rPr>
              <w:t>Informatics</w:t>
            </w:r>
          </w:p>
        </w:tc>
      </w:tr>
      <w:tr w:rsidR="00454CFA" w14:paraId="4E69FA07" w14:textId="77777777" w:rsidTr="00454CFA">
        <w:tc>
          <w:tcPr>
            <w:tcW w:w="4675" w:type="dxa"/>
          </w:tcPr>
          <w:p w14:paraId="1B444CF3" w14:textId="7482FAB3" w:rsidR="00454CFA" w:rsidRDefault="006F1DDE" w:rsidP="00454CFA">
            <w:pPr>
              <w:rPr>
                <w:lang w:eastAsia="x-none"/>
              </w:rPr>
            </w:pPr>
            <w:r>
              <w:rPr>
                <w:rFonts w:eastAsia="Calibri" w:cs="Arial"/>
              </w:rPr>
              <w:t>Alicia Clifton, MDP</w:t>
            </w:r>
          </w:p>
        </w:tc>
        <w:tc>
          <w:tcPr>
            <w:tcW w:w="4675" w:type="dxa"/>
          </w:tcPr>
          <w:p w14:paraId="2648B58F" w14:textId="77777777" w:rsidR="00454CFA" w:rsidRDefault="00454CFA" w:rsidP="00454CFA">
            <w:pPr>
              <w:rPr>
                <w:lang w:eastAsia="x-none"/>
              </w:rPr>
            </w:pPr>
            <w:r>
              <w:rPr>
                <w:lang w:eastAsia="x-none"/>
              </w:rPr>
              <w:t>Project Manager</w:t>
            </w:r>
          </w:p>
        </w:tc>
      </w:tr>
      <w:tr w:rsidR="00454CFA" w14:paraId="61E17F99" w14:textId="77777777" w:rsidTr="00454CFA">
        <w:tc>
          <w:tcPr>
            <w:tcW w:w="4675" w:type="dxa"/>
          </w:tcPr>
          <w:p w14:paraId="52A9B888" w14:textId="585C2439" w:rsidR="00454CFA" w:rsidRDefault="006F1DDE" w:rsidP="00454CFA">
            <w:pPr>
              <w:rPr>
                <w:rFonts w:eastAsia="Calibri" w:cs="Arial"/>
              </w:rPr>
            </w:pPr>
            <w:r>
              <w:rPr>
                <w:rFonts w:eastAsia="Calibri" w:cs="Arial"/>
              </w:rPr>
              <w:t>Tasnim Salam, MBE, MPH</w:t>
            </w:r>
          </w:p>
        </w:tc>
        <w:tc>
          <w:tcPr>
            <w:tcW w:w="4675" w:type="dxa"/>
          </w:tcPr>
          <w:p w14:paraId="54191904" w14:textId="56EB5646" w:rsidR="00454CFA" w:rsidRDefault="006F1DDE" w:rsidP="00454CFA">
            <w:pPr>
              <w:rPr>
                <w:lang w:eastAsia="x-none"/>
              </w:rPr>
            </w:pPr>
            <w:r>
              <w:rPr>
                <w:lang w:eastAsia="x-none"/>
              </w:rPr>
              <w:t>Clinical Research Coordinator</w:t>
            </w:r>
          </w:p>
        </w:tc>
      </w:tr>
      <w:tr w:rsidR="00454CFA" w14:paraId="4D4C258B" w14:textId="77777777" w:rsidTr="00454CFA">
        <w:tc>
          <w:tcPr>
            <w:tcW w:w="4675" w:type="dxa"/>
          </w:tcPr>
          <w:p w14:paraId="22E905EC" w14:textId="10F0706B" w:rsidR="00454CFA" w:rsidRDefault="006F1DDE" w:rsidP="00454CFA">
            <w:pPr>
              <w:rPr>
                <w:lang w:eastAsia="x-none"/>
              </w:rPr>
            </w:pPr>
            <w:r>
              <w:rPr>
                <w:rFonts w:cs="Arial"/>
                <w:lang w:eastAsia="x-none"/>
              </w:rPr>
              <w:t>Sue Ware, BS</w:t>
            </w:r>
          </w:p>
        </w:tc>
        <w:tc>
          <w:tcPr>
            <w:tcW w:w="4675" w:type="dxa"/>
          </w:tcPr>
          <w:p w14:paraId="6094F371" w14:textId="77777777" w:rsidR="00454CFA" w:rsidRDefault="00454CFA" w:rsidP="00454CFA">
            <w:pPr>
              <w:rPr>
                <w:lang w:eastAsia="x-none"/>
              </w:rPr>
            </w:pPr>
            <w:r w:rsidRPr="00AE61BB">
              <w:rPr>
                <w:rFonts w:cs="Arial"/>
                <w:lang w:eastAsia="x-none"/>
              </w:rPr>
              <w:t>Database Manager</w:t>
            </w:r>
          </w:p>
        </w:tc>
      </w:tr>
      <w:tr w:rsidR="00454CFA" w14:paraId="472635CD" w14:textId="77777777" w:rsidTr="00454CFA">
        <w:tc>
          <w:tcPr>
            <w:tcW w:w="4675" w:type="dxa"/>
          </w:tcPr>
          <w:p w14:paraId="7D492A1F" w14:textId="2B1C5B21" w:rsidR="00454CFA" w:rsidRDefault="006F1DDE" w:rsidP="00454CFA">
            <w:pPr>
              <w:rPr>
                <w:lang w:eastAsia="x-none"/>
              </w:rPr>
            </w:pPr>
            <w:r>
              <w:rPr>
                <w:rFonts w:cs="Arial"/>
                <w:lang w:eastAsia="x-none"/>
              </w:rPr>
              <w:t>Paul Wileyto, PhD</w:t>
            </w:r>
          </w:p>
        </w:tc>
        <w:tc>
          <w:tcPr>
            <w:tcW w:w="4675" w:type="dxa"/>
          </w:tcPr>
          <w:p w14:paraId="7AE1E54A" w14:textId="4A13655A" w:rsidR="00454CFA" w:rsidRDefault="006F1DDE" w:rsidP="00454CFA">
            <w:pPr>
              <w:rPr>
                <w:lang w:eastAsia="x-none"/>
              </w:rPr>
            </w:pPr>
            <w:r>
              <w:rPr>
                <w:rFonts w:cs="Arial"/>
                <w:lang w:eastAsia="x-none"/>
              </w:rPr>
              <w:t>Data Analyst</w:t>
            </w:r>
          </w:p>
        </w:tc>
      </w:tr>
    </w:tbl>
    <w:p w14:paraId="39A6252A" w14:textId="77777777" w:rsidR="00454CFA" w:rsidRDefault="00454CFA" w:rsidP="00FF3C92">
      <w:pPr>
        <w:rPr>
          <w:rFonts w:cs="Arial"/>
          <w:szCs w:val="22"/>
        </w:rPr>
      </w:pPr>
    </w:p>
    <w:p w14:paraId="7C957F05" w14:textId="77777777" w:rsidR="00D8261C" w:rsidRDefault="00D8261C" w:rsidP="00FF3C92">
      <w:pPr>
        <w:rPr>
          <w:rFonts w:cs="Arial"/>
          <w:szCs w:val="22"/>
        </w:rPr>
      </w:pPr>
    </w:p>
    <w:p w14:paraId="0E36E9D7" w14:textId="07994CD3" w:rsidR="00C354EB" w:rsidRDefault="00771951" w:rsidP="00FF3C92">
      <w:pPr>
        <w:rPr>
          <w:rFonts w:cs="Arial"/>
          <w:b/>
          <w:szCs w:val="22"/>
        </w:rPr>
      </w:pPr>
      <w:r>
        <w:rPr>
          <w:rFonts w:cs="Arial"/>
          <w:b/>
          <w:szCs w:val="22"/>
        </w:rPr>
        <w:t>REFERENCES</w:t>
      </w:r>
    </w:p>
    <w:p w14:paraId="2289603F" w14:textId="6F9BC9EB" w:rsidR="00414279" w:rsidRDefault="00414279" w:rsidP="00FF3C92">
      <w:pPr>
        <w:rPr>
          <w:rFonts w:cs="Arial"/>
          <w:b/>
          <w:szCs w:val="22"/>
        </w:rPr>
      </w:pPr>
    </w:p>
    <w:p w14:paraId="44248F27" w14:textId="77777777" w:rsidR="003B4B10" w:rsidRPr="003B4B10" w:rsidRDefault="00E05B7A" w:rsidP="003B4B10">
      <w:pPr>
        <w:pStyle w:val="Bibliography"/>
        <w:rPr>
          <w:rFonts w:cs="Arial"/>
        </w:rPr>
      </w:pPr>
      <w:r>
        <w:rPr>
          <w:rFonts w:cs="Arial"/>
          <w:b/>
          <w:szCs w:val="22"/>
        </w:rPr>
        <w:fldChar w:fldCharType="begin"/>
      </w:r>
      <w:r w:rsidR="003B4B10">
        <w:rPr>
          <w:rFonts w:cs="Arial"/>
          <w:b/>
          <w:szCs w:val="22"/>
        </w:rPr>
        <w:instrText xml:space="preserve"> ADDIN ZOTERO_BIBL {"uncited":[],"omitted":[],"custom":[]} CSL_BIBLIOGRAPHY </w:instrText>
      </w:r>
      <w:r>
        <w:rPr>
          <w:rFonts w:cs="Arial"/>
          <w:b/>
          <w:szCs w:val="22"/>
        </w:rPr>
        <w:fldChar w:fldCharType="separate"/>
      </w:r>
      <w:r w:rsidR="003B4B10" w:rsidRPr="003B4B10">
        <w:rPr>
          <w:rFonts w:cs="Arial"/>
        </w:rPr>
        <w:t xml:space="preserve">1. </w:t>
      </w:r>
      <w:r w:rsidR="003B4B10" w:rsidRPr="003B4B10">
        <w:rPr>
          <w:rFonts w:cs="Arial"/>
        </w:rPr>
        <w:tab/>
        <w:t xml:space="preserve">Earle CC, Landrum MB, Souza JM, Neville BA, Weeks JC, Ayanian JZ. Aggressiveness of cancer care near the end of life: is it a quality-of-care issue? </w:t>
      </w:r>
      <w:r w:rsidR="003B4B10" w:rsidRPr="003B4B10">
        <w:rPr>
          <w:rFonts w:cs="Arial"/>
          <w:i/>
          <w:iCs/>
        </w:rPr>
        <w:t>J Clin Oncol Off J Am Soc Clin Oncol</w:t>
      </w:r>
      <w:r w:rsidR="003B4B10" w:rsidRPr="003B4B10">
        <w:rPr>
          <w:rFonts w:cs="Arial"/>
        </w:rPr>
        <w:t>. 2008;26(23):3860-3866. doi:10.1200/JCO.2007.15.8253</w:t>
      </w:r>
    </w:p>
    <w:p w14:paraId="4994AE73" w14:textId="77777777" w:rsidR="003B4B10" w:rsidRPr="003B4B10" w:rsidRDefault="003B4B10" w:rsidP="003B4B10">
      <w:pPr>
        <w:pStyle w:val="Bibliography"/>
        <w:rPr>
          <w:rFonts w:cs="Arial"/>
        </w:rPr>
      </w:pPr>
      <w:r w:rsidRPr="003B4B10">
        <w:rPr>
          <w:rFonts w:cs="Arial"/>
        </w:rPr>
        <w:t xml:space="preserve">2. </w:t>
      </w:r>
      <w:r w:rsidRPr="003B4B10">
        <w:rPr>
          <w:rFonts w:cs="Arial"/>
        </w:rPr>
        <w:tab/>
        <w:t xml:space="preserve">Emanuel EJ, Young-Xu Y, Levinsky NG, Gazelle G, Saynina O, Ash AS. Chemotherapy use among Medicare beneficiaries at the end of life. </w:t>
      </w:r>
      <w:r w:rsidRPr="003B4B10">
        <w:rPr>
          <w:rFonts w:cs="Arial"/>
          <w:i/>
          <w:iCs/>
        </w:rPr>
        <w:t>Ann Intern Med</w:t>
      </w:r>
      <w:r w:rsidRPr="003B4B10">
        <w:rPr>
          <w:rFonts w:cs="Arial"/>
        </w:rPr>
        <w:t>. 2003;138(8):639-643. doi:10.7326/0003-4819-138-8-200304150-00011</w:t>
      </w:r>
    </w:p>
    <w:p w14:paraId="67F53F1A" w14:textId="77777777" w:rsidR="003B4B10" w:rsidRPr="003B4B10" w:rsidRDefault="003B4B10" w:rsidP="003B4B10">
      <w:pPr>
        <w:pStyle w:val="Bibliography"/>
        <w:rPr>
          <w:rFonts w:cs="Arial"/>
        </w:rPr>
      </w:pPr>
      <w:r w:rsidRPr="003B4B10">
        <w:rPr>
          <w:rFonts w:cs="Arial"/>
        </w:rPr>
        <w:t xml:space="preserve">3. </w:t>
      </w:r>
      <w:r w:rsidRPr="003B4B10">
        <w:rPr>
          <w:rFonts w:cs="Arial"/>
        </w:rPr>
        <w:tab/>
        <w:t xml:space="preserve">Wright AA, Keating NL, Ayanian JZ, et al. Family Perspectives on Aggressive Cancer Care Near the End of Life. </w:t>
      </w:r>
      <w:r w:rsidRPr="003B4B10">
        <w:rPr>
          <w:rFonts w:cs="Arial"/>
          <w:i/>
          <w:iCs/>
        </w:rPr>
        <w:t>JAMA</w:t>
      </w:r>
      <w:r w:rsidRPr="003B4B10">
        <w:rPr>
          <w:rFonts w:cs="Arial"/>
        </w:rPr>
        <w:t>. 2016;315(3):284-292. doi:10.1001/jama.2015.18604</w:t>
      </w:r>
    </w:p>
    <w:p w14:paraId="4682B3AB" w14:textId="77777777" w:rsidR="003B4B10" w:rsidRPr="003B4B10" w:rsidRDefault="003B4B10" w:rsidP="003B4B10">
      <w:pPr>
        <w:pStyle w:val="Bibliography"/>
        <w:rPr>
          <w:rFonts w:cs="Arial"/>
        </w:rPr>
      </w:pPr>
      <w:r w:rsidRPr="003B4B10">
        <w:rPr>
          <w:rFonts w:cs="Arial"/>
        </w:rPr>
        <w:t xml:space="preserve">4. </w:t>
      </w:r>
      <w:r w:rsidRPr="003B4B10">
        <w:rPr>
          <w:rFonts w:cs="Arial"/>
        </w:rPr>
        <w:tab/>
        <w:t xml:space="preserve">Wright AA, Keating NL, Balboni TA, Matulonis UA, Block SD, Prigerson HG. Place of death: correlations with quality of life of patients with cancer and predictors of bereaved caregivers’ mental health. </w:t>
      </w:r>
      <w:r w:rsidRPr="003B4B10">
        <w:rPr>
          <w:rFonts w:cs="Arial"/>
          <w:i/>
          <w:iCs/>
        </w:rPr>
        <w:t>J Clin Oncol Off J Am Soc Clin Oncol</w:t>
      </w:r>
      <w:r w:rsidRPr="003B4B10">
        <w:rPr>
          <w:rFonts w:cs="Arial"/>
        </w:rPr>
        <w:t>. 2010;28(29):4457-4464. doi:10.1200/JCO.2009.26.3863</w:t>
      </w:r>
    </w:p>
    <w:p w14:paraId="1F337E31" w14:textId="77777777" w:rsidR="003B4B10" w:rsidRPr="003B4B10" w:rsidRDefault="003B4B10" w:rsidP="003B4B10">
      <w:pPr>
        <w:pStyle w:val="Bibliography"/>
        <w:rPr>
          <w:rFonts w:cs="Arial"/>
        </w:rPr>
      </w:pPr>
      <w:r w:rsidRPr="003B4B10">
        <w:rPr>
          <w:rFonts w:cs="Arial"/>
        </w:rPr>
        <w:t xml:space="preserve">5. </w:t>
      </w:r>
      <w:r w:rsidRPr="003B4B10">
        <w:rPr>
          <w:rFonts w:cs="Arial"/>
        </w:rPr>
        <w:tab/>
        <w:t xml:space="preserve">Wen F-H, Chen J-S, Su P-J, et al. Terminally Ill Cancer Patients’ Concordance Between Preferred Life-Sustaining Treatment States in Their Last Six Months of Life and Received Life-Sustaining Treatment States in Their Last Month: An Observational Study. </w:t>
      </w:r>
      <w:r w:rsidRPr="003B4B10">
        <w:rPr>
          <w:rFonts w:cs="Arial"/>
          <w:i/>
          <w:iCs/>
        </w:rPr>
        <w:t>J Pain Symptom Manage</w:t>
      </w:r>
      <w:r w:rsidRPr="003B4B10">
        <w:rPr>
          <w:rFonts w:cs="Arial"/>
        </w:rPr>
        <w:t>. 2018;56(4):509-518.e3. doi:10.1016/j.jpainsymman.2018.07.003</w:t>
      </w:r>
    </w:p>
    <w:p w14:paraId="157CD3D4" w14:textId="77777777" w:rsidR="003B4B10" w:rsidRPr="003B4B10" w:rsidRDefault="003B4B10" w:rsidP="003B4B10">
      <w:pPr>
        <w:pStyle w:val="Bibliography"/>
        <w:rPr>
          <w:rFonts w:cs="Arial"/>
        </w:rPr>
      </w:pPr>
      <w:r w:rsidRPr="003B4B10">
        <w:rPr>
          <w:rFonts w:cs="Arial"/>
        </w:rPr>
        <w:t xml:space="preserve">6. </w:t>
      </w:r>
      <w:r w:rsidRPr="003B4B10">
        <w:rPr>
          <w:rFonts w:cs="Arial"/>
        </w:rPr>
        <w:tab/>
        <w:t xml:space="preserve">Earle CC, Neville BA, Landrum MB, Ayanian JZ, Block SD, Weeks JC. Trends in the aggressiveness of cancer care near the end of life. </w:t>
      </w:r>
      <w:r w:rsidRPr="003B4B10">
        <w:rPr>
          <w:rFonts w:cs="Arial"/>
          <w:i/>
          <w:iCs/>
        </w:rPr>
        <w:t>J Clin Oncol Off J Am Soc Clin Oncol</w:t>
      </w:r>
      <w:r w:rsidRPr="003B4B10">
        <w:rPr>
          <w:rFonts w:cs="Arial"/>
        </w:rPr>
        <w:t>. 2004;22(2):315-321. doi:10.1200/JCO.2004.08.136</w:t>
      </w:r>
    </w:p>
    <w:p w14:paraId="70D71E11" w14:textId="77777777" w:rsidR="003B4B10" w:rsidRPr="003B4B10" w:rsidRDefault="003B4B10" w:rsidP="003B4B10">
      <w:pPr>
        <w:pStyle w:val="Bibliography"/>
        <w:rPr>
          <w:rFonts w:cs="Arial"/>
        </w:rPr>
      </w:pPr>
      <w:r w:rsidRPr="003B4B10">
        <w:rPr>
          <w:rFonts w:cs="Arial"/>
        </w:rPr>
        <w:t xml:space="preserve">7. </w:t>
      </w:r>
      <w:r w:rsidRPr="003B4B10">
        <w:rPr>
          <w:rFonts w:cs="Arial"/>
        </w:rPr>
        <w:tab/>
        <w:t xml:space="preserve">Wright AA, Zhang B, Ray A, et al. Associations between end-of-life discussions, patient mental health, medical care near death, and caregiver bereavement adjustment. </w:t>
      </w:r>
      <w:r w:rsidRPr="003B4B10">
        <w:rPr>
          <w:rFonts w:cs="Arial"/>
          <w:i/>
          <w:iCs/>
        </w:rPr>
        <w:t>JAMA</w:t>
      </w:r>
      <w:r w:rsidRPr="003B4B10">
        <w:rPr>
          <w:rFonts w:cs="Arial"/>
        </w:rPr>
        <w:t>. 2008;300(14):1665-1673. doi:10.1001/jama.300.14.1665</w:t>
      </w:r>
    </w:p>
    <w:p w14:paraId="07A958E8" w14:textId="77777777" w:rsidR="003B4B10" w:rsidRPr="003B4B10" w:rsidRDefault="003B4B10" w:rsidP="003B4B10">
      <w:pPr>
        <w:pStyle w:val="Bibliography"/>
        <w:rPr>
          <w:rFonts w:cs="Arial"/>
        </w:rPr>
      </w:pPr>
      <w:r w:rsidRPr="003B4B10">
        <w:rPr>
          <w:rFonts w:cs="Arial"/>
        </w:rPr>
        <w:t xml:space="preserve">8. </w:t>
      </w:r>
      <w:r w:rsidRPr="003B4B10">
        <w:rPr>
          <w:rFonts w:cs="Arial"/>
        </w:rPr>
        <w:tab/>
        <w:t xml:space="preserve">Mack JW, Weeks JC, Wright AA, Block SD, Prigerson HG. End-of-life discussions, goal attainment, and distress at the end of life: predictors and outcomes of receipt of care consistent with preferences. </w:t>
      </w:r>
      <w:r w:rsidRPr="003B4B10">
        <w:rPr>
          <w:rFonts w:cs="Arial"/>
          <w:i/>
          <w:iCs/>
        </w:rPr>
        <w:t>J Clin Oncol Off J Am Soc Clin Oncol</w:t>
      </w:r>
      <w:r w:rsidRPr="003B4B10">
        <w:rPr>
          <w:rFonts w:cs="Arial"/>
        </w:rPr>
        <w:t>. 2010;28(7):1203-1208. doi:10.1200/JCO.2009.25.4672</w:t>
      </w:r>
    </w:p>
    <w:p w14:paraId="06C470F6" w14:textId="77777777" w:rsidR="003B4B10" w:rsidRPr="003B4B10" w:rsidRDefault="003B4B10" w:rsidP="003B4B10">
      <w:pPr>
        <w:pStyle w:val="Bibliography"/>
        <w:rPr>
          <w:rFonts w:cs="Arial"/>
        </w:rPr>
      </w:pPr>
      <w:r w:rsidRPr="003B4B10">
        <w:rPr>
          <w:rFonts w:cs="Arial"/>
        </w:rPr>
        <w:t xml:space="preserve">9. </w:t>
      </w:r>
      <w:r w:rsidRPr="003B4B10">
        <w:rPr>
          <w:rFonts w:cs="Arial"/>
        </w:rPr>
        <w:tab/>
        <w:t xml:space="preserve">Detering KM, Hancock AD, Reade MC, Silvester W. The impact of advance care planning on end of life care in elderly patients: randomised controlled trial. </w:t>
      </w:r>
      <w:r w:rsidRPr="003B4B10">
        <w:rPr>
          <w:rFonts w:cs="Arial"/>
          <w:i/>
          <w:iCs/>
        </w:rPr>
        <w:t>BMJ</w:t>
      </w:r>
      <w:r w:rsidRPr="003B4B10">
        <w:rPr>
          <w:rFonts w:cs="Arial"/>
        </w:rPr>
        <w:t>. 2010;340:c1345. doi:10.1136/bmj.c1345</w:t>
      </w:r>
    </w:p>
    <w:p w14:paraId="392E3514" w14:textId="77777777" w:rsidR="003B4B10" w:rsidRPr="003B4B10" w:rsidRDefault="003B4B10" w:rsidP="003B4B10">
      <w:pPr>
        <w:pStyle w:val="Bibliography"/>
        <w:rPr>
          <w:rFonts w:cs="Arial"/>
        </w:rPr>
      </w:pPr>
      <w:r w:rsidRPr="003B4B10">
        <w:rPr>
          <w:rFonts w:cs="Arial"/>
        </w:rPr>
        <w:lastRenderedPageBreak/>
        <w:t xml:space="preserve">10. </w:t>
      </w:r>
      <w:r w:rsidRPr="003B4B10">
        <w:rPr>
          <w:rFonts w:cs="Arial"/>
        </w:rPr>
        <w:tab/>
        <w:t xml:space="preserve">Brinkman-Stoppelenburg A, Rietjens JAC, van der Heide A. The effects of advance care planning on end-of-life care: a systematic review. </w:t>
      </w:r>
      <w:r w:rsidRPr="003B4B10">
        <w:rPr>
          <w:rFonts w:cs="Arial"/>
          <w:i/>
          <w:iCs/>
        </w:rPr>
        <w:t>Palliat Med</w:t>
      </w:r>
      <w:r w:rsidRPr="003B4B10">
        <w:rPr>
          <w:rFonts w:cs="Arial"/>
        </w:rPr>
        <w:t>. 2014;28(8):1000-1025. doi:10.1177/0269216314526272</w:t>
      </w:r>
    </w:p>
    <w:p w14:paraId="3CB72472" w14:textId="77777777" w:rsidR="003B4B10" w:rsidRPr="003B4B10" w:rsidRDefault="003B4B10" w:rsidP="003B4B10">
      <w:pPr>
        <w:pStyle w:val="Bibliography"/>
        <w:rPr>
          <w:rFonts w:cs="Arial"/>
        </w:rPr>
      </w:pPr>
      <w:r w:rsidRPr="003B4B10">
        <w:rPr>
          <w:rFonts w:cs="Arial"/>
        </w:rPr>
        <w:t xml:space="preserve">11. </w:t>
      </w:r>
      <w:r w:rsidRPr="003B4B10">
        <w:rPr>
          <w:rFonts w:cs="Arial"/>
        </w:rPr>
        <w:tab/>
        <w:t xml:space="preserve">Bernacki R, Paladino J, Neville BA, et al. Effect of the Serious Illness Care Program in Outpatient Oncology: A Cluster Randomized Clinical Trial. </w:t>
      </w:r>
      <w:r w:rsidRPr="003B4B10">
        <w:rPr>
          <w:rFonts w:cs="Arial"/>
          <w:i/>
          <w:iCs/>
        </w:rPr>
        <w:t>JAMA Intern Med</w:t>
      </w:r>
      <w:r w:rsidRPr="003B4B10">
        <w:rPr>
          <w:rFonts w:cs="Arial"/>
        </w:rPr>
        <w:t>. 2019;179(6):751-759. doi:10.1001/jamainternmed.2019.0077</w:t>
      </w:r>
    </w:p>
    <w:p w14:paraId="58FDFDA2" w14:textId="77777777" w:rsidR="003B4B10" w:rsidRPr="003B4B10" w:rsidRDefault="003B4B10" w:rsidP="003B4B10">
      <w:pPr>
        <w:pStyle w:val="Bibliography"/>
        <w:rPr>
          <w:rFonts w:cs="Arial"/>
        </w:rPr>
      </w:pPr>
      <w:r w:rsidRPr="003B4B10">
        <w:rPr>
          <w:rFonts w:cs="Arial"/>
        </w:rPr>
        <w:t xml:space="preserve">12. </w:t>
      </w:r>
      <w:r w:rsidRPr="003B4B10">
        <w:rPr>
          <w:rFonts w:cs="Arial"/>
        </w:rPr>
        <w:tab/>
        <w:t xml:space="preserve">Paladino J, Bernacki R, Neville BA, et al. Evaluating an Intervention to Improve Communication Between Oncology Clinicians and Patients With Life-Limiting Cancer: A Cluster Randomized Clinical Trial of the Serious Illness Care Program. </w:t>
      </w:r>
      <w:r w:rsidRPr="003B4B10">
        <w:rPr>
          <w:rFonts w:cs="Arial"/>
          <w:i/>
          <w:iCs/>
        </w:rPr>
        <w:t>JAMA Oncol</w:t>
      </w:r>
      <w:r w:rsidRPr="003B4B10">
        <w:rPr>
          <w:rFonts w:cs="Arial"/>
        </w:rPr>
        <w:t>. 2019;5(6):801-809. doi:10.1001/jamaoncol.2019.0292</w:t>
      </w:r>
    </w:p>
    <w:p w14:paraId="22F80FFD" w14:textId="77777777" w:rsidR="003B4B10" w:rsidRPr="003B4B10" w:rsidRDefault="003B4B10" w:rsidP="003B4B10">
      <w:pPr>
        <w:pStyle w:val="Bibliography"/>
        <w:rPr>
          <w:rFonts w:cs="Arial"/>
        </w:rPr>
      </w:pPr>
      <w:r w:rsidRPr="003B4B10">
        <w:rPr>
          <w:rFonts w:cs="Arial"/>
        </w:rPr>
        <w:t xml:space="preserve">13. </w:t>
      </w:r>
      <w:r w:rsidRPr="003B4B10">
        <w:rPr>
          <w:rFonts w:cs="Arial"/>
        </w:rPr>
        <w:tab/>
        <w:t xml:space="preserve">Bickel KE, McNiff K, Buss MK, et al. Defining High-Quality Palliative Care in Oncology Practice: An American Society of Clinical Oncology/American Academy of Hospice and Palliative Medicine Guidance Statement. </w:t>
      </w:r>
      <w:r w:rsidRPr="003B4B10">
        <w:rPr>
          <w:rFonts w:cs="Arial"/>
          <w:i/>
          <w:iCs/>
        </w:rPr>
        <w:t>J Oncol Pract</w:t>
      </w:r>
      <w:r w:rsidRPr="003B4B10">
        <w:rPr>
          <w:rFonts w:cs="Arial"/>
        </w:rPr>
        <w:t>. 2016;12(9):e828-838. doi:10.1200/JOP.2016.010686</w:t>
      </w:r>
    </w:p>
    <w:p w14:paraId="218A121D" w14:textId="77777777" w:rsidR="003B4B10" w:rsidRPr="003B4B10" w:rsidRDefault="003B4B10" w:rsidP="003B4B10">
      <w:pPr>
        <w:pStyle w:val="Bibliography"/>
        <w:rPr>
          <w:rFonts w:cs="Arial"/>
        </w:rPr>
      </w:pPr>
      <w:r w:rsidRPr="003B4B10">
        <w:rPr>
          <w:rFonts w:cs="Arial"/>
        </w:rPr>
        <w:t xml:space="preserve">14. </w:t>
      </w:r>
      <w:r w:rsidRPr="003B4B10">
        <w:rPr>
          <w:rFonts w:cs="Arial"/>
        </w:rPr>
        <w:tab/>
        <w:t xml:space="preserve">Bernacki RE, Block SD, American College of Physicians High Value Care Task Force. Communication about serious illness care goals: a review and synthesis of best practices. </w:t>
      </w:r>
      <w:r w:rsidRPr="003B4B10">
        <w:rPr>
          <w:rFonts w:cs="Arial"/>
          <w:i/>
          <w:iCs/>
        </w:rPr>
        <w:t>JAMA Intern Med</w:t>
      </w:r>
      <w:r w:rsidRPr="003B4B10">
        <w:rPr>
          <w:rFonts w:cs="Arial"/>
        </w:rPr>
        <w:t>. 2014;174(12):1994-2003. doi:10.1001/jamainternmed.2014.5271</w:t>
      </w:r>
    </w:p>
    <w:p w14:paraId="48E594A9" w14:textId="77777777" w:rsidR="003B4B10" w:rsidRPr="003B4B10" w:rsidRDefault="003B4B10" w:rsidP="003B4B10">
      <w:pPr>
        <w:pStyle w:val="Bibliography"/>
        <w:rPr>
          <w:rFonts w:cs="Arial"/>
        </w:rPr>
      </w:pPr>
      <w:r w:rsidRPr="003B4B10">
        <w:rPr>
          <w:rFonts w:cs="Arial"/>
        </w:rPr>
        <w:t xml:space="preserve">15. </w:t>
      </w:r>
      <w:r w:rsidRPr="003B4B10">
        <w:rPr>
          <w:rFonts w:cs="Arial"/>
        </w:rPr>
        <w:tab/>
      </w:r>
      <w:r w:rsidRPr="003B4B10">
        <w:rPr>
          <w:rFonts w:cs="Arial"/>
          <w:i/>
          <w:iCs/>
        </w:rPr>
        <w:t>Committee on Approaching Death: Addressing Key End-Of-Life Issues</w:t>
      </w:r>
      <w:r w:rsidRPr="003B4B10">
        <w:rPr>
          <w:rFonts w:cs="Arial"/>
        </w:rPr>
        <w:t>. National Academies Press (US); 2015. Accessed September 4, 2020. https://www.ncbi.nlm.nih.gov/books/NBK285678/</w:t>
      </w:r>
    </w:p>
    <w:p w14:paraId="2A850517" w14:textId="77777777" w:rsidR="003B4B10" w:rsidRPr="003B4B10" w:rsidRDefault="003B4B10" w:rsidP="003B4B10">
      <w:pPr>
        <w:pStyle w:val="Bibliography"/>
        <w:rPr>
          <w:rFonts w:cs="Arial"/>
        </w:rPr>
      </w:pPr>
      <w:r w:rsidRPr="003B4B10">
        <w:rPr>
          <w:rFonts w:cs="Arial"/>
        </w:rPr>
        <w:t xml:space="preserve">16. </w:t>
      </w:r>
      <w:r w:rsidRPr="003B4B10">
        <w:rPr>
          <w:rFonts w:cs="Arial"/>
        </w:rPr>
        <w:tab/>
        <w:t xml:space="preserve">Schubart JR, Levi BH, Bain MM, Farace E, Green MJ. Advance Care Planning Among Patients With Advanced Cancer. </w:t>
      </w:r>
      <w:r w:rsidRPr="003B4B10">
        <w:rPr>
          <w:rFonts w:cs="Arial"/>
          <w:i/>
          <w:iCs/>
        </w:rPr>
        <w:t>J Oncol Pract</w:t>
      </w:r>
      <w:r w:rsidRPr="003B4B10">
        <w:rPr>
          <w:rFonts w:cs="Arial"/>
        </w:rPr>
        <w:t>. 2019;15(1):e65-e73. doi:10.1200/JOP.18.00044</w:t>
      </w:r>
    </w:p>
    <w:p w14:paraId="4C211A32" w14:textId="77777777" w:rsidR="003B4B10" w:rsidRPr="003B4B10" w:rsidRDefault="003B4B10" w:rsidP="003B4B10">
      <w:pPr>
        <w:pStyle w:val="Bibliography"/>
        <w:rPr>
          <w:rFonts w:cs="Arial"/>
        </w:rPr>
      </w:pPr>
      <w:r w:rsidRPr="003B4B10">
        <w:rPr>
          <w:rFonts w:cs="Arial"/>
        </w:rPr>
        <w:t xml:space="preserve">17. </w:t>
      </w:r>
      <w:r w:rsidRPr="003B4B10">
        <w:rPr>
          <w:rFonts w:cs="Arial"/>
        </w:rPr>
        <w:tab/>
        <w:t xml:space="preserve">Rao JK, Anderson LA, Lin F-C, Laux JP. Completion of Advance Directives Among U.S. Consumers. </w:t>
      </w:r>
      <w:r w:rsidRPr="003B4B10">
        <w:rPr>
          <w:rFonts w:cs="Arial"/>
          <w:i/>
          <w:iCs/>
        </w:rPr>
        <w:t>Am J Prev Med</w:t>
      </w:r>
      <w:r w:rsidRPr="003B4B10">
        <w:rPr>
          <w:rFonts w:cs="Arial"/>
        </w:rPr>
        <w:t>. 2014;46(1):65-70. doi:10.1016/j.amepre.2013.09.008</w:t>
      </w:r>
    </w:p>
    <w:p w14:paraId="2CF6DE03" w14:textId="77777777" w:rsidR="003B4B10" w:rsidRPr="003B4B10" w:rsidRDefault="003B4B10" w:rsidP="003B4B10">
      <w:pPr>
        <w:pStyle w:val="Bibliography"/>
        <w:rPr>
          <w:rFonts w:cs="Arial"/>
        </w:rPr>
      </w:pPr>
      <w:r w:rsidRPr="003B4B10">
        <w:rPr>
          <w:rFonts w:cs="Arial"/>
        </w:rPr>
        <w:t xml:space="preserve">18. </w:t>
      </w:r>
      <w:r w:rsidRPr="003B4B10">
        <w:rPr>
          <w:rFonts w:cs="Arial"/>
        </w:rPr>
        <w:tab/>
        <w:t xml:space="preserve">Degenholtz HB, Arnold RA, Meisel A, Lave JR. Persistence of Racial Disparities in Advance Care Plan Documents Among Nursing Home Residents. </w:t>
      </w:r>
      <w:r w:rsidRPr="003B4B10">
        <w:rPr>
          <w:rFonts w:cs="Arial"/>
          <w:i/>
          <w:iCs/>
        </w:rPr>
        <w:t>J Am Geriatr Soc</w:t>
      </w:r>
      <w:r w:rsidRPr="003B4B10">
        <w:rPr>
          <w:rFonts w:cs="Arial"/>
        </w:rPr>
        <w:t>. 2002;50(2):378-381. doi:10.1046/j.1532-5415.2002.50073.x</w:t>
      </w:r>
    </w:p>
    <w:p w14:paraId="15AFD782" w14:textId="77777777" w:rsidR="003B4B10" w:rsidRPr="003B4B10" w:rsidRDefault="003B4B10" w:rsidP="003B4B10">
      <w:pPr>
        <w:pStyle w:val="Bibliography"/>
        <w:rPr>
          <w:rFonts w:cs="Arial"/>
        </w:rPr>
      </w:pPr>
      <w:r w:rsidRPr="003B4B10">
        <w:rPr>
          <w:rFonts w:cs="Arial"/>
        </w:rPr>
        <w:t xml:space="preserve">19. </w:t>
      </w:r>
      <w:r w:rsidRPr="003B4B10">
        <w:rPr>
          <w:rFonts w:cs="Arial"/>
        </w:rPr>
        <w:tab/>
        <w:t xml:space="preserve">Kulkarni SP, Karliner LS, Auerbach AD, Pérez-Stable EJ. Physician Use of Advance Care Planning Discussions in a Diverse Hospitalized Population. </w:t>
      </w:r>
      <w:r w:rsidRPr="003B4B10">
        <w:rPr>
          <w:rFonts w:cs="Arial"/>
          <w:i/>
          <w:iCs/>
        </w:rPr>
        <w:t>J Immigr Minor Health</w:t>
      </w:r>
      <w:r w:rsidRPr="003B4B10">
        <w:rPr>
          <w:rFonts w:cs="Arial"/>
        </w:rPr>
        <w:t>. 2011;13(3):620-624. doi:10.1007/s10903-010-9361-5</w:t>
      </w:r>
    </w:p>
    <w:p w14:paraId="15EB5578" w14:textId="77777777" w:rsidR="003B4B10" w:rsidRPr="003B4B10" w:rsidRDefault="003B4B10" w:rsidP="003B4B10">
      <w:pPr>
        <w:pStyle w:val="Bibliography"/>
        <w:rPr>
          <w:rFonts w:cs="Arial"/>
        </w:rPr>
      </w:pPr>
      <w:r w:rsidRPr="003B4B10">
        <w:rPr>
          <w:rFonts w:cs="Arial"/>
        </w:rPr>
        <w:t xml:space="preserve">20. </w:t>
      </w:r>
      <w:r w:rsidRPr="003B4B10">
        <w:rPr>
          <w:rFonts w:cs="Arial"/>
        </w:rPr>
        <w:tab/>
        <w:t xml:space="preserve">Smith AK, McCarthy EP, Paulk E, et al. Racial and Ethnic Differences in Advance Care Planning Among Patients With Cancer: Impact of Terminal Illness Acknowledgment, Religiousness, and Treatment Preferences. </w:t>
      </w:r>
      <w:r w:rsidRPr="003B4B10">
        <w:rPr>
          <w:rFonts w:cs="Arial"/>
          <w:i/>
          <w:iCs/>
        </w:rPr>
        <w:t>J Clin Oncol</w:t>
      </w:r>
      <w:r w:rsidRPr="003B4B10">
        <w:rPr>
          <w:rFonts w:cs="Arial"/>
        </w:rPr>
        <w:t>. 2008;26(25):4131-4137. doi:10.1200/JCO.2007.14.8452</w:t>
      </w:r>
    </w:p>
    <w:p w14:paraId="003A9BC3" w14:textId="77777777" w:rsidR="003B4B10" w:rsidRPr="003B4B10" w:rsidRDefault="003B4B10" w:rsidP="003B4B10">
      <w:pPr>
        <w:pStyle w:val="Bibliography"/>
        <w:rPr>
          <w:rFonts w:cs="Arial"/>
        </w:rPr>
      </w:pPr>
      <w:r w:rsidRPr="003B4B10">
        <w:rPr>
          <w:rFonts w:cs="Arial"/>
        </w:rPr>
        <w:t xml:space="preserve">21. </w:t>
      </w:r>
      <w:r w:rsidRPr="003B4B10">
        <w:rPr>
          <w:rFonts w:cs="Arial"/>
        </w:rPr>
        <w:tab/>
        <w:t xml:space="preserve">LoPresti MA, Dement F, Gold HT. End-of-Life Care for People With Cancer From Ethnic Minority Groups: A Systematic Review. </w:t>
      </w:r>
      <w:r w:rsidRPr="003B4B10">
        <w:rPr>
          <w:rFonts w:cs="Arial"/>
          <w:i/>
          <w:iCs/>
        </w:rPr>
        <w:t>Am J Hosp Palliat Med</w:t>
      </w:r>
      <w:r w:rsidRPr="003B4B10">
        <w:rPr>
          <w:rFonts w:cs="Arial"/>
        </w:rPr>
        <w:t>. 2016;33(3):291-305. doi:10.1177/1049909114565658</w:t>
      </w:r>
    </w:p>
    <w:p w14:paraId="63764009" w14:textId="77777777" w:rsidR="003B4B10" w:rsidRPr="003B4B10" w:rsidRDefault="003B4B10" w:rsidP="003B4B10">
      <w:pPr>
        <w:pStyle w:val="Bibliography"/>
        <w:rPr>
          <w:rFonts w:cs="Arial"/>
        </w:rPr>
      </w:pPr>
      <w:r w:rsidRPr="003B4B10">
        <w:rPr>
          <w:rFonts w:cs="Arial"/>
        </w:rPr>
        <w:t xml:space="preserve">22. </w:t>
      </w:r>
      <w:r w:rsidRPr="003B4B10">
        <w:rPr>
          <w:rFonts w:cs="Arial"/>
        </w:rPr>
        <w:tab/>
        <w:t xml:space="preserve">Takvorian SU, Ladage VP, Wileyto EP, et al. Association of Behavioral Nudges With High-Value Evidence-Based Prescribing in Oncology. </w:t>
      </w:r>
      <w:r w:rsidRPr="003B4B10">
        <w:rPr>
          <w:rFonts w:cs="Arial"/>
          <w:i/>
          <w:iCs/>
        </w:rPr>
        <w:t>JAMA Oncol</w:t>
      </w:r>
      <w:r w:rsidRPr="003B4B10">
        <w:rPr>
          <w:rFonts w:cs="Arial"/>
        </w:rPr>
        <w:t>. Published online April 30, 2020. doi:10.1001/jamaoncol.2020.0746</w:t>
      </w:r>
    </w:p>
    <w:p w14:paraId="4A837BF4" w14:textId="77777777" w:rsidR="003B4B10" w:rsidRPr="003B4B10" w:rsidRDefault="003B4B10" w:rsidP="003B4B10">
      <w:pPr>
        <w:pStyle w:val="Bibliography"/>
        <w:rPr>
          <w:rFonts w:cs="Arial"/>
        </w:rPr>
      </w:pPr>
      <w:r w:rsidRPr="003B4B10">
        <w:rPr>
          <w:rFonts w:cs="Arial"/>
        </w:rPr>
        <w:t xml:space="preserve">23. </w:t>
      </w:r>
      <w:r w:rsidRPr="003B4B10">
        <w:rPr>
          <w:rFonts w:cs="Arial"/>
        </w:rPr>
        <w:tab/>
        <w:t xml:space="preserve">Meeker D, Linder JA, Fox CR, et al. Effect of Behavioral Interventions on Inappropriate Antibiotic Prescribing Among Primary Care Practices: A Randomized Clinical Trial. </w:t>
      </w:r>
      <w:r w:rsidRPr="003B4B10">
        <w:rPr>
          <w:rFonts w:cs="Arial"/>
          <w:i/>
          <w:iCs/>
        </w:rPr>
        <w:t>JAMA</w:t>
      </w:r>
      <w:r w:rsidRPr="003B4B10">
        <w:rPr>
          <w:rFonts w:cs="Arial"/>
        </w:rPr>
        <w:t>. 2016;315(6):562-570. doi:10.1001/jama.2016.0275</w:t>
      </w:r>
    </w:p>
    <w:p w14:paraId="313709F9" w14:textId="77777777" w:rsidR="003B4B10" w:rsidRPr="003B4B10" w:rsidRDefault="003B4B10" w:rsidP="003B4B10">
      <w:pPr>
        <w:pStyle w:val="Bibliography"/>
        <w:rPr>
          <w:rFonts w:cs="Arial"/>
        </w:rPr>
      </w:pPr>
      <w:r w:rsidRPr="003B4B10">
        <w:rPr>
          <w:rFonts w:cs="Arial"/>
        </w:rPr>
        <w:lastRenderedPageBreak/>
        <w:t xml:space="preserve">24. </w:t>
      </w:r>
      <w:r w:rsidRPr="003B4B10">
        <w:rPr>
          <w:rFonts w:cs="Arial"/>
        </w:rPr>
        <w:tab/>
        <w:t xml:space="preserve">Patel MS, Day SC, Halpern SD, et al. Generic Medication Prescription Rates After Health System-Wide Redesign of Default Options Within the Electronic Health Record. </w:t>
      </w:r>
      <w:r w:rsidRPr="003B4B10">
        <w:rPr>
          <w:rFonts w:cs="Arial"/>
          <w:i/>
          <w:iCs/>
        </w:rPr>
        <w:t>JAMA Intern Med</w:t>
      </w:r>
      <w:r w:rsidRPr="003B4B10">
        <w:rPr>
          <w:rFonts w:cs="Arial"/>
        </w:rPr>
        <w:t>. 2016;176(6):847-848. doi:10.1001/jamainternmed.2016.1691</w:t>
      </w:r>
    </w:p>
    <w:p w14:paraId="27865021" w14:textId="77777777" w:rsidR="003B4B10" w:rsidRPr="003B4B10" w:rsidRDefault="003B4B10" w:rsidP="003B4B10">
      <w:pPr>
        <w:pStyle w:val="Bibliography"/>
        <w:rPr>
          <w:rFonts w:cs="Arial"/>
        </w:rPr>
      </w:pPr>
      <w:r w:rsidRPr="003B4B10">
        <w:rPr>
          <w:rFonts w:cs="Arial"/>
        </w:rPr>
        <w:t xml:space="preserve">25. </w:t>
      </w:r>
      <w:r w:rsidRPr="003B4B10">
        <w:rPr>
          <w:rFonts w:cs="Arial"/>
        </w:rPr>
        <w:tab/>
        <w:t xml:space="preserve">Patel MS, Volpp KG, Asch DA. Nudge Units to Improve the Delivery of Health Care. </w:t>
      </w:r>
      <w:r w:rsidRPr="003B4B10">
        <w:rPr>
          <w:rFonts w:cs="Arial"/>
          <w:i/>
          <w:iCs/>
        </w:rPr>
        <w:t>N Engl J Med</w:t>
      </w:r>
      <w:r w:rsidRPr="003B4B10">
        <w:rPr>
          <w:rFonts w:cs="Arial"/>
        </w:rPr>
        <w:t>. 2018;378(3):214-216. doi:10.1056/NEJMp1712984</w:t>
      </w:r>
    </w:p>
    <w:p w14:paraId="66BCBE14" w14:textId="77777777" w:rsidR="003B4B10" w:rsidRPr="003B4B10" w:rsidRDefault="003B4B10" w:rsidP="003B4B10">
      <w:pPr>
        <w:pStyle w:val="Bibliography"/>
        <w:rPr>
          <w:rFonts w:cs="Arial"/>
        </w:rPr>
      </w:pPr>
      <w:r w:rsidRPr="003B4B10">
        <w:rPr>
          <w:rFonts w:cs="Arial"/>
        </w:rPr>
        <w:t xml:space="preserve">26. </w:t>
      </w:r>
      <w:r w:rsidRPr="003B4B10">
        <w:rPr>
          <w:rFonts w:cs="Arial"/>
        </w:rPr>
        <w:tab/>
        <w:t xml:space="preserve">Manz C, Parikh RB, Evans CN, et al. Effect of integrating machine learning mortality estimates with behavioral nudges to increase serious illness conversions among patients with cancer: A stepped-wedge cluster randomized trial. </w:t>
      </w:r>
      <w:r w:rsidRPr="003B4B10">
        <w:rPr>
          <w:rFonts w:cs="Arial"/>
          <w:i/>
          <w:iCs/>
        </w:rPr>
        <w:t>J Clin Oncol</w:t>
      </w:r>
      <w:r w:rsidRPr="003B4B10">
        <w:rPr>
          <w:rFonts w:cs="Arial"/>
        </w:rPr>
        <w:t>. 2020;38(15_suppl):12002-12002. doi:10.1200/JCO.2020.38.15_suppl.12002</w:t>
      </w:r>
    </w:p>
    <w:p w14:paraId="71D4F907" w14:textId="77777777" w:rsidR="003B4B10" w:rsidRPr="003B4B10" w:rsidRDefault="003B4B10" w:rsidP="003B4B10">
      <w:pPr>
        <w:pStyle w:val="Bibliography"/>
        <w:rPr>
          <w:rFonts w:cs="Arial"/>
        </w:rPr>
      </w:pPr>
      <w:r w:rsidRPr="003B4B10">
        <w:rPr>
          <w:rFonts w:cs="Arial"/>
        </w:rPr>
        <w:t xml:space="preserve">27. </w:t>
      </w:r>
      <w:r w:rsidRPr="003B4B10">
        <w:rPr>
          <w:rFonts w:cs="Arial"/>
        </w:rPr>
        <w:tab/>
        <w:t xml:space="preserve">Chandar M, Brockstein B, Zunamon A, et al. Perspectives of Health-Care Providers Toward Advance Care Planning in Patients With Advanced Cancer and Congestive Heart Failure. </w:t>
      </w:r>
      <w:r w:rsidRPr="003B4B10">
        <w:rPr>
          <w:rFonts w:cs="Arial"/>
          <w:i/>
          <w:iCs/>
        </w:rPr>
        <w:t>Am J Hosp Palliat Care</w:t>
      </w:r>
      <w:r w:rsidRPr="003B4B10">
        <w:rPr>
          <w:rFonts w:cs="Arial"/>
        </w:rPr>
        <w:t>. 2017;34(5):423-429. doi:10.1177/1049909116636614</w:t>
      </w:r>
    </w:p>
    <w:p w14:paraId="126273BD" w14:textId="77777777" w:rsidR="003B4B10" w:rsidRPr="003B4B10" w:rsidRDefault="003B4B10" w:rsidP="003B4B10">
      <w:pPr>
        <w:pStyle w:val="Bibliography"/>
        <w:rPr>
          <w:rFonts w:cs="Arial"/>
        </w:rPr>
      </w:pPr>
      <w:r w:rsidRPr="003B4B10">
        <w:rPr>
          <w:rFonts w:cs="Arial"/>
        </w:rPr>
        <w:t xml:space="preserve">28. </w:t>
      </w:r>
      <w:r w:rsidRPr="003B4B10">
        <w:rPr>
          <w:rFonts w:cs="Arial"/>
        </w:rPr>
        <w:tab/>
        <w:t xml:space="preserve">Christakis NA, Lamont EB. Extent and determinants of error in doctors’ prognoses in terminally ill patients: prospective cohort study. </w:t>
      </w:r>
      <w:r w:rsidRPr="003B4B10">
        <w:rPr>
          <w:rFonts w:cs="Arial"/>
          <w:i/>
          <w:iCs/>
        </w:rPr>
        <w:t>BMJ</w:t>
      </w:r>
      <w:r w:rsidRPr="003B4B10">
        <w:rPr>
          <w:rFonts w:cs="Arial"/>
        </w:rPr>
        <w:t>. 2000;320(7233):469-472. doi:10.1136/bmj.320.7233.469</w:t>
      </w:r>
    </w:p>
    <w:p w14:paraId="65FEC63E" w14:textId="77777777" w:rsidR="003B4B10" w:rsidRPr="003B4B10" w:rsidRDefault="003B4B10" w:rsidP="003B4B10">
      <w:pPr>
        <w:pStyle w:val="Bibliography"/>
        <w:rPr>
          <w:rFonts w:cs="Arial"/>
        </w:rPr>
      </w:pPr>
      <w:r w:rsidRPr="003B4B10">
        <w:rPr>
          <w:rFonts w:cs="Arial"/>
        </w:rPr>
        <w:t xml:space="preserve">29. </w:t>
      </w:r>
      <w:r w:rsidRPr="003B4B10">
        <w:rPr>
          <w:rFonts w:cs="Arial"/>
        </w:rPr>
        <w:tab/>
        <w:t xml:space="preserve">Sborov K, Giaretta S, Koong A, et al. Impact of Accuracy of Survival Predictions on Quality of End-of-Life Care Among Patients With Metastatic Cancer Who Receive Radiation Therapy. </w:t>
      </w:r>
      <w:r w:rsidRPr="003B4B10">
        <w:rPr>
          <w:rFonts w:cs="Arial"/>
          <w:i/>
          <w:iCs/>
        </w:rPr>
        <w:t>J Oncol Pract</w:t>
      </w:r>
      <w:r w:rsidRPr="003B4B10">
        <w:rPr>
          <w:rFonts w:cs="Arial"/>
        </w:rPr>
        <w:t>. 2019;15(3):e262-e270. doi:10.1200/JOP.18.00516</w:t>
      </w:r>
    </w:p>
    <w:p w14:paraId="7A081548" w14:textId="77777777" w:rsidR="003B4B10" w:rsidRPr="003B4B10" w:rsidRDefault="003B4B10" w:rsidP="003B4B10">
      <w:pPr>
        <w:pStyle w:val="Bibliography"/>
        <w:rPr>
          <w:rFonts w:cs="Arial"/>
        </w:rPr>
      </w:pPr>
      <w:r w:rsidRPr="003B4B10">
        <w:rPr>
          <w:rFonts w:cs="Arial"/>
        </w:rPr>
        <w:t xml:space="preserve">30. </w:t>
      </w:r>
      <w:r w:rsidRPr="003B4B10">
        <w:rPr>
          <w:rFonts w:cs="Arial"/>
        </w:rPr>
        <w:tab/>
        <w:t xml:space="preserve">Kiefe CI, Allison JJ, Williams OD, Person SD, Weaver MT, Weissman NW. Improving quality improvement using achievable benchmarks for physician feedback: a randomized controlled trial. </w:t>
      </w:r>
      <w:r w:rsidRPr="003B4B10">
        <w:rPr>
          <w:rFonts w:cs="Arial"/>
          <w:i/>
          <w:iCs/>
        </w:rPr>
        <w:t>JAMA</w:t>
      </w:r>
      <w:r w:rsidRPr="003B4B10">
        <w:rPr>
          <w:rFonts w:cs="Arial"/>
        </w:rPr>
        <w:t>. 2001;285(22):2871-2879. doi:10.1001/jama.285.22.2871</w:t>
      </w:r>
    </w:p>
    <w:p w14:paraId="2325666A" w14:textId="77777777" w:rsidR="003B4B10" w:rsidRPr="003B4B10" w:rsidRDefault="003B4B10" w:rsidP="003B4B10">
      <w:pPr>
        <w:pStyle w:val="Bibliography"/>
        <w:rPr>
          <w:rFonts w:cs="Arial"/>
        </w:rPr>
      </w:pPr>
      <w:r w:rsidRPr="003B4B10">
        <w:rPr>
          <w:rFonts w:cs="Arial"/>
        </w:rPr>
        <w:t xml:space="preserve">31. </w:t>
      </w:r>
      <w:r w:rsidRPr="003B4B10">
        <w:rPr>
          <w:rFonts w:cs="Arial"/>
        </w:rPr>
        <w:tab/>
        <w:t xml:space="preserve">Linder JA, Meeker D, Fox CR, et al. Effects of Behavioral Interventions on Inappropriate Antibiotic Prescribing in Primary Care 12 Months After Stopping Interventions. </w:t>
      </w:r>
      <w:r w:rsidRPr="003B4B10">
        <w:rPr>
          <w:rFonts w:cs="Arial"/>
          <w:i/>
          <w:iCs/>
        </w:rPr>
        <w:t>JAMA</w:t>
      </w:r>
      <w:r w:rsidRPr="003B4B10">
        <w:rPr>
          <w:rFonts w:cs="Arial"/>
        </w:rPr>
        <w:t>. 2017;318(14):1391-1392. doi:10.1001/jama.2017.11152</w:t>
      </w:r>
    </w:p>
    <w:p w14:paraId="6CD6C2B4" w14:textId="77777777" w:rsidR="003B4B10" w:rsidRPr="003B4B10" w:rsidRDefault="003B4B10" w:rsidP="003B4B10">
      <w:pPr>
        <w:pStyle w:val="Bibliography"/>
        <w:rPr>
          <w:rFonts w:cs="Arial"/>
        </w:rPr>
      </w:pPr>
      <w:r w:rsidRPr="003B4B10">
        <w:rPr>
          <w:rFonts w:cs="Arial"/>
        </w:rPr>
        <w:t xml:space="preserve">32. </w:t>
      </w:r>
      <w:r w:rsidRPr="003B4B10">
        <w:rPr>
          <w:rFonts w:cs="Arial"/>
        </w:rPr>
        <w:tab/>
        <w:t xml:space="preserve">Cohn A, Maréchal MA. </w:t>
      </w:r>
      <w:r w:rsidRPr="003B4B10">
        <w:rPr>
          <w:rFonts w:cs="Arial"/>
          <w:i/>
          <w:iCs/>
        </w:rPr>
        <w:t>Priming in Economics</w:t>
      </w:r>
      <w:r w:rsidRPr="003B4B10">
        <w:rPr>
          <w:rFonts w:cs="Arial"/>
        </w:rPr>
        <w:t>. Social Science Research Network; 2016. doi:10.2139/ssrn.2775289</w:t>
      </w:r>
    </w:p>
    <w:p w14:paraId="05F85733" w14:textId="77777777" w:rsidR="003B4B10" w:rsidRPr="003B4B10" w:rsidRDefault="003B4B10" w:rsidP="003B4B10">
      <w:pPr>
        <w:pStyle w:val="Bibliography"/>
        <w:rPr>
          <w:rFonts w:cs="Arial"/>
        </w:rPr>
      </w:pPr>
      <w:r w:rsidRPr="003B4B10">
        <w:rPr>
          <w:rFonts w:cs="Arial"/>
        </w:rPr>
        <w:t xml:space="preserve">33. </w:t>
      </w:r>
      <w:r w:rsidRPr="003B4B10">
        <w:rPr>
          <w:rFonts w:cs="Arial"/>
        </w:rPr>
        <w:tab/>
        <w:t xml:space="preserve">Parikh RB, Manz C, Chivers C, et al. Machine Learning Approaches to Predict 6-Month Mortality Among Patients With Cancer. </w:t>
      </w:r>
      <w:r w:rsidRPr="003B4B10">
        <w:rPr>
          <w:rFonts w:cs="Arial"/>
          <w:i/>
          <w:iCs/>
        </w:rPr>
        <w:t>JAMA Netw Open</w:t>
      </w:r>
      <w:r w:rsidRPr="003B4B10">
        <w:rPr>
          <w:rFonts w:cs="Arial"/>
        </w:rPr>
        <w:t>. 2019;2(10):e1915997. doi:10.1001/jamanetworkopen.2019.15997</w:t>
      </w:r>
    </w:p>
    <w:p w14:paraId="2335F0E8" w14:textId="77777777" w:rsidR="003B4B10" w:rsidRPr="003B4B10" w:rsidRDefault="003B4B10" w:rsidP="003B4B10">
      <w:pPr>
        <w:pStyle w:val="Bibliography"/>
        <w:rPr>
          <w:rFonts w:cs="Arial"/>
        </w:rPr>
      </w:pPr>
      <w:r w:rsidRPr="003B4B10">
        <w:rPr>
          <w:rFonts w:cs="Arial"/>
        </w:rPr>
        <w:t xml:space="preserve">34. </w:t>
      </w:r>
      <w:r w:rsidRPr="003B4B10">
        <w:rPr>
          <w:rFonts w:cs="Arial"/>
        </w:rPr>
        <w:tab/>
        <w:t xml:space="preserve">Manz CR, Chen J, Liu M, et al. Validation of a Machine Learning Algorithm to Predict 180-Day Mortality for Outpatients With Cancer. </w:t>
      </w:r>
      <w:r w:rsidRPr="003B4B10">
        <w:rPr>
          <w:rFonts w:cs="Arial"/>
          <w:i/>
          <w:iCs/>
        </w:rPr>
        <w:t>JAMA Oncol</w:t>
      </w:r>
      <w:r w:rsidRPr="003B4B10">
        <w:rPr>
          <w:rFonts w:cs="Arial"/>
        </w:rPr>
        <w:t>. 2020;6(11):1723. doi:10.1001/jamaoncol.2020.4331</w:t>
      </w:r>
    </w:p>
    <w:p w14:paraId="469E3202" w14:textId="1541578E" w:rsidR="00E05B7A" w:rsidRDefault="00E05B7A" w:rsidP="007D1843">
      <w:pPr>
        <w:rPr>
          <w:rFonts w:cs="Arial"/>
          <w:b/>
          <w:szCs w:val="22"/>
        </w:rPr>
      </w:pPr>
      <w:r>
        <w:rPr>
          <w:rFonts w:cs="Arial"/>
          <w:b/>
          <w:szCs w:val="22"/>
        </w:rPr>
        <w:fldChar w:fldCharType="end"/>
      </w:r>
    </w:p>
    <w:p w14:paraId="70F5D713" w14:textId="53C82589" w:rsidR="001726E1" w:rsidRDefault="001726E1" w:rsidP="00FF3C92">
      <w:pPr>
        <w:rPr>
          <w:rFonts w:cs="Arial"/>
          <w:b/>
          <w:szCs w:val="22"/>
        </w:rPr>
      </w:pPr>
      <w:r>
        <w:rPr>
          <w:rFonts w:cs="Arial"/>
          <w:b/>
          <w:szCs w:val="22"/>
        </w:rPr>
        <w:t>APPENDICES</w:t>
      </w:r>
    </w:p>
    <w:p w14:paraId="4054DEAC" w14:textId="040AFE91" w:rsidR="001726E1" w:rsidRDefault="001726E1" w:rsidP="00FF3C92">
      <w:pPr>
        <w:rPr>
          <w:rFonts w:cs="Arial"/>
          <w:b/>
          <w:szCs w:val="22"/>
        </w:rPr>
      </w:pPr>
    </w:p>
    <w:p w14:paraId="5C5B5881" w14:textId="4C40993E" w:rsidR="001726E1" w:rsidRDefault="001726E1" w:rsidP="001726E1">
      <w:pPr>
        <w:pStyle w:val="ListParagraph"/>
        <w:numPr>
          <w:ilvl w:val="0"/>
          <w:numId w:val="40"/>
        </w:numPr>
        <w:ind w:left="360"/>
        <w:rPr>
          <w:rFonts w:cs="Arial"/>
          <w:b/>
          <w:i/>
          <w:szCs w:val="22"/>
        </w:rPr>
      </w:pPr>
      <w:r>
        <w:rPr>
          <w:rFonts w:cs="Arial"/>
          <w:b/>
          <w:i/>
          <w:szCs w:val="22"/>
        </w:rPr>
        <w:t>Sample Provider Nudge</w:t>
      </w:r>
    </w:p>
    <w:p w14:paraId="6543C4F9" w14:textId="04ED0A46" w:rsidR="001726E1" w:rsidRDefault="001726E1" w:rsidP="001726E1">
      <w:pPr>
        <w:ind w:left="360"/>
        <w:rPr>
          <w:rFonts w:cs="Arial"/>
          <w:b/>
          <w:i/>
          <w:szCs w:val="22"/>
        </w:rPr>
      </w:pPr>
    </w:p>
    <w:p w14:paraId="165CF1B7" w14:textId="4D05F2CE" w:rsidR="00E56542" w:rsidRDefault="00E56542" w:rsidP="00E56542">
      <w:pPr>
        <w:rPr>
          <w:rFonts w:cs="Arial"/>
          <w:i/>
          <w:szCs w:val="22"/>
        </w:rPr>
      </w:pPr>
      <w:r>
        <w:rPr>
          <w:rFonts w:cs="Arial"/>
          <w:i/>
          <w:szCs w:val="22"/>
        </w:rPr>
        <w:t xml:space="preserve">Sample timeline of </w:t>
      </w:r>
      <w:r w:rsidR="00D5049A">
        <w:rPr>
          <w:rFonts w:cs="Arial"/>
          <w:i/>
          <w:szCs w:val="22"/>
        </w:rPr>
        <w:t>provider</w:t>
      </w:r>
      <w:r>
        <w:rPr>
          <w:rFonts w:cs="Arial"/>
          <w:i/>
          <w:szCs w:val="22"/>
        </w:rPr>
        <w:t xml:space="preserve"> nudge deployment</w:t>
      </w:r>
    </w:p>
    <w:p w14:paraId="1EA945E1" w14:textId="77777777" w:rsidR="00D5049A" w:rsidRDefault="00D5049A" w:rsidP="00E56542">
      <w:pPr>
        <w:rPr>
          <w:rFonts w:cs="Arial"/>
          <w:szCs w:val="22"/>
        </w:rPr>
      </w:pPr>
    </w:p>
    <w:p w14:paraId="17733846" w14:textId="29EEEB63" w:rsidR="00D5049A" w:rsidRPr="00D5049A" w:rsidRDefault="00D5049A" w:rsidP="00D5049A">
      <w:pPr>
        <w:ind w:firstLine="360"/>
        <w:rPr>
          <w:rFonts w:cs="Arial"/>
          <w:szCs w:val="22"/>
        </w:rPr>
      </w:pPr>
      <w:r>
        <w:rPr>
          <w:rFonts w:cs="Arial"/>
          <w:szCs w:val="22"/>
        </w:rPr>
        <w:t>Week 1</w:t>
      </w:r>
    </w:p>
    <w:p w14:paraId="2983FEE6" w14:textId="77777777" w:rsidR="00C121BF" w:rsidRDefault="00E56542" w:rsidP="00E56542">
      <w:pPr>
        <w:pStyle w:val="ListParagraph"/>
        <w:numPr>
          <w:ilvl w:val="0"/>
          <w:numId w:val="41"/>
        </w:numPr>
        <w:rPr>
          <w:rFonts w:cs="Arial"/>
          <w:szCs w:val="22"/>
        </w:rPr>
      </w:pPr>
      <w:r w:rsidRPr="00E56542">
        <w:rPr>
          <w:rFonts w:cs="Arial"/>
          <w:szCs w:val="22"/>
        </w:rPr>
        <w:t xml:space="preserve">Thursday: </w:t>
      </w:r>
    </w:p>
    <w:p w14:paraId="06B1C0AB" w14:textId="48945FA8" w:rsidR="00E56542" w:rsidRDefault="00E56542" w:rsidP="00F54398">
      <w:pPr>
        <w:pStyle w:val="ListParagraph"/>
        <w:numPr>
          <w:ilvl w:val="1"/>
          <w:numId w:val="41"/>
        </w:numPr>
        <w:rPr>
          <w:rFonts w:cs="Arial"/>
          <w:szCs w:val="22"/>
        </w:rPr>
      </w:pPr>
      <w:r w:rsidRPr="00E56542">
        <w:rPr>
          <w:rFonts w:cs="Arial"/>
          <w:szCs w:val="22"/>
        </w:rPr>
        <w:t>Eligible patients identified via machine learning algorithm</w:t>
      </w:r>
    </w:p>
    <w:p w14:paraId="7F268B24" w14:textId="1229E407" w:rsidR="00C121BF" w:rsidRDefault="00C121BF" w:rsidP="00F54398">
      <w:pPr>
        <w:pStyle w:val="ListParagraph"/>
        <w:numPr>
          <w:ilvl w:val="1"/>
          <w:numId w:val="41"/>
        </w:numPr>
        <w:rPr>
          <w:rFonts w:cs="Arial"/>
          <w:szCs w:val="22"/>
        </w:rPr>
      </w:pPr>
      <w:r>
        <w:rPr>
          <w:rFonts w:cs="Arial"/>
          <w:szCs w:val="22"/>
        </w:rPr>
        <w:t xml:space="preserve">Provider-level randomization; </w:t>
      </w:r>
      <w:r w:rsidRPr="00E56542">
        <w:rPr>
          <w:rFonts w:cs="Arial"/>
          <w:szCs w:val="22"/>
        </w:rPr>
        <w:t xml:space="preserve">Provider </w:t>
      </w:r>
      <w:r>
        <w:rPr>
          <w:rFonts w:cs="Arial"/>
          <w:szCs w:val="22"/>
        </w:rPr>
        <w:t>email</w:t>
      </w:r>
      <w:r w:rsidRPr="00E56542">
        <w:rPr>
          <w:rFonts w:cs="Arial"/>
          <w:szCs w:val="22"/>
        </w:rPr>
        <w:t xml:space="preserve"> delivered</w:t>
      </w:r>
    </w:p>
    <w:p w14:paraId="6228037B" w14:textId="365C556A" w:rsidR="00E56542" w:rsidRPr="00D5049A" w:rsidRDefault="00D5049A" w:rsidP="00D5049A">
      <w:pPr>
        <w:ind w:firstLine="360"/>
        <w:rPr>
          <w:rFonts w:cs="Arial"/>
          <w:szCs w:val="22"/>
        </w:rPr>
      </w:pPr>
      <w:r>
        <w:rPr>
          <w:rFonts w:cs="Arial"/>
          <w:szCs w:val="22"/>
        </w:rPr>
        <w:lastRenderedPageBreak/>
        <w:t>Week 2</w:t>
      </w:r>
      <w:r w:rsidR="00E56542" w:rsidRPr="00D5049A">
        <w:rPr>
          <w:rFonts w:cs="Arial"/>
          <w:szCs w:val="22"/>
        </w:rPr>
        <w:t xml:space="preserve"> </w:t>
      </w:r>
    </w:p>
    <w:p w14:paraId="341A69B7" w14:textId="20B751CA" w:rsidR="00E56542" w:rsidRPr="00E56542" w:rsidRDefault="00E56542">
      <w:pPr>
        <w:pStyle w:val="ListParagraph"/>
        <w:numPr>
          <w:ilvl w:val="0"/>
          <w:numId w:val="41"/>
        </w:numPr>
        <w:rPr>
          <w:rFonts w:cs="Arial"/>
          <w:szCs w:val="22"/>
        </w:rPr>
      </w:pPr>
      <w:r>
        <w:rPr>
          <w:rFonts w:cs="Arial"/>
          <w:szCs w:val="22"/>
        </w:rPr>
        <w:t xml:space="preserve">Monday-Friday: Provider text delivered </w:t>
      </w:r>
      <w:r w:rsidR="00C11B1A">
        <w:rPr>
          <w:rFonts w:cs="Arial"/>
          <w:szCs w:val="22"/>
        </w:rPr>
        <w:t>morning</w:t>
      </w:r>
      <w:r>
        <w:rPr>
          <w:rFonts w:cs="Arial"/>
          <w:szCs w:val="22"/>
        </w:rPr>
        <w:t xml:space="preserve"> of index repeat patient visit (RPV)</w:t>
      </w:r>
    </w:p>
    <w:p w14:paraId="726373A7" w14:textId="77777777" w:rsidR="00304048" w:rsidRDefault="00304048" w:rsidP="00E56542">
      <w:pPr>
        <w:rPr>
          <w:rFonts w:cs="Arial"/>
          <w:i/>
          <w:szCs w:val="22"/>
        </w:rPr>
      </w:pPr>
    </w:p>
    <w:p w14:paraId="0F807F27" w14:textId="4C9F5894" w:rsidR="00E56542" w:rsidRDefault="00D5049A" w:rsidP="00E56542">
      <w:pPr>
        <w:rPr>
          <w:rFonts w:cs="Arial"/>
          <w:i/>
          <w:szCs w:val="22"/>
        </w:rPr>
      </w:pPr>
      <w:r>
        <w:rPr>
          <w:rFonts w:cs="Arial"/>
          <w:i/>
          <w:szCs w:val="22"/>
        </w:rPr>
        <w:t>Sample provider email content</w:t>
      </w:r>
    </w:p>
    <w:p w14:paraId="7960D118" w14:textId="11C7F509" w:rsidR="00F54398" w:rsidRDefault="00F9784F" w:rsidP="00E56542">
      <w:pPr>
        <w:rPr>
          <w:rFonts w:cs="Arial"/>
          <w:szCs w:val="22"/>
        </w:rPr>
      </w:pPr>
      <w:r>
        <w:rPr>
          <w:rFonts w:cs="Arial"/>
          <w:szCs w:val="22"/>
        </w:rPr>
        <w:t xml:space="preserve">Arms </w:t>
      </w:r>
      <w:r w:rsidR="00F54398">
        <w:rPr>
          <w:rFonts w:cs="Arial"/>
          <w:szCs w:val="22"/>
        </w:rPr>
        <w:t>3</w:t>
      </w:r>
      <w:r>
        <w:rPr>
          <w:rFonts w:cs="Arial"/>
          <w:szCs w:val="22"/>
        </w:rPr>
        <w:t xml:space="preserve"> (Patient Nudge Only) &amp; 4 (Active Control)</w:t>
      </w:r>
      <w:r w:rsidR="00F54398">
        <w:rPr>
          <w:rFonts w:cs="Arial"/>
          <w:szCs w:val="22"/>
        </w:rPr>
        <w:t>:</w:t>
      </w:r>
    </w:p>
    <w:p w14:paraId="11DBD915" w14:textId="77777777" w:rsidR="00F54398" w:rsidRDefault="00F54398" w:rsidP="00E56542">
      <w:pPr>
        <w:rPr>
          <w:rFonts w:cs="Arial"/>
          <w:szCs w:val="22"/>
        </w:rPr>
      </w:pPr>
    </w:p>
    <w:p w14:paraId="24E6FFD6" w14:textId="78E950B9" w:rsidR="00B70422" w:rsidRPr="00E56542" w:rsidRDefault="00E56542" w:rsidP="00E56542">
      <w:pPr>
        <w:rPr>
          <w:rFonts w:cs="Arial"/>
          <w:szCs w:val="22"/>
        </w:rPr>
      </w:pPr>
      <w:r w:rsidRPr="00E56542">
        <w:rPr>
          <w:rFonts w:cs="Arial"/>
          <w:szCs w:val="22"/>
        </w:rPr>
        <w:t xml:space="preserve">Dear </w:t>
      </w:r>
      <w:r>
        <w:rPr>
          <w:rFonts w:cs="Arial"/>
          <w:szCs w:val="22"/>
        </w:rPr>
        <w:t>XXX</w:t>
      </w:r>
      <w:r w:rsidRPr="00E56542">
        <w:rPr>
          <w:rFonts w:cs="Arial"/>
          <w:szCs w:val="22"/>
        </w:rPr>
        <w:t>:</w:t>
      </w:r>
    </w:p>
    <w:p w14:paraId="1464B4D6" w14:textId="07B5D58B" w:rsidR="00E56542" w:rsidRPr="00E56542" w:rsidRDefault="00185FE1" w:rsidP="00E56542">
      <w:pPr>
        <w:rPr>
          <w:rFonts w:cs="Arial"/>
          <w:szCs w:val="22"/>
        </w:rPr>
      </w:pPr>
      <w:r>
        <w:rPr>
          <w:rFonts w:ascii="Times New Roman" w:eastAsia="Times New Roman" w:hAnsi="Times New Roman"/>
          <w:noProof/>
          <w:color w:val="0000FF"/>
          <w:sz w:val="24"/>
          <w:szCs w:val="24"/>
        </w:rPr>
        <mc:AlternateContent>
          <mc:Choice Requires="wps">
            <w:drawing>
              <wp:anchor distT="0" distB="0" distL="114300" distR="114300" simplePos="0" relativeHeight="251666432" behindDoc="0" locked="0" layoutInCell="1" allowOverlap="1" wp14:anchorId="4609289A" wp14:editId="1F78FB43">
                <wp:simplePos x="0" y="0"/>
                <wp:positionH relativeFrom="column">
                  <wp:posOffset>228028</wp:posOffset>
                </wp:positionH>
                <wp:positionV relativeFrom="paragraph">
                  <wp:posOffset>38735</wp:posOffset>
                </wp:positionV>
                <wp:extent cx="389187" cy="86905"/>
                <wp:effectExtent l="0" t="0" r="11430" b="27940"/>
                <wp:wrapNone/>
                <wp:docPr id="1" name="Rectangle 1"/>
                <wp:cNvGraphicFramePr/>
                <a:graphic xmlns:a="http://schemas.openxmlformats.org/drawingml/2006/main">
                  <a:graphicData uri="http://schemas.microsoft.com/office/word/2010/wordprocessingShape">
                    <wps:wsp>
                      <wps:cNvSpPr/>
                      <wps:spPr>
                        <a:xfrm>
                          <a:off x="0" y="0"/>
                          <a:ext cx="389187" cy="8690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5413BA1" id="Rectangle 1" o:spid="_x0000_s1026" style="position:absolute;margin-left:17.95pt;margin-top:3.05pt;width:30.65pt;height:6.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" fillcolor="white [3212]" strokecolor="white [3212]" strokeweight="1pt"/>
            </w:pict>
          </mc:Fallback>
        </mc:AlternateContent>
      </w:r>
    </w:p>
    <w:p w14:paraId="767A3607" w14:textId="1929CD5E" w:rsidR="00E56542" w:rsidRPr="00E56542" w:rsidRDefault="00E56542" w:rsidP="00E56542">
      <w:pPr>
        <w:rPr>
          <w:rFonts w:cs="Arial"/>
          <w:szCs w:val="22"/>
        </w:rPr>
      </w:pPr>
      <w:r w:rsidRPr="00E56542">
        <w:rPr>
          <w:rFonts w:cs="Arial"/>
          <w:szCs w:val="22"/>
        </w:rPr>
        <w:t xml:space="preserve">The ACC is working to help oncologists have earlier Serious Illness Conversations with patients. </w:t>
      </w:r>
    </w:p>
    <w:p w14:paraId="4977A4E7" w14:textId="2B40245B" w:rsidR="00E56542" w:rsidRPr="00E56542" w:rsidRDefault="00E56542" w:rsidP="00E56542">
      <w:pPr>
        <w:rPr>
          <w:rFonts w:cs="Arial"/>
          <w:szCs w:val="22"/>
        </w:rPr>
      </w:pPr>
    </w:p>
    <w:p w14:paraId="1D46678C" w14:textId="6458887C" w:rsidR="00B70422" w:rsidRDefault="00B70422" w:rsidP="00B70422">
      <w:pPr>
        <w:rPr>
          <w:rFonts w:cs="Arial"/>
          <w:szCs w:val="22"/>
        </w:rPr>
      </w:pPr>
      <w:r w:rsidRPr="00B70422">
        <w:rPr>
          <w:rFonts w:cs="Arial"/>
          <w:szCs w:val="22"/>
        </w:rPr>
        <w:t>In the past four weeks, you have documented 3 conversations.</w:t>
      </w:r>
    </w:p>
    <w:p w14:paraId="1F314483" w14:textId="77777777" w:rsidR="00B70422" w:rsidRPr="00B70422" w:rsidRDefault="00B70422" w:rsidP="00B70422">
      <w:pPr>
        <w:rPr>
          <w:rFonts w:cs="Arial"/>
          <w:szCs w:val="22"/>
        </w:rPr>
      </w:pPr>
    </w:p>
    <w:p w14:paraId="30FF374F" w14:textId="77777777" w:rsidR="00B70422" w:rsidRPr="00B70422" w:rsidRDefault="00B70422" w:rsidP="00B70422">
      <w:pPr>
        <w:rPr>
          <w:rFonts w:cs="Arial"/>
          <w:szCs w:val="22"/>
        </w:rPr>
      </w:pPr>
      <w:r w:rsidRPr="00B70422">
        <w:rPr>
          <w:rFonts w:cs="Arial"/>
          <w:szCs w:val="22"/>
        </w:rPr>
        <w:t xml:space="preserve">We have identified patients scheduled to see you next week who may benefit from a Serious Illness Conversation. </w:t>
      </w:r>
      <w:r w:rsidRPr="00F54398">
        <w:rPr>
          <w:rFonts w:cs="Arial"/>
          <w:szCs w:val="22"/>
        </w:rPr>
        <w:t>Click here</w:t>
      </w:r>
      <w:r w:rsidRPr="00B70422">
        <w:rPr>
          <w:rFonts w:cs="Arial"/>
          <w:szCs w:val="22"/>
        </w:rPr>
        <w:t xml:space="preserve"> to view your list (you must be connected to the UPHS network).</w:t>
      </w:r>
    </w:p>
    <w:p w14:paraId="221D0277" w14:textId="77777777" w:rsidR="00B70422" w:rsidRDefault="00B70422" w:rsidP="00B70422">
      <w:pPr>
        <w:rPr>
          <w:rFonts w:cs="Arial"/>
          <w:szCs w:val="22"/>
        </w:rPr>
      </w:pPr>
    </w:p>
    <w:p w14:paraId="49F9962F" w14:textId="7BCA7CA7" w:rsidR="00B70422" w:rsidRPr="00B70422" w:rsidRDefault="00B70422" w:rsidP="00B70422">
      <w:pPr>
        <w:rPr>
          <w:rFonts w:cs="Arial"/>
          <w:szCs w:val="22"/>
        </w:rPr>
      </w:pPr>
      <w:r w:rsidRPr="00B70422">
        <w:rPr>
          <w:rFonts w:cs="Arial"/>
          <w:szCs w:val="22"/>
        </w:rPr>
        <w:t>Sincerely,</w:t>
      </w:r>
    </w:p>
    <w:p w14:paraId="070363AB" w14:textId="77777777" w:rsidR="00B70422" w:rsidRPr="00B70422" w:rsidRDefault="00B70422" w:rsidP="00B70422">
      <w:pPr>
        <w:rPr>
          <w:rFonts w:cs="Arial"/>
          <w:szCs w:val="22"/>
        </w:rPr>
      </w:pPr>
    </w:p>
    <w:p w14:paraId="1149B150" w14:textId="77777777" w:rsidR="007D2A3A" w:rsidRDefault="007D2A3A" w:rsidP="00E56542">
      <w:pPr>
        <w:rPr>
          <w:rFonts w:cs="Arial"/>
          <w:szCs w:val="22"/>
        </w:rPr>
      </w:pPr>
      <w:r w:rsidRPr="007D2A3A">
        <w:rPr>
          <w:rFonts w:cs="Arial"/>
          <w:szCs w:val="22"/>
        </w:rPr>
        <w:t>[Abramson Cancer Center Leadership]</w:t>
      </w:r>
    </w:p>
    <w:p w14:paraId="20C615B8" w14:textId="77777777" w:rsidR="00F54398" w:rsidRDefault="00F54398" w:rsidP="00E56542">
      <w:pPr>
        <w:rPr>
          <w:rFonts w:cs="Arial"/>
          <w:szCs w:val="22"/>
        </w:rPr>
      </w:pPr>
    </w:p>
    <w:p w14:paraId="6B1BD911" w14:textId="6BFE4F13" w:rsidR="00F54398" w:rsidRDefault="00F9784F" w:rsidP="00E56542">
      <w:pPr>
        <w:rPr>
          <w:rFonts w:cs="Arial"/>
          <w:szCs w:val="22"/>
        </w:rPr>
      </w:pPr>
      <w:r>
        <w:rPr>
          <w:rFonts w:cs="Arial"/>
          <w:szCs w:val="22"/>
        </w:rPr>
        <w:t>Arms 1 (Both Patient &amp; Clinician Nudge) &amp; 2 (Clinician Nudge Only)</w:t>
      </w:r>
    </w:p>
    <w:p w14:paraId="441927F5" w14:textId="1385D65A" w:rsidR="00F54398" w:rsidRDefault="00F54398" w:rsidP="00E56542">
      <w:pPr>
        <w:rPr>
          <w:rFonts w:cs="Arial"/>
          <w:szCs w:val="22"/>
        </w:rPr>
      </w:pPr>
    </w:p>
    <w:p w14:paraId="107CE795" w14:textId="3ACF9A21" w:rsidR="00F54398" w:rsidRDefault="00CD79FD" w:rsidP="00E56542">
      <w:pPr>
        <w:rPr>
          <w:rFonts w:cs="Arial"/>
          <w:szCs w:val="22"/>
        </w:rPr>
      </w:pPr>
      <w:r>
        <w:rPr>
          <w:rFonts w:cs="Arial"/>
          <w:noProof/>
          <w:szCs w:val="22"/>
        </w:rPr>
        <mc:AlternateContent>
          <mc:Choice Requires="wps">
            <w:drawing>
              <wp:anchor distT="0" distB="0" distL="114300" distR="114300" simplePos="0" relativeHeight="251668480" behindDoc="0" locked="0" layoutInCell="1" allowOverlap="1" wp14:anchorId="50A382C8" wp14:editId="5BA0AACF">
                <wp:simplePos x="0" y="0"/>
                <wp:positionH relativeFrom="margin">
                  <wp:posOffset>220665</wp:posOffset>
                </wp:positionH>
                <wp:positionV relativeFrom="paragraph">
                  <wp:posOffset>27961</wp:posOffset>
                </wp:positionV>
                <wp:extent cx="313617" cy="101505"/>
                <wp:effectExtent l="0" t="0" r="0" b="0"/>
                <wp:wrapNone/>
                <wp:docPr id="7" name="Rectangle 7"/>
                <wp:cNvGraphicFramePr/>
                <a:graphic xmlns:a="http://schemas.openxmlformats.org/drawingml/2006/main">
                  <a:graphicData uri="http://schemas.microsoft.com/office/word/2010/wordprocessingShape">
                    <wps:wsp>
                      <wps:cNvSpPr/>
                      <wps:spPr>
                        <a:xfrm>
                          <a:off x="0" y="0"/>
                          <a:ext cx="313617" cy="101505"/>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E5F1888" id="Rectangle 7" o:spid="_x0000_s1026" style="position:absolute;margin-left:17.4pt;margin-top:2.2pt;width:24.7pt;height:8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" fillcolor="black [3213]" stroked="f" strokeweight="1pt">
                <w10:wrap anchorx="margin"/>
              </v:rect>
            </w:pict>
          </mc:Fallback>
        </mc:AlternateContent>
      </w:r>
      <w:r w:rsidR="00F54398" w:rsidRPr="00185FE1">
        <w:rPr>
          <w:rFonts w:ascii="Times New Roman" w:eastAsia="Times New Roman" w:hAnsi="Times New Roman"/>
          <w:color w:val="0000FF"/>
          <w:sz w:val="24"/>
          <w:szCs w:val="24"/>
        </w:rPr>
        <w:fldChar w:fldCharType="begin"/>
      </w:r>
      <w:r w:rsidR="00F54398" w:rsidRPr="00185FE1">
        <w:rPr>
          <w:rFonts w:ascii="Times New Roman" w:eastAsia="Times New Roman" w:hAnsi="Times New Roman"/>
          <w:color w:val="0000FF"/>
          <w:sz w:val="24"/>
          <w:szCs w:val="24"/>
        </w:rPr>
        <w:instrText xml:space="preserve"> INCLUDEPICTURE "cid:tableauImage8b8e0e66-51fd-4bf8-ac56-6a6b340a132b" \* MERGEFORMATINET </w:instrText>
      </w:r>
      <w:r w:rsidR="00F54398" w:rsidRPr="00185FE1">
        <w:rPr>
          <w:rFonts w:ascii="Times New Roman" w:eastAsia="Times New Roman" w:hAnsi="Times New Roman"/>
          <w:color w:val="0000FF"/>
          <w:sz w:val="24"/>
          <w:szCs w:val="24"/>
        </w:rPr>
        <w:fldChar w:fldCharType="separate"/>
      </w:r>
      <w:r w:rsidR="00F54398">
        <w:rPr>
          <w:rFonts w:ascii="Times New Roman" w:eastAsia="Times New Roman" w:hAnsi="Times New Roman"/>
          <w:color w:val="0000FF"/>
          <w:sz w:val="24"/>
          <w:szCs w:val="24"/>
        </w:rPr>
        <w:fldChar w:fldCharType="begin"/>
      </w:r>
      <w:r w:rsidR="00F54398">
        <w:rPr>
          <w:rFonts w:ascii="Times New Roman" w:eastAsia="Times New Roman" w:hAnsi="Times New Roman"/>
          <w:color w:val="0000FF"/>
          <w:sz w:val="24"/>
          <w:szCs w:val="24"/>
        </w:rPr>
        <w:instrText xml:space="preserve"> INCLUDEPICTURE  "cid:tableauImage8b8e0e66-51fd-4bf8-ac56-6a6b340a132b" \* MERGEFORMATINET </w:instrText>
      </w:r>
      <w:r w:rsidR="00F54398">
        <w:rPr>
          <w:rFonts w:ascii="Times New Roman" w:eastAsia="Times New Roman" w:hAnsi="Times New Roman"/>
          <w:color w:val="0000FF"/>
          <w:sz w:val="24"/>
          <w:szCs w:val="24"/>
        </w:rPr>
        <w:fldChar w:fldCharType="separate"/>
      </w:r>
      <w:r w:rsidR="00F54398">
        <w:rPr>
          <w:rFonts w:ascii="Times New Roman" w:eastAsia="Times New Roman" w:hAnsi="Times New Roman"/>
          <w:color w:val="0000FF"/>
          <w:sz w:val="24"/>
          <w:szCs w:val="24"/>
        </w:rPr>
        <w:fldChar w:fldCharType="begin"/>
      </w:r>
      <w:r w:rsidR="00F54398">
        <w:rPr>
          <w:rFonts w:ascii="Times New Roman" w:eastAsia="Times New Roman" w:hAnsi="Times New Roman"/>
          <w:color w:val="0000FF"/>
          <w:sz w:val="24"/>
          <w:szCs w:val="24"/>
        </w:rPr>
        <w:instrText xml:space="preserve"> INCLUDEPICTURE  "cid:tableauImage8b8e0e66-51fd-4bf8-ac56-6a6b340a132b" \* MERGEFORMATINET </w:instrText>
      </w:r>
      <w:r w:rsidR="00F54398">
        <w:rPr>
          <w:rFonts w:ascii="Times New Roman" w:eastAsia="Times New Roman" w:hAnsi="Times New Roman"/>
          <w:color w:val="0000FF"/>
          <w:sz w:val="24"/>
          <w:szCs w:val="24"/>
        </w:rPr>
        <w:fldChar w:fldCharType="separate"/>
      </w:r>
      <w:r w:rsidR="00007BE4">
        <w:rPr>
          <w:rFonts w:ascii="Times New Roman" w:eastAsia="Times New Roman" w:hAnsi="Times New Roman"/>
          <w:color w:val="0000FF"/>
          <w:sz w:val="24"/>
          <w:szCs w:val="24"/>
        </w:rPr>
        <w:fldChar w:fldCharType="begin"/>
      </w:r>
      <w:r w:rsidR="00007BE4">
        <w:rPr>
          <w:rFonts w:ascii="Times New Roman" w:eastAsia="Times New Roman" w:hAnsi="Times New Roman"/>
          <w:color w:val="0000FF"/>
          <w:sz w:val="24"/>
          <w:szCs w:val="24"/>
        </w:rPr>
        <w:instrText xml:space="preserve"> INCLUDEPICTURE  "cid:tableauImage8b8e0e66-51fd-4bf8-ac56-6a6b340a132b" \* MERGEFORMATINET </w:instrText>
      </w:r>
      <w:r w:rsidR="00007BE4">
        <w:rPr>
          <w:rFonts w:ascii="Times New Roman" w:eastAsia="Times New Roman" w:hAnsi="Times New Roman"/>
          <w:color w:val="0000FF"/>
          <w:sz w:val="24"/>
          <w:szCs w:val="24"/>
        </w:rPr>
        <w:fldChar w:fldCharType="separate"/>
      </w:r>
      <w:r w:rsidR="0084620C">
        <w:rPr>
          <w:rFonts w:ascii="Times New Roman" w:eastAsia="Times New Roman" w:hAnsi="Times New Roman"/>
          <w:color w:val="0000FF"/>
          <w:sz w:val="24"/>
          <w:szCs w:val="24"/>
        </w:rPr>
        <w:fldChar w:fldCharType="begin"/>
      </w:r>
      <w:r w:rsidR="0084620C">
        <w:rPr>
          <w:rFonts w:ascii="Times New Roman" w:eastAsia="Times New Roman" w:hAnsi="Times New Roman"/>
          <w:color w:val="0000FF"/>
          <w:sz w:val="24"/>
          <w:szCs w:val="24"/>
        </w:rPr>
        <w:instrText xml:space="preserve"> INCLUDEPICTURE  "cid:tableauImage8b8e0e66-51fd-4bf8-ac56-6a6b340a132b" \* MERGEFORMATINET </w:instrText>
      </w:r>
      <w:r w:rsidR="0084620C">
        <w:rPr>
          <w:rFonts w:ascii="Times New Roman" w:eastAsia="Times New Roman" w:hAnsi="Times New Roman"/>
          <w:color w:val="0000FF"/>
          <w:sz w:val="24"/>
          <w:szCs w:val="24"/>
        </w:rPr>
        <w:fldChar w:fldCharType="separate"/>
      </w:r>
      <w:r w:rsidR="0000223E">
        <w:rPr>
          <w:rFonts w:ascii="Times New Roman" w:eastAsia="Times New Roman" w:hAnsi="Times New Roman"/>
          <w:color w:val="0000FF"/>
          <w:sz w:val="24"/>
          <w:szCs w:val="24"/>
        </w:rPr>
        <w:fldChar w:fldCharType="begin"/>
      </w:r>
      <w:r w:rsidR="0000223E">
        <w:rPr>
          <w:rFonts w:ascii="Times New Roman" w:eastAsia="Times New Roman" w:hAnsi="Times New Roman"/>
          <w:color w:val="0000FF"/>
          <w:sz w:val="24"/>
          <w:szCs w:val="24"/>
        </w:rPr>
        <w:instrText xml:space="preserve"> INCLUDEPICTURE  "cid:tableauImage8b8e0e66-51fd-4bf8-ac56-6a6b340a132b" \* MERGEFORMATINET </w:instrText>
      </w:r>
      <w:r w:rsidR="0000223E">
        <w:rPr>
          <w:rFonts w:ascii="Times New Roman" w:eastAsia="Times New Roman" w:hAnsi="Times New Roman"/>
          <w:color w:val="0000FF"/>
          <w:sz w:val="24"/>
          <w:szCs w:val="24"/>
        </w:rPr>
        <w:fldChar w:fldCharType="separate"/>
      </w:r>
      <w:r w:rsidR="00A72601">
        <w:rPr>
          <w:rFonts w:ascii="Times New Roman" w:eastAsia="Times New Roman" w:hAnsi="Times New Roman"/>
          <w:color w:val="0000FF"/>
          <w:sz w:val="24"/>
          <w:szCs w:val="24"/>
        </w:rPr>
        <w:fldChar w:fldCharType="begin"/>
      </w:r>
      <w:r w:rsidR="00A72601">
        <w:rPr>
          <w:rFonts w:ascii="Times New Roman" w:eastAsia="Times New Roman" w:hAnsi="Times New Roman"/>
          <w:color w:val="0000FF"/>
          <w:sz w:val="24"/>
          <w:szCs w:val="24"/>
        </w:rPr>
        <w:instrText xml:space="preserve"> INCLUDEPICTURE  "cid:tableauImage8b8e0e66-51fd-4bf8-ac56-6a6b340a132b" \* MERGEFORMATINET </w:instrText>
      </w:r>
      <w:r w:rsidR="00A72601">
        <w:rPr>
          <w:rFonts w:ascii="Times New Roman" w:eastAsia="Times New Roman" w:hAnsi="Times New Roman"/>
          <w:color w:val="0000FF"/>
          <w:sz w:val="24"/>
          <w:szCs w:val="24"/>
        </w:rPr>
        <w:fldChar w:fldCharType="separate"/>
      </w:r>
      <w:r w:rsidR="00DA5ABC">
        <w:rPr>
          <w:rFonts w:ascii="Times New Roman" w:eastAsia="Times New Roman" w:hAnsi="Times New Roman"/>
          <w:color w:val="0000FF"/>
          <w:sz w:val="24"/>
          <w:szCs w:val="24"/>
        </w:rPr>
        <w:fldChar w:fldCharType="begin"/>
      </w:r>
      <w:r w:rsidR="00DA5ABC">
        <w:rPr>
          <w:rFonts w:ascii="Times New Roman" w:eastAsia="Times New Roman" w:hAnsi="Times New Roman"/>
          <w:color w:val="0000FF"/>
          <w:sz w:val="24"/>
          <w:szCs w:val="24"/>
        </w:rPr>
        <w:instrText xml:space="preserve"> INCLUDEPICTURE  "cid:tableauImage8b8e0e66-51fd-4bf8-ac56-6a6b340a132b" \* MERGEFORMATINET </w:instrText>
      </w:r>
      <w:r w:rsidR="00DA5ABC">
        <w:rPr>
          <w:rFonts w:ascii="Times New Roman" w:eastAsia="Times New Roman" w:hAnsi="Times New Roman"/>
          <w:color w:val="0000FF"/>
          <w:sz w:val="24"/>
          <w:szCs w:val="24"/>
        </w:rPr>
        <w:fldChar w:fldCharType="separate"/>
      </w:r>
      <w:r w:rsidR="0035453F">
        <w:rPr>
          <w:rFonts w:ascii="Times New Roman" w:eastAsia="Times New Roman" w:hAnsi="Times New Roman"/>
          <w:color w:val="0000FF"/>
          <w:sz w:val="24"/>
          <w:szCs w:val="24"/>
        </w:rPr>
        <w:fldChar w:fldCharType="begin"/>
      </w:r>
      <w:r w:rsidR="0035453F">
        <w:rPr>
          <w:rFonts w:ascii="Times New Roman" w:eastAsia="Times New Roman" w:hAnsi="Times New Roman"/>
          <w:color w:val="0000FF"/>
          <w:sz w:val="24"/>
          <w:szCs w:val="24"/>
        </w:rPr>
        <w:instrText xml:space="preserve"> INCLUDEPICTURE  "cid:tableauImage8b8e0e66-51fd-4bf8-ac56-6a6b340a132b" \* MERGEFORMATINET </w:instrText>
      </w:r>
      <w:r w:rsidR="0035453F">
        <w:rPr>
          <w:rFonts w:ascii="Times New Roman" w:eastAsia="Times New Roman" w:hAnsi="Times New Roman"/>
          <w:color w:val="0000FF"/>
          <w:sz w:val="24"/>
          <w:szCs w:val="24"/>
        </w:rPr>
        <w:fldChar w:fldCharType="separate"/>
      </w:r>
      <w:r w:rsidR="000F2741">
        <w:rPr>
          <w:rFonts w:ascii="Times New Roman" w:eastAsia="Times New Roman" w:hAnsi="Times New Roman"/>
          <w:color w:val="0000FF"/>
          <w:sz w:val="24"/>
          <w:szCs w:val="24"/>
        </w:rPr>
        <w:fldChar w:fldCharType="begin"/>
      </w:r>
      <w:r w:rsidR="000F2741">
        <w:rPr>
          <w:rFonts w:ascii="Times New Roman" w:eastAsia="Times New Roman" w:hAnsi="Times New Roman"/>
          <w:color w:val="0000FF"/>
          <w:sz w:val="24"/>
          <w:szCs w:val="24"/>
        </w:rPr>
        <w:instrText xml:space="preserve"> INCLUDEPICTURE  "cid:tableauImage8b8e0e66-51fd-4bf8-ac56-6a6b340a132b" \* MERGEFORMATINET </w:instrText>
      </w:r>
      <w:r w:rsidR="000F2741">
        <w:rPr>
          <w:rFonts w:ascii="Times New Roman" w:eastAsia="Times New Roman" w:hAnsi="Times New Roman"/>
          <w:color w:val="0000FF"/>
          <w:sz w:val="24"/>
          <w:szCs w:val="24"/>
        </w:rPr>
        <w:fldChar w:fldCharType="separate"/>
      </w:r>
      <w:r w:rsidR="00304048">
        <w:rPr>
          <w:rFonts w:ascii="Times New Roman" w:eastAsia="Times New Roman" w:hAnsi="Times New Roman"/>
          <w:color w:val="0000FF"/>
          <w:sz w:val="24"/>
          <w:szCs w:val="24"/>
        </w:rPr>
        <w:fldChar w:fldCharType="begin"/>
      </w:r>
      <w:r w:rsidR="00304048">
        <w:rPr>
          <w:rFonts w:ascii="Times New Roman" w:eastAsia="Times New Roman" w:hAnsi="Times New Roman"/>
          <w:color w:val="0000FF"/>
          <w:sz w:val="24"/>
          <w:szCs w:val="24"/>
        </w:rPr>
        <w:instrText xml:space="preserve"> INCLUDEPICTURE  "cid:tableauImage8b8e0e66-51fd-4bf8-ac56-6a6b340a132b" \* MERGEFORMATINET </w:instrText>
      </w:r>
      <w:r w:rsidR="00304048">
        <w:rPr>
          <w:rFonts w:ascii="Times New Roman" w:eastAsia="Times New Roman" w:hAnsi="Times New Roman"/>
          <w:color w:val="0000FF"/>
          <w:sz w:val="24"/>
          <w:szCs w:val="24"/>
        </w:rPr>
        <w:fldChar w:fldCharType="separate"/>
      </w:r>
      <w:r w:rsidR="00390035">
        <w:rPr>
          <w:rFonts w:ascii="Times New Roman" w:eastAsia="Times New Roman" w:hAnsi="Times New Roman"/>
          <w:color w:val="0000FF"/>
          <w:sz w:val="24"/>
          <w:szCs w:val="24"/>
        </w:rPr>
        <w:fldChar w:fldCharType="begin"/>
      </w:r>
      <w:r w:rsidR="00390035">
        <w:rPr>
          <w:rFonts w:ascii="Times New Roman" w:eastAsia="Times New Roman" w:hAnsi="Times New Roman"/>
          <w:color w:val="0000FF"/>
          <w:sz w:val="24"/>
          <w:szCs w:val="24"/>
        </w:rPr>
        <w:instrText xml:space="preserve"> INCLUDEPICTURE  "cid:tableauImage8b8e0e66-51fd-4bf8-ac56-6a6b340a132b" \* MERGEFORMATINET </w:instrText>
      </w:r>
      <w:r w:rsidR="00390035">
        <w:rPr>
          <w:rFonts w:ascii="Times New Roman" w:eastAsia="Times New Roman" w:hAnsi="Times New Roman"/>
          <w:color w:val="0000FF"/>
          <w:sz w:val="24"/>
          <w:szCs w:val="24"/>
        </w:rPr>
        <w:fldChar w:fldCharType="separate"/>
      </w:r>
      <w:r w:rsidR="0089389A">
        <w:rPr>
          <w:rFonts w:ascii="Times New Roman" w:eastAsia="Times New Roman" w:hAnsi="Times New Roman"/>
          <w:color w:val="0000FF"/>
          <w:sz w:val="24"/>
          <w:szCs w:val="24"/>
        </w:rPr>
        <w:fldChar w:fldCharType="begin"/>
      </w:r>
      <w:r w:rsidR="0089389A">
        <w:rPr>
          <w:rFonts w:ascii="Times New Roman" w:eastAsia="Times New Roman" w:hAnsi="Times New Roman"/>
          <w:color w:val="0000FF"/>
          <w:sz w:val="24"/>
          <w:szCs w:val="24"/>
        </w:rPr>
        <w:instrText xml:space="preserve"> INCLUDEPICTURE  "cid:tableauImage8b8e0e66-51fd-4bf8-ac56-6a6b340a132b" \* MERGEFORMATINET </w:instrText>
      </w:r>
      <w:r w:rsidR="0089389A">
        <w:rPr>
          <w:rFonts w:ascii="Times New Roman" w:eastAsia="Times New Roman" w:hAnsi="Times New Roman"/>
          <w:color w:val="0000FF"/>
          <w:sz w:val="24"/>
          <w:szCs w:val="24"/>
        </w:rPr>
        <w:fldChar w:fldCharType="separate"/>
      </w:r>
      <w:r w:rsidR="00667E05">
        <w:rPr>
          <w:rFonts w:ascii="Times New Roman" w:eastAsia="Times New Roman" w:hAnsi="Times New Roman"/>
          <w:color w:val="0000FF"/>
          <w:sz w:val="24"/>
          <w:szCs w:val="24"/>
        </w:rPr>
        <w:fldChar w:fldCharType="begin"/>
      </w:r>
      <w:r w:rsidR="00667E05">
        <w:rPr>
          <w:rFonts w:ascii="Times New Roman" w:eastAsia="Times New Roman" w:hAnsi="Times New Roman"/>
          <w:color w:val="0000FF"/>
          <w:sz w:val="24"/>
          <w:szCs w:val="24"/>
        </w:rPr>
        <w:instrText xml:space="preserve"> INCLUDEPICTURE  "cid:tableauImage8b8e0e66-51fd-4bf8-ac56-6a6b340a132b" \* MERGEFORMATINET </w:instrText>
      </w:r>
      <w:r w:rsidR="00667E05">
        <w:rPr>
          <w:rFonts w:ascii="Times New Roman" w:eastAsia="Times New Roman" w:hAnsi="Times New Roman"/>
          <w:color w:val="0000FF"/>
          <w:sz w:val="24"/>
          <w:szCs w:val="24"/>
        </w:rPr>
        <w:fldChar w:fldCharType="separate"/>
      </w:r>
      <w:r w:rsidR="00AA2DC3">
        <w:rPr>
          <w:rFonts w:ascii="Times New Roman" w:eastAsia="Times New Roman" w:hAnsi="Times New Roman"/>
          <w:color w:val="0000FF"/>
          <w:sz w:val="24"/>
          <w:szCs w:val="24"/>
        </w:rPr>
        <w:fldChar w:fldCharType="begin"/>
      </w:r>
      <w:r w:rsidR="00AA2DC3">
        <w:rPr>
          <w:rFonts w:ascii="Times New Roman" w:eastAsia="Times New Roman" w:hAnsi="Times New Roman"/>
          <w:color w:val="0000FF"/>
          <w:sz w:val="24"/>
          <w:szCs w:val="24"/>
        </w:rPr>
        <w:instrText xml:space="preserve"> INCLUDEPICTURE  "cid:tableauImage8b8e0e66-51fd-4bf8-ac56-6a6b340a132b" \* MERGEFORMATINET </w:instrText>
      </w:r>
      <w:r w:rsidR="00AA2DC3">
        <w:rPr>
          <w:rFonts w:ascii="Times New Roman" w:eastAsia="Times New Roman" w:hAnsi="Times New Roman"/>
          <w:color w:val="0000FF"/>
          <w:sz w:val="24"/>
          <w:szCs w:val="24"/>
        </w:rPr>
        <w:fldChar w:fldCharType="separate"/>
      </w:r>
      <w:r w:rsidR="00E05566">
        <w:rPr>
          <w:rFonts w:ascii="Times New Roman" w:eastAsia="Times New Roman" w:hAnsi="Times New Roman"/>
          <w:color w:val="0000FF"/>
          <w:sz w:val="24"/>
          <w:szCs w:val="24"/>
        </w:rPr>
        <w:fldChar w:fldCharType="begin"/>
      </w:r>
      <w:r w:rsidR="00E05566">
        <w:rPr>
          <w:rFonts w:ascii="Times New Roman" w:eastAsia="Times New Roman" w:hAnsi="Times New Roman"/>
          <w:color w:val="0000FF"/>
          <w:sz w:val="24"/>
          <w:szCs w:val="24"/>
        </w:rPr>
        <w:instrText xml:space="preserve"> INCLUDEPICTURE  "cid:tableauImage8b8e0e66-51fd-4bf8-ac56-6a6b340a132b" \* MERGEFORMATINET </w:instrText>
      </w:r>
      <w:r w:rsidR="00E05566">
        <w:rPr>
          <w:rFonts w:ascii="Times New Roman" w:eastAsia="Times New Roman" w:hAnsi="Times New Roman"/>
          <w:color w:val="0000FF"/>
          <w:sz w:val="24"/>
          <w:szCs w:val="24"/>
        </w:rPr>
        <w:fldChar w:fldCharType="separate"/>
      </w:r>
      <w:r w:rsidR="0083563E">
        <w:rPr>
          <w:rFonts w:ascii="Times New Roman" w:eastAsia="Times New Roman" w:hAnsi="Times New Roman"/>
          <w:color w:val="0000FF"/>
          <w:sz w:val="24"/>
          <w:szCs w:val="24"/>
        </w:rPr>
        <w:fldChar w:fldCharType="begin"/>
      </w:r>
      <w:r w:rsidR="0083563E">
        <w:rPr>
          <w:rFonts w:ascii="Times New Roman" w:eastAsia="Times New Roman" w:hAnsi="Times New Roman"/>
          <w:color w:val="0000FF"/>
          <w:sz w:val="24"/>
          <w:szCs w:val="24"/>
        </w:rPr>
        <w:instrText xml:space="preserve"> INCLUDEPICTURE  "cid:tableauImage8b8e0e66-51fd-4bf8-ac56-6a6b340a132b" \* MERGEFORMATINET </w:instrText>
      </w:r>
      <w:r w:rsidR="0083563E">
        <w:rPr>
          <w:rFonts w:ascii="Times New Roman" w:eastAsia="Times New Roman" w:hAnsi="Times New Roman"/>
          <w:color w:val="0000FF"/>
          <w:sz w:val="24"/>
          <w:szCs w:val="24"/>
        </w:rPr>
        <w:fldChar w:fldCharType="separate"/>
      </w:r>
      <w:r w:rsidR="00934EAA">
        <w:rPr>
          <w:rFonts w:ascii="Times New Roman" w:eastAsia="Times New Roman" w:hAnsi="Times New Roman"/>
          <w:color w:val="0000FF"/>
          <w:sz w:val="24"/>
          <w:szCs w:val="24"/>
        </w:rPr>
        <w:fldChar w:fldCharType="begin"/>
      </w:r>
      <w:r w:rsidR="00934EAA">
        <w:rPr>
          <w:rFonts w:ascii="Times New Roman" w:eastAsia="Times New Roman" w:hAnsi="Times New Roman"/>
          <w:color w:val="0000FF"/>
          <w:sz w:val="24"/>
          <w:szCs w:val="24"/>
        </w:rPr>
        <w:instrText xml:space="preserve"> INCLUDEPICTURE  "cid:tableauImage8b8e0e66-51fd-4bf8-ac56-6a6b340a132b" \* MERGEFORMATINET </w:instrText>
      </w:r>
      <w:r w:rsidR="00934EAA">
        <w:rPr>
          <w:rFonts w:ascii="Times New Roman" w:eastAsia="Times New Roman" w:hAnsi="Times New Roman"/>
          <w:color w:val="0000FF"/>
          <w:sz w:val="24"/>
          <w:szCs w:val="24"/>
        </w:rPr>
        <w:fldChar w:fldCharType="separate"/>
      </w:r>
      <w:r w:rsidR="000C01A4">
        <w:rPr>
          <w:rFonts w:ascii="Times New Roman" w:eastAsia="Times New Roman" w:hAnsi="Times New Roman"/>
          <w:color w:val="0000FF"/>
          <w:sz w:val="24"/>
          <w:szCs w:val="24"/>
        </w:rPr>
        <w:fldChar w:fldCharType="begin"/>
      </w:r>
      <w:r w:rsidR="000C01A4">
        <w:rPr>
          <w:rFonts w:ascii="Times New Roman" w:eastAsia="Times New Roman" w:hAnsi="Times New Roman"/>
          <w:color w:val="0000FF"/>
          <w:sz w:val="24"/>
          <w:szCs w:val="24"/>
        </w:rPr>
        <w:instrText xml:space="preserve"> INCLUDEPICTURE  "cid:tableauImage8b8e0e66-51fd-4bf8-ac56-6a6b340a132b" \* MERGEFORMATINET </w:instrText>
      </w:r>
      <w:r w:rsidR="000C01A4">
        <w:rPr>
          <w:rFonts w:ascii="Times New Roman" w:eastAsia="Times New Roman" w:hAnsi="Times New Roman"/>
          <w:color w:val="0000FF"/>
          <w:sz w:val="24"/>
          <w:szCs w:val="24"/>
        </w:rPr>
        <w:fldChar w:fldCharType="separate"/>
      </w:r>
      <w:r w:rsidR="006A6A44">
        <w:rPr>
          <w:rFonts w:ascii="Times New Roman" w:eastAsia="Times New Roman" w:hAnsi="Times New Roman"/>
          <w:color w:val="0000FF"/>
          <w:sz w:val="24"/>
          <w:szCs w:val="24"/>
        </w:rPr>
        <w:fldChar w:fldCharType="begin"/>
      </w:r>
      <w:r w:rsidR="006A6A44">
        <w:rPr>
          <w:rFonts w:ascii="Times New Roman" w:eastAsia="Times New Roman" w:hAnsi="Times New Roman"/>
          <w:color w:val="0000FF"/>
          <w:sz w:val="24"/>
          <w:szCs w:val="24"/>
        </w:rPr>
        <w:instrText xml:space="preserve"> INCLUDEPICTURE  "cid:tableauImage8b8e0e66-51fd-4bf8-ac56-6a6b340a132b" \* MERGEFORMATINET </w:instrText>
      </w:r>
      <w:r w:rsidR="006A6A44">
        <w:rPr>
          <w:rFonts w:ascii="Times New Roman" w:eastAsia="Times New Roman" w:hAnsi="Times New Roman"/>
          <w:color w:val="0000FF"/>
          <w:sz w:val="24"/>
          <w:szCs w:val="24"/>
        </w:rPr>
        <w:fldChar w:fldCharType="separate"/>
      </w:r>
      <w:r w:rsidR="00976696">
        <w:rPr>
          <w:rFonts w:ascii="Times New Roman" w:eastAsia="Times New Roman" w:hAnsi="Times New Roman"/>
          <w:color w:val="0000FF"/>
          <w:sz w:val="24"/>
          <w:szCs w:val="24"/>
        </w:rPr>
        <w:fldChar w:fldCharType="begin"/>
      </w:r>
      <w:r w:rsidR="00976696">
        <w:rPr>
          <w:rFonts w:ascii="Times New Roman" w:eastAsia="Times New Roman" w:hAnsi="Times New Roman"/>
          <w:color w:val="0000FF"/>
          <w:sz w:val="24"/>
          <w:szCs w:val="24"/>
        </w:rPr>
        <w:instrText xml:space="preserve"> INCLUDEPICTURE  "cid:tableauImage8b8e0e66-51fd-4bf8-ac56-6a6b340a132b" \* MERGEFORMATINET </w:instrText>
      </w:r>
      <w:r w:rsidR="00976696">
        <w:rPr>
          <w:rFonts w:ascii="Times New Roman" w:eastAsia="Times New Roman" w:hAnsi="Times New Roman"/>
          <w:color w:val="0000FF"/>
          <w:sz w:val="24"/>
          <w:szCs w:val="24"/>
        </w:rPr>
        <w:fldChar w:fldCharType="separate"/>
      </w:r>
      <w:r w:rsidR="00E430D9">
        <w:rPr>
          <w:rFonts w:ascii="Times New Roman" w:eastAsia="Times New Roman" w:hAnsi="Times New Roman"/>
          <w:color w:val="0000FF"/>
          <w:sz w:val="24"/>
          <w:szCs w:val="24"/>
        </w:rPr>
        <w:fldChar w:fldCharType="begin"/>
      </w:r>
      <w:r w:rsidR="00E430D9">
        <w:rPr>
          <w:rFonts w:ascii="Times New Roman" w:eastAsia="Times New Roman" w:hAnsi="Times New Roman"/>
          <w:color w:val="0000FF"/>
          <w:sz w:val="24"/>
          <w:szCs w:val="24"/>
        </w:rPr>
        <w:instrText xml:space="preserve"> INCLUDEPICTURE  "cid:tableauImage8b8e0e66-51fd-4bf8-ac56-6a6b340a132b" \* MERGEFORMATINET </w:instrText>
      </w:r>
      <w:r w:rsidR="00E430D9">
        <w:rPr>
          <w:rFonts w:ascii="Times New Roman" w:eastAsia="Times New Roman" w:hAnsi="Times New Roman"/>
          <w:color w:val="0000FF"/>
          <w:sz w:val="24"/>
          <w:szCs w:val="24"/>
        </w:rPr>
        <w:fldChar w:fldCharType="separate"/>
      </w:r>
      <w:r w:rsidR="00E96D73">
        <w:rPr>
          <w:rFonts w:ascii="Times New Roman" w:eastAsia="Times New Roman" w:hAnsi="Times New Roman"/>
          <w:color w:val="0000FF"/>
          <w:sz w:val="24"/>
          <w:szCs w:val="24"/>
        </w:rPr>
        <w:fldChar w:fldCharType="begin"/>
      </w:r>
      <w:r w:rsidR="00E96D73">
        <w:rPr>
          <w:rFonts w:ascii="Times New Roman" w:eastAsia="Times New Roman" w:hAnsi="Times New Roman"/>
          <w:color w:val="0000FF"/>
          <w:sz w:val="24"/>
          <w:szCs w:val="24"/>
        </w:rPr>
        <w:instrText xml:space="preserve"> INCLUDEPICTURE  "cid:tableauImage8b8e0e66-51fd-4bf8-ac56-6a6b340a132b" \* MERGEFORMATINET </w:instrText>
      </w:r>
      <w:r w:rsidR="00E96D73">
        <w:rPr>
          <w:rFonts w:ascii="Times New Roman" w:eastAsia="Times New Roman" w:hAnsi="Times New Roman"/>
          <w:color w:val="0000FF"/>
          <w:sz w:val="24"/>
          <w:szCs w:val="24"/>
        </w:rPr>
        <w:fldChar w:fldCharType="separate"/>
      </w:r>
      <w:r w:rsidR="00853418">
        <w:rPr>
          <w:rFonts w:ascii="Times New Roman" w:eastAsia="Times New Roman" w:hAnsi="Times New Roman"/>
          <w:color w:val="0000FF"/>
          <w:sz w:val="24"/>
          <w:szCs w:val="24"/>
        </w:rPr>
        <w:fldChar w:fldCharType="begin"/>
      </w:r>
      <w:r w:rsidR="00853418">
        <w:rPr>
          <w:rFonts w:ascii="Times New Roman" w:eastAsia="Times New Roman" w:hAnsi="Times New Roman"/>
          <w:color w:val="0000FF"/>
          <w:sz w:val="24"/>
          <w:szCs w:val="24"/>
        </w:rPr>
        <w:instrText xml:space="preserve"> INCLUDEPICTURE  "cid:tableauImage8b8e0e66-51fd-4bf8-ac56-6a6b340a132b" \* MERGEFORMATINET </w:instrText>
      </w:r>
      <w:r w:rsidR="00853418">
        <w:rPr>
          <w:rFonts w:ascii="Times New Roman" w:eastAsia="Times New Roman" w:hAnsi="Times New Roman"/>
          <w:color w:val="0000FF"/>
          <w:sz w:val="24"/>
          <w:szCs w:val="24"/>
        </w:rPr>
        <w:fldChar w:fldCharType="separate"/>
      </w:r>
      <w:r w:rsidR="007E2F8B">
        <w:rPr>
          <w:rFonts w:ascii="Times New Roman" w:eastAsia="Times New Roman" w:hAnsi="Times New Roman"/>
          <w:color w:val="0000FF"/>
          <w:sz w:val="24"/>
          <w:szCs w:val="24"/>
        </w:rPr>
        <w:fldChar w:fldCharType="begin"/>
      </w:r>
      <w:r w:rsidR="007E2F8B">
        <w:rPr>
          <w:rFonts w:ascii="Times New Roman" w:eastAsia="Times New Roman" w:hAnsi="Times New Roman"/>
          <w:color w:val="0000FF"/>
          <w:sz w:val="24"/>
          <w:szCs w:val="24"/>
        </w:rPr>
        <w:instrText xml:space="preserve"> INCLUDEPICTURE  "cid:tableauImage8b8e0e66-51fd-4bf8-ac56-6a6b340a132b" \* MERGEFORMATINET </w:instrText>
      </w:r>
      <w:r w:rsidR="007E2F8B">
        <w:rPr>
          <w:rFonts w:ascii="Times New Roman" w:eastAsia="Times New Roman" w:hAnsi="Times New Roman"/>
          <w:color w:val="0000FF"/>
          <w:sz w:val="24"/>
          <w:szCs w:val="24"/>
        </w:rPr>
        <w:fldChar w:fldCharType="separate"/>
      </w:r>
      <w:r w:rsidR="00EE0C5C">
        <w:rPr>
          <w:rFonts w:ascii="Times New Roman" w:eastAsia="Times New Roman" w:hAnsi="Times New Roman"/>
          <w:color w:val="0000FF"/>
          <w:sz w:val="24"/>
          <w:szCs w:val="24"/>
        </w:rPr>
        <w:fldChar w:fldCharType="begin"/>
      </w:r>
      <w:r w:rsidR="00EE0C5C">
        <w:rPr>
          <w:rFonts w:ascii="Times New Roman" w:eastAsia="Times New Roman" w:hAnsi="Times New Roman"/>
          <w:color w:val="0000FF"/>
          <w:sz w:val="24"/>
          <w:szCs w:val="24"/>
        </w:rPr>
        <w:instrText xml:space="preserve"> INCLUDEPICTURE  "cid:tableauImage8b8e0e66-51fd-4bf8-ac56-6a6b340a132b" \* MERGEFORMATINET </w:instrText>
      </w:r>
      <w:r w:rsidR="00EE0C5C">
        <w:rPr>
          <w:rFonts w:ascii="Times New Roman" w:eastAsia="Times New Roman" w:hAnsi="Times New Roman"/>
          <w:color w:val="0000FF"/>
          <w:sz w:val="24"/>
          <w:szCs w:val="24"/>
        </w:rPr>
        <w:fldChar w:fldCharType="separate"/>
      </w:r>
      <w:r w:rsidR="00A010C8">
        <w:rPr>
          <w:rFonts w:ascii="Times New Roman" w:eastAsia="Times New Roman" w:hAnsi="Times New Roman"/>
          <w:color w:val="0000FF"/>
          <w:sz w:val="24"/>
          <w:szCs w:val="24"/>
        </w:rPr>
        <w:fldChar w:fldCharType="begin"/>
      </w:r>
      <w:r w:rsidR="00A010C8">
        <w:rPr>
          <w:rFonts w:ascii="Times New Roman" w:eastAsia="Times New Roman" w:hAnsi="Times New Roman"/>
          <w:color w:val="0000FF"/>
          <w:sz w:val="24"/>
          <w:szCs w:val="24"/>
        </w:rPr>
        <w:instrText xml:space="preserve"> INCLUDEPICTURE  "cid:tableauImage8b8e0e66-51fd-4bf8-ac56-6a6b340a132b" \* MERGEFORMATINET </w:instrText>
      </w:r>
      <w:r w:rsidR="00A010C8">
        <w:rPr>
          <w:rFonts w:ascii="Times New Roman" w:eastAsia="Times New Roman" w:hAnsi="Times New Roman"/>
          <w:color w:val="0000FF"/>
          <w:sz w:val="24"/>
          <w:szCs w:val="24"/>
        </w:rPr>
        <w:fldChar w:fldCharType="separate"/>
      </w:r>
      <w:r w:rsidR="00E85007">
        <w:rPr>
          <w:rFonts w:ascii="Times New Roman" w:eastAsia="Times New Roman" w:hAnsi="Times New Roman"/>
          <w:color w:val="0000FF"/>
          <w:sz w:val="24"/>
          <w:szCs w:val="24"/>
        </w:rPr>
        <w:fldChar w:fldCharType="begin"/>
      </w:r>
      <w:r w:rsidR="00E85007">
        <w:rPr>
          <w:rFonts w:ascii="Times New Roman" w:eastAsia="Times New Roman" w:hAnsi="Times New Roman"/>
          <w:color w:val="0000FF"/>
          <w:sz w:val="24"/>
          <w:szCs w:val="24"/>
        </w:rPr>
        <w:instrText xml:space="preserve"> INCLUDEPICTURE  "cid:tableauImage8b8e0e66-51fd-4bf8-ac56-6a6b340a132b" \* MERGEFORMATINET </w:instrText>
      </w:r>
      <w:r w:rsidR="00E85007">
        <w:rPr>
          <w:rFonts w:ascii="Times New Roman" w:eastAsia="Times New Roman" w:hAnsi="Times New Roman"/>
          <w:color w:val="0000FF"/>
          <w:sz w:val="24"/>
          <w:szCs w:val="24"/>
        </w:rPr>
        <w:fldChar w:fldCharType="separate"/>
      </w:r>
      <w:r w:rsidR="00791C6F">
        <w:rPr>
          <w:rFonts w:ascii="Times New Roman" w:eastAsia="Times New Roman" w:hAnsi="Times New Roman"/>
          <w:color w:val="0000FF"/>
          <w:sz w:val="24"/>
          <w:szCs w:val="24"/>
        </w:rPr>
        <w:fldChar w:fldCharType="begin"/>
      </w:r>
      <w:r w:rsidR="00791C6F">
        <w:rPr>
          <w:rFonts w:ascii="Times New Roman" w:eastAsia="Times New Roman" w:hAnsi="Times New Roman"/>
          <w:color w:val="0000FF"/>
          <w:sz w:val="24"/>
          <w:szCs w:val="24"/>
        </w:rPr>
        <w:instrText xml:space="preserve"> </w:instrText>
      </w:r>
      <w:r w:rsidR="00791C6F">
        <w:rPr>
          <w:rFonts w:ascii="Times New Roman" w:eastAsia="Times New Roman" w:hAnsi="Times New Roman"/>
          <w:color w:val="0000FF"/>
          <w:sz w:val="24"/>
          <w:szCs w:val="24"/>
        </w:rPr>
        <w:instrText>INCLUDEPICTURE  "cid:tableauImage8b8e0e66-51fd-4bf8-ac56-6a6b340a132b" \* MERGEFORMATINET</w:instrText>
      </w:r>
      <w:r w:rsidR="00791C6F">
        <w:rPr>
          <w:rFonts w:ascii="Times New Roman" w:eastAsia="Times New Roman" w:hAnsi="Times New Roman"/>
          <w:color w:val="0000FF"/>
          <w:sz w:val="24"/>
          <w:szCs w:val="24"/>
        </w:rPr>
        <w:instrText xml:space="preserve"> </w:instrText>
      </w:r>
      <w:r w:rsidR="00791C6F">
        <w:rPr>
          <w:rFonts w:ascii="Times New Roman" w:eastAsia="Times New Roman" w:hAnsi="Times New Roman"/>
          <w:color w:val="0000FF"/>
          <w:sz w:val="24"/>
          <w:szCs w:val="24"/>
        </w:rPr>
        <w:fldChar w:fldCharType="separate"/>
      </w:r>
      <w:r w:rsidR="005C5F45">
        <w:rPr>
          <w:rFonts w:ascii="Times New Roman" w:eastAsia="Times New Roman" w:hAnsi="Times New Roman"/>
          <w:color w:val="0000FF"/>
          <w:sz w:val="24"/>
          <w:szCs w:val="24"/>
        </w:rPr>
        <w:pict w14:anchorId="515173C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href="http://data.uphs.upenn.edu/views/SPP2TestDashboard/SeriousIllnessConversations" style="width:185pt;height:308.5pt" o:button="t">
            <v:imagedata r:id="rId10" r:href="rId11"/>
          </v:shape>
        </w:pict>
      </w:r>
      <w:r w:rsidR="00791C6F">
        <w:rPr>
          <w:rFonts w:ascii="Times New Roman" w:eastAsia="Times New Roman" w:hAnsi="Times New Roman"/>
          <w:color w:val="0000FF"/>
          <w:sz w:val="24"/>
          <w:szCs w:val="24"/>
        </w:rPr>
        <w:fldChar w:fldCharType="end"/>
      </w:r>
      <w:r w:rsidR="00E85007">
        <w:rPr>
          <w:rFonts w:ascii="Times New Roman" w:eastAsia="Times New Roman" w:hAnsi="Times New Roman"/>
          <w:color w:val="0000FF"/>
          <w:sz w:val="24"/>
          <w:szCs w:val="24"/>
        </w:rPr>
        <w:fldChar w:fldCharType="end"/>
      </w:r>
      <w:r w:rsidR="00A010C8">
        <w:rPr>
          <w:rFonts w:ascii="Times New Roman" w:eastAsia="Times New Roman" w:hAnsi="Times New Roman"/>
          <w:color w:val="0000FF"/>
          <w:sz w:val="24"/>
          <w:szCs w:val="24"/>
        </w:rPr>
        <w:fldChar w:fldCharType="end"/>
      </w:r>
      <w:r w:rsidR="00EE0C5C">
        <w:rPr>
          <w:rFonts w:ascii="Times New Roman" w:eastAsia="Times New Roman" w:hAnsi="Times New Roman"/>
          <w:color w:val="0000FF"/>
          <w:sz w:val="24"/>
          <w:szCs w:val="24"/>
        </w:rPr>
        <w:fldChar w:fldCharType="end"/>
      </w:r>
      <w:r w:rsidR="007E2F8B">
        <w:rPr>
          <w:rFonts w:ascii="Times New Roman" w:eastAsia="Times New Roman" w:hAnsi="Times New Roman"/>
          <w:color w:val="0000FF"/>
          <w:sz w:val="24"/>
          <w:szCs w:val="24"/>
        </w:rPr>
        <w:fldChar w:fldCharType="end"/>
      </w:r>
      <w:r w:rsidR="00853418">
        <w:rPr>
          <w:rFonts w:ascii="Times New Roman" w:eastAsia="Times New Roman" w:hAnsi="Times New Roman"/>
          <w:color w:val="0000FF"/>
          <w:sz w:val="24"/>
          <w:szCs w:val="24"/>
        </w:rPr>
        <w:fldChar w:fldCharType="end"/>
      </w:r>
      <w:r w:rsidR="00E96D73">
        <w:rPr>
          <w:rFonts w:ascii="Times New Roman" w:eastAsia="Times New Roman" w:hAnsi="Times New Roman"/>
          <w:color w:val="0000FF"/>
          <w:sz w:val="24"/>
          <w:szCs w:val="24"/>
        </w:rPr>
        <w:fldChar w:fldCharType="end"/>
      </w:r>
      <w:r w:rsidR="00E430D9">
        <w:rPr>
          <w:rFonts w:ascii="Times New Roman" w:eastAsia="Times New Roman" w:hAnsi="Times New Roman"/>
          <w:color w:val="0000FF"/>
          <w:sz w:val="24"/>
          <w:szCs w:val="24"/>
        </w:rPr>
        <w:fldChar w:fldCharType="end"/>
      </w:r>
      <w:r w:rsidR="00976696">
        <w:rPr>
          <w:rFonts w:ascii="Times New Roman" w:eastAsia="Times New Roman" w:hAnsi="Times New Roman"/>
          <w:color w:val="0000FF"/>
          <w:sz w:val="24"/>
          <w:szCs w:val="24"/>
        </w:rPr>
        <w:fldChar w:fldCharType="end"/>
      </w:r>
      <w:r w:rsidR="006A6A44">
        <w:rPr>
          <w:rFonts w:ascii="Times New Roman" w:eastAsia="Times New Roman" w:hAnsi="Times New Roman"/>
          <w:color w:val="0000FF"/>
          <w:sz w:val="24"/>
          <w:szCs w:val="24"/>
        </w:rPr>
        <w:fldChar w:fldCharType="end"/>
      </w:r>
      <w:r w:rsidR="000C01A4">
        <w:rPr>
          <w:rFonts w:ascii="Times New Roman" w:eastAsia="Times New Roman" w:hAnsi="Times New Roman"/>
          <w:color w:val="0000FF"/>
          <w:sz w:val="24"/>
          <w:szCs w:val="24"/>
        </w:rPr>
        <w:fldChar w:fldCharType="end"/>
      </w:r>
      <w:r w:rsidR="00934EAA">
        <w:rPr>
          <w:rFonts w:ascii="Times New Roman" w:eastAsia="Times New Roman" w:hAnsi="Times New Roman"/>
          <w:color w:val="0000FF"/>
          <w:sz w:val="24"/>
          <w:szCs w:val="24"/>
        </w:rPr>
        <w:fldChar w:fldCharType="end"/>
      </w:r>
      <w:r w:rsidR="0083563E">
        <w:rPr>
          <w:rFonts w:ascii="Times New Roman" w:eastAsia="Times New Roman" w:hAnsi="Times New Roman"/>
          <w:color w:val="0000FF"/>
          <w:sz w:val="24"/>
          <w:szCs w:val="24"/>
        </w:rPr>
        <w:fldChar w:fldCharType="end"/>
      </w:r>
      <w:r w:rsidR="00E05566">
        <w:rPr>
          <w:rFonts w:ascii="Times New Roman" w:eastAsia="Times New Roman" w:hAnsi="Times New Roman"/>
          <w:color w:val="0000FF"/>
          <w:sz w:val="24"/>
          <w:szCs w:val="24"/>
        </w:rPr>
        <w:fldChar w:fldCharType="end"/>
      </w:r>
      <w:r w:rsidR="00AA2DC3">
        <w:rPr>
          <w:rFonts w:ascii="Times New Roman" w:eastAsia="Times New Roman" w:hAnsi="Times New Roman"/>
          <w:color w:val="0000FF"/>
          <w:sz w:val="24"/>
          <w:szCs w:val="24"/>
        </w:rPr>
        <w:fldChar w:fldCharType="end"/>
      </w:r>
      <w:r w:rsidR="00667E05">
        <w:rPr>
          <w:rFonts w:ascii="Times New Roman" w:eastAsia="Times New Roman" w:hAnsi="Times New Roman"/>
          <w:color w:val="0000FF"/>
          <w:sz w:val="24"/>
          <w:szCs w:val="24"/>
        </w:rPr>
        <w:fldChar w:fldCharType="end"/>
      </w:r>
      <w:r w:rsidR="0089389A">
        <w:rPr>
          <w:rFonts w:ascii="Times New Roman" w:eastAsia="Times New Roman" w:hAnsi="Times New Roman"/>
          <w:color w:val="0000FF"/>
          <w:sz w:val="24"/>
          <w:szCs w:val="24"/>
        </w:rPr>
        <w:fldChar w:fldCharType="end"/>
      </w:r>
      <w:r w:rsidR="00390035">
        <w:rPr>
          <w:rFonts w:ascii="Times New Roman" w:eastAsia="Times New Roman" w:hAnsi="Times New Roman"/>
          <w:color w:val="0000FF"/>
          <w:sz w:val="24"/>
          <w:szCs w:val="24"/>
        </w:rPr>
        <w:fldChar w:fldCharType="end"/>
      </w:r>
      <w:r w:rsidR="00304048">
        <w:rPr>
          <w:rFonts w:ascii="Times New Roman" w:eastAsia="Times New Roman" w:hAnsi="Times New Roman"/>
          <w:color w:val="0000FF"/>
          <w:sz w:val="24"/>
          <w:szCs w:val="24"/>
        </w:rPr>
        <w:fldChar w:fldCharType="end"/>
      </w:r>
      <w:r w:rsidR="000F2741">
        <w:rPr>
          <w:rFonts w:ascii="Times New Roman" w:eastAsia="Times New Roman" w:hAnsi="Times New Roman"/>
          <w:color w:val="0000FF"/>
          <w:sz w:val="24"/>
          <w:szCs w:val="24"/>
        </w:rPr>
        <w:fldChar w:fldCharType="end"/>
      </w:r>
      <w:r w:rsidR="0035453F">
        <w:rPr>
          <w:rFonts w:ascii="Times New Roman" w:eastAsia="Times New Roman" w:hAnsi="Times New Roman"/>
          <w:color w:val="0000FF"/>
          <w:sz w:val="24"/>
          <w:szCs w:val="24"/>
        </w:rPr>
        <w:fldChar w:fldCharType="end"/>
      </w:r>
      <w:r w:rsidR="00DA5ABC">
        <w:rPr>
          <w:rFonts w:ascii="Times New Roman" w:eastAsia="Times New Roman" w:hAnsi="Times New Roman"/>
          <w:color w:val="0000FF"/>
          <w:sz w:val="24"/>
          <w:szCs w:val="24"/>
        </w:rPr>
        <w:fldChar w:fldCharType="end"/>
      </w:r>
      <w:r w:rsidR="00A72601">
        <w:rPr>
          <w:rFonts w:ascii="Times New Roman" w:eastAsia="Times New Roman" w:hAnsi="Times New Roman"/>
          <w:color w:val="0000FF"/>
          <w:sz w:val="24"/>
          <w:szCs w:val="24"/>
        </w:rPr>
        <w:fldChar w:fldCharType="end"/>
      </w:r>
      <w:r w:rsidR="0000223E">
        <w:rPr>
          <w:rFonts w:ascii="Times New Roman" w:eastAsia="Times New Roman" w:hAnsi="Times New Roman"/>
          <w:color w:val="0000FF"/>
          <w:sz w:val="24"/>
          <w:szCs w:val="24"/>
        </w:rPr>
        <w:fldChar w:fldCharType="end"/>
      </w:r>
      <w:r w:rsidR="0084620C">
        <w:rPr>
          <w:rFonts w:ascii="Times New Roman" w:eastAsia="Times New Roman" w:hAnsi="Times New Roman"/>
          <w:color w:val="0000FF"/>
          <w:sz w:val="24"/>
          <w:szCs w:val="24"/>
        </w:rPr>
        <w:fldChar w:fldCharType="end"/>
      </w:r>
      <w:r w:rsidR="00007BE4">
        <w:rPr>
          <w:rFonts w:ascii="Times New Roman" w:eastAsia="Times New Roman" w:hAnsi="Times New Roman"/>
          <w:color w:val="0000FF"/>
          <w:sz w:val="24"/>
          <w:szCs w:val="24"/>
        </w:rPr>
        <w:fldChar w:fldCharType="end"/>
      </w:r>
      <w:r w:rsidR="00F54398">
        <w:rPr>
          <w:rFonts w:ascii="Times New Roman" w:eastAsia="Times New Roman" w:hAnsi="Times New Roman"/>
          <w:color w:val="0000FF"/>
          <w:sz w:val="24"/>
          <w:szCs w:val="24"/>
        </w:rPr>
        <w:fldChar w:fldCharType="end"/>
      </w:r>
      <w:r w:rsidR="00F54398">
        <w:rPr>
          <w:rFonts w:ascii="Times New Roman" w:eastAsia="Times New Roman" w:hAnsi="Times New Roman"/>
          <w:color w:val="0000FF"/>
          <w:sz w:val="24"/>
          <w:szCs w:val="24"/>
        </w:rPr>
        <w:fldChar w:fldCharType="end"/>
      </w:r>
      <w:r w:rsidR="00F54398" w:rsidRPr="00185FE1">
        <w:rPr>
          <w:rFonts w:ascii="Times New Roman" w:eastAsia="Times New Roman" w:hAnsi="Times New Roman"/>
          <w:color w:val="0000FF"/>
          <w:sz w:val="24"/>
          <w:szCs w:val="24"/>
        </w:rPr>
        <w:fldChar w:fldCharType="end"/>
      </w:r>
    </w:p>
    <w:p w14:paraId="0F1738D6" w14:textId="43387820" w:rsidR="00F54398" w:rsidRDefault="00F54398" w:rsidP="00F54398">
      <w:pPr>
        <w:rPr>
          <w:rFonts w:cs="Arial"/>
          <w:szCs w:val="22"/>
        </w:rPr>
      </w:pPr>
    </w:p>
    <w:p w14:paraId="5C39891E" w14:textId="7A76AA72" w:rsidR="00F54398" w:rsidRPr="00B70422" w:rsidRDefault="00F54398" w:rsidP="00F54398">
      <w:pPr>
        <w:rPr>
          <w:rFonts w:cs="Arial"/>
          <w:szCs w:val="22"/>
        </w:rPr>
      </w:pPr>
      <w:r w:rsidRPr="00B70422">
        <w:rPr>
          <w:rFonts w:cs="Arial"/>
          <w:szCs w:val="22"/>
        </w:rPr>
        <w:t xml:space="preserve">We have identified patients scheduled to see you next week who may benefit from a Serious Illness Conversation. </w:t>
      </w:r>
      <w:r w:rsidRPr="00820A2D">
        <w:rPr>
          <w:rFonts w:cs="Arial"/>
          <w:szCs w:val="22"/>
          <w:u w:val="single"/>
        </w:rPr>
        <w:t>Click here</w:t>
      </w:r>
      <w:r w:rsidRPr="00B70422">
        <w:rPr>
          <w:rFonts w:cs="Arial"/>
          <w:szCs w:val="22"/>
        </w:rPr>
        <w:t xml:space="preserve"> to view your list (you must be connected to the UPHS network).</w:t>
      </w:r>
    </w:p>
    <w:p w14:paraId="264E3993" w14:textId="77777777" w:rsidR="00F54398" w:rsidRDefault="00F54398" w:rsidP="00F54398">
      <w:pPr>
        <w:rPr>
          <w:rFonts w:cs="Arial"/>
          <w:szCs w:val="22"/>
        </w:rPr>
      </w:pPr>
    </w:p>
    <w:p w14:paraId="22038D54" w14:textId="5484BC42" w:rsidR="00F54398" w:rsidRPr="00B70422" w:rsidRDefault="00F54398" w:rsidP="00F54398">
      <w:pPr>
        <w:rPr>
          <w:rFonts w:cs="Arial"/>
          <w:szCs w:val="22"/>
        </w:rPr>
      </w:pPr>
      <w:r w:rsidRPr="00B70422">
        <w:rPr>
          <w:rFonts w:cs="Arial"/>
          <w:szCs w:val="22"/>
        </w:rPr>
        <w:t>Sincerely,</w:t>
      </w:r>
    </w:p>
    <w:p w14:paraId="7D518995" w14:textId="21E4B457" w:rsidR="00F54398" w:rsidRPr="00B70422" w:rsidRDefault="00F54398" w:rsidP="00F54398">
      <w:pPr>
        <w:rPr>
          <w:rFonts w:cs="Arial"/>
          <w:szCs w:val="22"/>
        </w:rPr>
      </w:pPr>
    </w:p>
    <w:p w14:paraId="1D329BB5" w14:textId="77777777" w:rsidR="007D2A3A" w:rsidRDefault="007D2A3A" w:rsidP="00F54398">
      <w:pPr>
        <w:rPr>
          <w:rFonts w:cs="Arial"/>
          <w:szCs w:val="22"/>
        </w:rPr>
      </w:pPr>
      <w:r w:rsidRPr="007D2A3A">
        <w:rPr>
          <w:rFonts w:cs="Arial"/>
          <w:szCs w:val="22"/>
        </w:rPr>
        <w:t>[Abramson Cancer Center Leadership]</w:t>
      </w:r>
    </w:p>
    <w:p w14:paraId="29BB3068" w14:textId="2795D9C1" w:rsidR="00F54398" w:rsidRDefault="00F54398" w:rsidP="00F54398">
      <w:pPr>
        <w:rPr>
          <w:rFonts w:cs="Arial"/>
          <w:i/>
          <w:szCs w:val="22"/>
        </w:rPr>
      </w:pPr>
    </w:p>
    <w:p w14:paraId="0F27DBD5" w14:textId="77777777" w:rsidR="00F959BD" w:rsidRDefault="00F959BD" w:rsidP="00F959BD">
      <w:pPr>
        <w:rPr>
          <w:rFonts w:cs="Arial"/>
          <w:i/>
          <w:szCs w:val="22"/>
        </w:rPr>
      </w:pPr>
      <w:r>
        <w:rPr>
          <w:rFonts w:cs="Arial"/>
          <w:i/>
          <w:szCs w:val="22"/>
        </w:rPr>
        <w:lastRenderedPageBreak/>
        <w:t>Sample provider text content (All Arms)</w:t>
      </w:r>
    </w:p>
    <w:p w14:paraId="07293FEB" w14:textId="77777777" w:rsidR="00F959BD" w:rsidRDefault="00F959BD" w:rsidP="00F959BD">
      <w:pPr>
        <w:rPr>
          <w:rFonts w:cs="Arial"/>
          <w:szCs w:val="22"/>
        </w:rPr>
      </w:pPr>
    </w:p>
    <w:p w14:paraId="5485BD10" w14:textId="77777777" w:rsidR="00F959BD" w:rsidRPr="00C11B1A" w:rsidRDefault="00F959BD" w:rsidP="00F959BD">
      <w:pPr>
        <w:rPr>
          <w:rFonts w:cs="Arial"/>
          <w:szCs w:val="22"/>
        </w:rPr>
      </w:pPr>
      <w:r w:rsidRPr="00C11B1A">
        <w:rPr>
          <w:rFonts w:cs="Arial"/>
          <w:szCs w:val="22"/>
        </w:rPr>
        <w:t>The following patients may be appropriate for a Serious Illness Con</w:t>
      </w:r>
      <w:r>
        <w:rPr>
          <w:rFonts w:cs="Arial"/>
          <w:szCs w:val="22"/>
        </w:rPr>
        <w:t>versation:</w:t>
      </w:r>
    </w:p>
    <w:p w14:paraId="29B2EC79" w14:textId="77777777" w:rsidR="00F959BD" w:rsidRPr="00C11B1A" w:rsidRDefault="00F959BD" w:rsidP="00F959BD">
      <w:pPr>
        <w:rPr>
          <w:rFonts w:cs="Arial"/>
          <w:szCs w:val="22"/>
        </w:rPr>
      </w:pPr>
      <w:r w:rsidRPr="00C11B1A">
        <w:rPr>
          <w:rFonts w:cs="Arial"/>
          <w:szCs w:val="22"/>
        </w:rPr>
        <w:tab/>
        <w:t>A.B.</w:t>
      </w:r>
      <w:r w:rsidRPr="00C11B1A">
        <w:rPr>
          <w:rFonts w:cs="Arial"/>
          <w:szCs w:val="22"/>
        </w:rPr>
        <w:tab/>
        <w:t>10 AM</w:t>
      </w:r>
    </w:p>
    <w:p w14:paraId="5026B9BE" w14:textId="77777777" w:rsidR="00F959BD" w:rsidRPr="00AA0469" w:rsidRDefault="00F959BD" w:rsidP="00F959BD">
      <w:pPr>
        <w:rPr>
          <w:rFonts w:cs="Arial"/>
          <w:szCs w:val="22"/>
        </w:rPr>
      </w:pPr>
      <w:r w:rsidRPr="00C11B1A">
        <w:rPr>
          <w:rFonts w:cs="Arial"/>
          <w:szCs w:val="22"/>
        </w:rPr>
        <w:tab/>
        <w:t>B.C.</w:t>
      </w:r>
      <w:r w:rsidRPr="00C11B1A">
        <w:rPr>
          <w:rFonts w:cs="Arial"/>
          <w:szCs w:val="22"/>
        </w:rPr>
        <w:tab/>
        <w:t>11 AM</w:t>
      </w:r>
    </w:p>
    <w:p w14:paraId="65D55475" w14:textId="721DAF58" w:rsidR="00F959BD" w:rsidRDefault="00F959BD" w:rsidP="0035453F">
      <w:pPr>
        <w:rPr>
          <w:rFonts w:cs="Arial"/>
          <w:i/>
          <w:szCs w:val="22"/>
        </w:rPr>
      </w:pPr>
    </w:p>
    <w:p w14:paraId="3F1B4DF0" w14:textId="4FAFDD16" w:rsidR="00AA0469" w:rsidRPr="00E56542" w:rsidRDefault="00AA0469" w:rsidP="00E56542">
      <w:pPr>
        <w:rPr>
          <w:rFonts w:cs="Arial"/>
          <w:szCs w:val="22"/>
        </w:rPr>
      </w:pPr>
    </w:p>
    <w:p w14:paraId="1F068927" w14:textId="4EC7E57E" w:rsidR="001726E1" w:rsidRPr="001726E1" w:rsidRDefault="001726E1" w:rsidP="001726E1">
      <w:pPr>
        <w:pStyle w:val="ListParagraph"/>
        <w:numPr>
          <w:ilvl w:val="0"/>
          <w:numId w:val="40"/>
        </w:numPr>
        <w:ind w:left="360"/>
        <w:rPr>
          <w:rFonts w:cs="Arial"/>
          <w:b/>
          <w:i/>
          <w:szCs w:val="22"/>
        </w:rPr>
      </w:pPr>
      <w:r>
        <w:rPr>
          <w:rFonts w:cs="Arial"/>
          <w:b/>
          <w:i/>
          <w:szCs w:val="22"/>
        </w:rPr>
        <w:t>Sample Patient Nudge</w:t>
      </w:r>
    </w:p>
    <w:p w14:paraId="34D4A219" w14:textId="77777777" w:rsidR="001726E1" w:rsidRDefault="001726E1" w:rsidP="001726E1">
      <w:pPr>
        <w:ind w:left="360"/>
        <w:rPr>
          <w:rFonts w:cs="Arial"/>
          <w:b/>
          <w:szCs w:val="22"/>
        </w:rPr>
      </w:pPr>
    </w:p>
    <w:p w14:paraId="51C74757" w14:textId="1FB56633" w:rsidR="00E56542" w:rsidRDefault="001726E1" w:rsidP="00FF3C92">
      <w:pPr>
        <w:rPr>
          <w:rFonts w:cs="Arial"/>
          <w:szCs w:val="22"/>
        </w:rPr>
      </w:pPr>
      <w:r>
        <w:rPr>
          <w:rFonts w:cs="Arial"/>
          <w:i/>
          <w:szCs w:val="22"/>
        </w:rPr>
        <w:t>Sample timeline of patient nudge deployment</w:t>
      </w:r>
    </w:p>
    <w:p w14:paraId="3E7E5C88" w14:textId="77777777" w:rsidR="00D5049A" w:rsidRDefault="00D5049A" w:rsidP="00D5049A">
      <w:pPr>
        <w:ind w:left="360"/>
        <w:rPr>
          <w:rFonts w:cs="Arial"/>
          <w:szCs w:val="22"/>
        </w:rPr>
      </w:pPr>
    </w:p>
    <w:p w14:paraId="7CFCEDA3" w14:textId="2B0E0950" w:rsidR="00D5049A" w:rsidRPr="00D5049A" w:rsidRDefault="00D5049A" w:rsidP="00D5049A">
      <w:pPr>
        <w:ind w:left="360"/>
        <w:rPr>
          <w:rFonts w:cs="Arial"/>
          <w:szCs w:val="22"/>
        </w:rPr>
      </w:pPr>
      <w:r>
        <w:rPr>
          <w:rFonts w:cs="Arial"/>
          <w:szCs w:val="22"/>
        </w:rPr>
        <w:t>Week 1</w:t>
      </w:r>
    </w:p>
    <w:p w14:paraId="71864668" w14:textId="767FFC8A" w:rsidR="00E56542" w:rsidRPr="00F54398" w:rsidRDefault="00E56542">
      <w:pPr>
        <w:pStyle w:val="ListParagraph"/>
        <w:numPr>
          <w:ilvl w:val="0"/>
          <w:numId w:val="41"/>
        </w:numPr>
        <w:rPr>
          <w:rFonts w:cs="Arial"/>
          <w:szCs w:val="22"/>
        </w:rPr>
      </w:pPr>
      <w:r w:rsidRPr="00E56542">
        <w:rPr>
          <w:rFonts w:cs="Arial"/>
          <w:szCs w:val="22"/>
        </w:rPr>
        <w:t>Thursday</w:t>
      </w:r>
      <w:r w:rsidR="005C57CF">
        <w:rPr>
          <w:rFonts w:cs="Arial"/>
          <w:szCs w:val="22"/>
        </w:rPr>
        <w:t xml:space="preserve">: </w:t>
      </w:r>
      <w:r w:rsidRPr="00F54398">
        <w:rPr>
          <w:rFonts w:cs="Arial"/>
          <w:szCs w:val="22"/>
        </w:rPr>
        <w:t>Eligible patients identified via machine learning algorithm</w:t>
      </w:r>
    </w:p>
    <w:p w14:paraId="599EDDD8" w14:textId="279E4F1E" w:rsidR="00E56542" w:rsidRPr="005C57CF" w:rsidRDefault="00E56542" w:rsidP="001D1825">
      <w:pPr>
        <w:pStyle w:val="ListParagraph"/>
      </w:pPr>
      <w:r>
        <w:rPr>
          <w:rFonts w:cs="Arial"/>
          <w:szCs w:val="22"/>
        </w:rPr>
        <w:t xml:space="preserve">Friday: </w:t>
      </w:r>
      <w:r w:rsidRPr="00F54398">
        <w:rPr>
          <w:rFonts w:cs="Arial"/>
          <w:szCs w:val="22"/>
        </w:rPr>
        <w:t>Patient-level randomization</w:t>
      </w:r>
      <w:r w:rsidR="005C57CF" w:rsidRPr="00F54398">
        <w:rPr>
          <w:rFonts w:cs="Arial"/>
          <w:szCs w:val="22"/>
        </w:rPr>
        <w:t xml:space="preserve">; </w:t>
      </w:r>
      <w:r w:rsidRPr="005C57CF">
        <w:t xml:space="preserve">Patient nudges delivered </w:t>
      </w:r>
    </w:p>
    <w:p w14:paraId="223DFC1C" w14:textId="1FF62A9D" w:rsidR="00D5049A" w:rsidRPr="00D5049A" w:rsidRDefault="00D5049A" w:rsidP="00D5049A">
      <w:pPr>
        <w:ind w:left="360"/>
        <w:rPr>
          <w:rFonts w:cs="Arial"/>
          <w:szCs w:val="22"/>
        </w:rPr>
      </w:pPr>
      <w:r>
        <w:rPr>
          <w:rFonts w:cs="Arial"/>
          <w:szCs w:val="22"/>
        </w:rPr>
        <w:t>Week 2</w:t>
      </w:r>
    </w:p>
    <w:p w14:paraId="4DD69F13" w14:textId="5C63DD52" w:rsidR="00E56542" w:rsidRPr="00E56542" w:rsidRDefault="00E56542" w:rsidP="00E56542">
      <w:pPr>
        <w:pStyle w:val="ListParagraph"/>
        <w:numPr>
          <w:ilvl w:val="0"/>
          <w:numId w:val="41"/>
        </w:numPr>
        <w:rPr>
          <w:rFonts w:cs="Arial"/>
          <w:szCs w:val="22"/>
        </w:rPr>
      </w:pPr>
      <w:r>
        <w:rPr>
          <w:rFonts w:cs="Arial"/>
          <w:szCs w:val="22"/>
        </w:rPr>
        <w:t>Monday-Friday: Index repeat patient visit (RPV)</w:t>
      </w:r>
    </w:p>
    <w:p w14:paraId="208F35CE" w14:textId="21759611" w:rsidR="001726E1" w:rsidRDefault="001726E1" w:rsidP="00FF3C92">
      <w:pPr>
        <w:rPr>
          <w:rFonts w:cs="Arial"/>
          <w:i/>
          <w:szCs w:val="22"/>
        </w:rPr>
      </w:pPr>
    </w:p>
    <w:p w14:paraId="33A8AECB" w14:textId="4BFCF7D2" w:rsidR="000E3F4D" w:rsidRDefault="000E3F4D" w:rsidP="00FF3C92">
      <w:pPr>
        <w:rPr>
          <w:rFonts w:cs="Arial"/>
          <w:i/>
          <w:szCs w:val="22"/>
        </w:rPr>
      </w:pPr>
      <w:r>
        <w:rPr>
          <w:rFonts w:cs="Arial"/>
          <w:i/>
          <w:szCs w:val="22"/>
        </w:rPr>
        <w:t>Sample text</w:t>
      </w:r>
      <w:r w:rsidR="00F54398">
        <w:rPr>
          <w:rFonts w:cs="Arial"/>
          <w:i/>
          <w:szCs w:val="22"/>
        </w:rPr>
        <w:t>s</w:t>
      </w:r>
      <w:r>
        <w:rPr>
          <w:rFonts w:cs="Arial"/>
          <w:i/>
          <w:szCs w:val="22"/>
        </w:rPr>
        <w:t xml:space="preserve"> </w:t>
      </w:r>
    </w:p>
    <w:p w14:paraId="0F4F21DD" w14:textId="09D51CFA" w:rsidR="000E3F4D" w:rsidRDefault="000E3F4D" w:rsidP="00FF3C92">
      <w:pPr>
        <w:rPr>
          <w:rFonts w:cs="Arial"/>
          <w:szCs w:val="22"/>
        </w:rPr>
      </w:pPr>
    </w:p>
    <w:p w14:paraId="72F65041" w14:textId="31A6B170" w:rsidR="00C23E3A" w:rsidRPr="001D1825" w:rsidRDefault="001C0B0C" w:rsidP="000E3F4D">
      <w:pPr>
        <w:rPr>
          <w:rFonts w:cs="Arial"/>
          <w:szCs w:val="22"/>
        </w:rPr>
      </w:pPr>
      <w:r>
        <w:rPr>
          <w:rFonts w:cs="Arial"/>
          <w:noProof/>
          <w:szCs w:val="22"/>
        </w:rPr>
        <mc:AlternateContent>
          <mc:Choice Requires="wps">
            <w:drawing>
              <wp:anchor distT="0" distB="0" distL="114300" distR="114300" simplePos="0" relativeHeight="251659264" behindDoc="0" locked="0" layoutInCell="1" allowOverlap="1" wp14:anchorId="4E801BEB" wp14:editId="2200CE19">
                <wp:simplePos x="0" y="0"/>
                <wp:positionH relativeFrom="column">
                  <wp:posOffset>106108</wp:posOffset>
                </wp:positionH>
                <wp:positionV relativeFrom="paragraph">
                  <wp:posOffset>676338</wp:posOffset>
                </wp:positionV>
                <wp:extent cx="615898" cy="98241"/>
                <wp:effectExtent l="0" t="0" r="0" b="0"/>
                <wp:wrapNone/>
                <wp:docPr id="5" name="Rectangle 5"/>
                <wp:cNvGraphicFramePr/>
                <a:graphic xmlns:a="http://schemas.openxmlformats.org/drawingml/2006/main">
                  <a:graphicData uri="http://schemas.microsoft.com/office/word/2010/wordprocessingShape">
                    <wps:wsp>
                      <wps:cNvSpPr/>
                      <wps:spPr>
                        <a:xfrm>
                          <a:off x="0" y="0"/>
                          <a:ext cx="615898" cy="98241"/>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EA50113" id="Rectangle 5" o:spid="_x0000_s1026" style="position:absolute;margin-left:8.35pt;margin-top:53.25pt;width:48.5pt;height:7.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" fillcolor="black [3213]" stroked="f" strokeweight="1pt"/>
            </w:pict>
          </mc:Fallback>
        </mc:AlternateContent>
      </w:r>
      <w:r w:rsidR="005C5F45">
        <w:rPr>
          <w:rFonts w:cs="Arial"/>
          <w:szCs w:val="22"/>
        </w:rPr>
        <w:pict w14:anchorId="63A6EC67">
          <v:shape id="_x0000_i1026" type="#_x0000_t75" style="width:134pt;height:154pt">
            <v:imagedata r:id="rId12" o:title="14 (2)"/>
          </v:shape>
        </w:pict>
      </w:r>
    </w:p>
    <w:p w14:paraId="29AF954E" w14:textId="699CE7F8" w:rsidR="000E3F4D" w:rsidRDefault="000E3F4D" w:rsidP="00FF3C92">
      <w:pPr>
        <w:rPr>
          <w:rFonts w:cs="Arial"/>
          <w:szCs w:val="22"/>
        </w:rPr>
      </w:pPr>
    </w:p>
    <w:p w14:paraId="1E484655" w14:textId="44F007D7" w:rsidR="001C0B0C" w:rsidRDefault="001C0B0C" w:rsidP="00FF3C92">
      <w:pPr>
        <w:rPr>
          <w:rFonts w:cs="Arial"/>
          <w:szCs w:val="22"/>
        </w:rPr>
      </w:pPr>
      <w:r>
        <w:rPr>
          <w:rFonts w:cs="Arial"/>
          <w:noProof/>
          <w:szCs w:val="22"/>
        </w:rPr>
        <mc:AlternateContent>
          <mc:Choice Requires="wps">
            <w:drawing>
              <wp:anchor distT="0" distB="0" distL="114300" distR="114300" simplePos="0" relativeHeight="251661312" behindDoc="0" locked="0" layoutInCell="1" allowOverlap="1" wp14:anchorId="0F6A6080" wp14:editId="66ED3EEA">
                <wp:simplePos x="0" y="0"/>
                <wp:positionH relativeFrom="margin">
                  <wp:posOffset>228028</wp:posOffset>
                </wp:positionH>
                <wp:positionV relativeFrom="paragraph">
                  <wp:posOffset>284574</wp:posOffset>
                </wp:positionV>
                <wp:extent cx="283389" cy="94462"/>
                <wp:effectExtent l="0" t="0" r="2540" b="1270"/>
                <wp:wrapNone/>
                <wp:docPr id="6" name="Rectangle 6"/>
                <wp:cNvGraphicFramePr/>
                <a:graphic xmlns:a="http://schemas.openxmlformats.org/drawingml/2006/main">
                  <a:graphicData uri="http://schemas.microsoft.com/office/word/2010/wordprocessingShape">
                    <wps:wsp>
                      <wps:cNvSpPr/>
                      <wps:spPr>
                        <a:xfrm>
                          <a:off x="0" y="0"/>
                          <a:ext cx="283389" cy="94462"/>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E725E59" id="Rectangle 6" o:spid="_x0000_s1026" style="position:absolute;margin-left:17.95pt;margin-top:22.4pt;width:22.3pt;height:7.4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" fillcolor="black [3213]" stroked="f" strokeweight="1pt">
                <w10:wrap anchorx="margin"/>
              </v:rect>
            </w:pict>
          </mc:Fallback>
        </mc:AlternateContent>
      </w:r>
      <w:r w:rsidR="005C5F45">
        <w:rPr>
          <w:rFonts w:cs="Arial"/>
          <w:szCs w:val="22"/>
        </w:rPr>
        <w:pict w14:anchorId="70D382CC">
          <v:shape id="_x0000_i1027" type="#_x0000_t75" style="width:123pt;height:123.5pt">
            <v:imagedata r:id="rId13" o:title="15 (2)"/>
          </v:shape>
        </w:pict>
      </w:r>
    </w:p>
    <w:p w14:paraId="2AA7AAB4" w14:textId="05607B88" w:rsidR="00C23E3A" w:rsidRDefault="00C23E3A" w:rsidP="00FF3C92">
      <w:pPr>
        <w:rPr>
          <w:rFonts w:cs="Arial"/>
          <w:i/>
          <w:szCs w:val="22"/>
        </w:rPr>
      </w:pPr>
    </w:p>
    <w:p w14:paraId="4181FDA0" w14:textId="10840060" w:rsidR="000E3F4D" w:rsidRPr="001D1825" w:rsidRDefault="000E3F4D" w:rsidP="00FF3C92">
      <w:pPr>
        <w:rPr>
          <w:rFonts w:cs="Arial"/>
          <w:i/>
          <w:szCs w:val="22"/>
        </w:rPr>
      </w:pPr>
      <w:r>
        <w:rPr>
          <w:rFonts w:cs="Arial"/>
          <w:i/>
          <w:szCs w:val="22"/>
        </w:rPr>
        <w:t xml:space="preserve">Sample email  </w:t>
      </w:r>
    </w:p>
    <w:p w14:paraId="16DAB121" w14:textId="3542D503" w:rsidR="00C23E3A" w:rsidRDefault="001C0B0C" w:rsidP="00FF3C92">
      <w:pPr>
        <w:rPr>
          <w:rFonts w:cs="Arial"/>
          <w:szCs w:val="22"/>
        </w:rPr>
      </w:pPr>
      <w:r>
        <w:rPr>
          <w:rFonts w:cs="Arial"/>
          <w:noProof/>
          <w:szCs w:val="22"/>
        </w:rPr>
        <w:lastRenderedPageBreak/>
        <mc:AlternateContent>
          <mc:Choice Requires="wps">
            <w:drawing>
              <wp:anchor distT="0" distB="0" distL="114300" distR="114300" simplePos="0" relativeHeight="251665408" behindDoc="0" locked="0" layoutInCell="1" allowOverlap="1" wp14:anchorId="59B0478B" wp14:editId="793D76BA">
                <wp:simplePos x="0" y="0"/>
                <wp:positionH relativeFrom="margin">
                  <wp:posOffset>398780</wp:posOffset>
                </wp:positionH>
                <wp:positionV relativeFrom="paragraph">
                  <wp:posOffset>1451610</wp:posOffset>
                </wp:positionV>
                <wp:extent cx="285750" cy="109220"/>
                <wp:effectExtent l="0" t="0" r="0" b="5080"/>
                <wp:wrapNone/>
                <wp:docPr id="9" name="Rectangle 9"/>
                <wp:cNvGraphicFramePr/>
                <a:graphic xmlns:a="http://schemas.openxmlformats.org/drawingml/2006/main">
                  <a:graphicData uri="http://schemas.microsoft.com/office/word/2010/wordprocessingShape">
                    <wps:wsp>
                      <wps:cNvSpPr/>
                      <wps:spPr>
                        <a:xfrm>
                          <a:off x="0" y="0"/>
                          <a:ext cx="285750" cy="10922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CCBD59" id="Rectangle 9" o:spid="_x0000_s1026" style="position:absolute;margin-left:31.4pt;margin-top:114.3pt;width:22.5pt;height:8.6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" fillcolor="black [3213]" stroked="f" strokeweight="1pt">
                <w10:wrap anchorx="margin"/>
              </v:rect>
            </w:pict>
          </mc:Fallback>
        </mc:AlternateContent>
      </w:r>
      <w:r w:rsidR="005C5F45">
        <w:rPr>
          <w:rFonts w:cs="Arial"/>
          <w:szCs w:val="22"/>
        </w:rPr>
        <w:pict w14:anchorId="507A54C7">
          <v:shape id="_x0000_i1028" type="#_x0000_t75" style="width:174.5pt;height:243.5pt">
            <v:imagedata r:id="rId14" o:title="16 (2)"/>
          </v:shape>
        </w:pict>
      </w:r>
    </w:p>
    <w:p w14:paraId="28371D6D" w14:textId="77777777" w:rsidR="00886348" w:rsidRDefault="00886348" w:rsidP="00FF3C92">
      <w:pPr>
        <w:rPr>
          <w:rFonts w:cs="Arial"/>
          <w:i/>
          <w:szCs w:val="22"/>
        </w:rPr>
      </w:pPr>
    </w:p>
    <w:p w14:paraId="6C79BB69" w14:textId="77777777" w:rsidR="0028423A" w:rsidRDefault="0028423A" w:rsidP="00FF3C92">
      <w:pPr>
        <w:rPr>
          <w:rFonts w:cs="Arial"/>
          <w:i/>
          <w:szCs w:val="22"/>
        </w:rPr>
      </w:pPr>
    </w:p>
    <w:p w14:paraId="303866D5" w14:textId="77777777" w:rsidR="0028423A" w:rsidRDefault="0028423A" w:rsidP="00FF3C92">
      <w:pPr>
        <w:rPr>
          <w:rFonts w:cs="Arial"/>
          <w:i/>
          <w:szCs w:val="22"/>
        </w:rPr>
      </w:pPr>
    </w:p>
    <w:p w14:paraId="38BD80BF" w14:textId="77777777" w:rsidR="0028423A" w:rsidRDefault="0028423A" w:rsidP="00FF3C92">
      <w:pPr>
        <w:rPr>
          <w:rFonts w:cs="Arial"/>
          <w:i/>
          <w:szCs w:val="22"/>
        </w:rPr>
      </w:pPr>
    </w:p>
    <w:p w14:paraId="047A17EA" w14:textId="77777777" w:rsidR="0028423A" w:rsidRDefault="0028423A" w:rsidP="00FF3C92">
      <w:pPr>
        <w:rPr>
          <w:rFonts w:cs="Arial"/>
          <w:i/>
          <w:szCs w:val="22"/>
        </w:rPr>
      </w:pPr>
    </w:p>
    <w:p w14:paraId="4C33E67F" w14:textId="7CEBFDF2" w:rsidR="00E56542" w:rsidRDefault="00E56542" w:rsidP="00FF3C92">
      <w:pPr>
        <w:rPr>
          <w:rFonts w:cs="Arial"/>
          <w:i/>
          <w:szCs w:val="22"/>
        </w:rPr>
      </w:pPr>
      <w:r>
        <w:rPr>
          <w:rFonts w:cs="Arial"/>
          <w:i/>
          <w:szCs w:val="22"/>
        </w:rPr>
        <w:t xml:space="preserve">Sample electronic patient </w:t>
      </w:r>
      <w:r w:rsidR="00D5049A">
        <w:rPr>
          <w:rFonts w:cs="Arial"/>
          <w:i/>
          <w:szCs w:val="22"/>
        </w:rPr>
        <w:t>questionnaire</w:t>
      </w:r>
    </w:p>
    <w:p w14:paraId="3934DC16" w14:textId="77777777" w:rsidR="007F6A13" w:rsidRDefault="007F6A13" w:rsidP="00FF3C92">
      <w:pPr>
        <w:rPr>
          <w:rFonts w:cs="Arial"/>
          <w:szCs w:val="22"/>
        </w:rPr>
      </w:pPr>
    </w:p>
    <w:p w14:paraId="00A2A249" w14:textId="5B90A342" w:rsidR="0065292A" w:rsidRDefault="0065292A" w:rsidP="007F6A13">
      <w:pPr>
        <w:rPr>
          <w:rFonts w:cs="Arial"/>
          <w:b/>
          <w:sz w:val="20"/>
        </w:rPr>
      </w:pPr>
    </w:p>
    <w:p w14:paraId="7FE102D8" w14:textId="4D9695D6" w:rsidR="0065292A" w:rsidRDefault="00D86764" w:rsidP="007F6A13">
      <w:pPr>
        <w:rPr>
          <w:rFonts w:cs="Arial"/>
          <w:b/>
          <w:sz w:val="20"/>
        </w:rPr>
      </w:pPr>
      <w:r>
        <w:rPr>
          <w:rFonts w:cs="Arial"/>
          <w:noProof/>
          <w:sz w:val="20"/>
        </w:rPr>
        <w:drawing>
          <wp:inline distT="0" distB="0" distL="0" distR="0" wp14:anchorId="1D1D4D91" wp14:editId="2A6406AE">
            <wp:extent cx="2144691" cy="3294863"/>
            <wp:effectExtent l="0" t="0" r="8255" b="1270"/>
            <wp:docPr id="10" name="Picture 10" descr="C:\Users\tasnims\AppData\Local\Microsoft\Windows\INetCache\Content.Word\3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tasnims\AppData\Local\Microsoft\Windows\INetCache\Content.Word\3 (2).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47744" cy="3299554"/>
                    </a:xfrm>
                    <a:prstGeom prst="rect">
                      <a:avLst/>
                    </a:prstGeom>
                    <a:noFill/>
                    <a:ln>
                      <a:noFill/>
                    </a:ln>
                  </pic:spPr>
                </pic:pic>
              </a:graphicData>
            </a:graphic>
          </wp:inline>
        </w:drawing>
      </w:r>
    </w:p>
    <w:p w14:paraId="62FAB87E" w14:textId="2023EBE4" w:rsidR="007F6A13" w:rsidRPr="004C4498" w:rsidRDefault="007F6A13" w:rsidP="007F6A13">
      <w:pPr>
        <w:rPr>
          <w:rFonts w:cs="Arial"/>
          <w:sz w:val="20"/>
        </w:rPr>
      </w:pPr>
    </w:p>
    <w:p w14:paraId="6FAF4784" w14:textId="20E53256" w:rsidR="00E56542" w:rsidRPr="00E56542" w:rsidRDefault="00D86764" w:rsidP="00FF3C92">
      <w:pPr>
        <w:rPr>
          <w:rFonts w:cs="Arial"/>
          <w:szCs w:val="22"/>
        </w:rPr>
      </w:pPr>
      <w:r>
        <w:rPr>
          <w:rFonts w:cs="Arial"/>
          <w:noProof/>
          <w:sz w:val="20"/>
        </w:rPr>
        <w:lastRenderedPageBreak/>
        <w:drawing>
          <wp:inline distT="0" distB="0" distL="0" distR="0" wp14:anchorId="13C8DA6C" wp14:editId="4ABA0E65">
            <wp:extent cx="2124597" cy="3479165"/>
            <wp:effectExtent l="0" t="0" r="9525" b="6985"/>
            <wp:docPr id="11" name="Picture 11" descr="C:\Users\tasnims\AppData\Local\Microsoft\Windows\INetCache\Content.Word\4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tasnims\AppData\Local\Microsoft\Windows\INetCache\Content.Word\4 (2).png"/>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1616"/>
                    <a:stretch/>
                  </pic:blipFill>
                  <pic:spPr bwMode="auto">
                    <a:xfrm>
                      <a:off x="0" y="0"/>
                      <a:ext cx="2135699" cy="3497345"/>
                    </a:xfrm>
                    <a:prstGeom prst="rect">
                      <a:avLst/>
                    </a:prstGeom>
                    <a:noFill/>
                    <a:ln>
                      <a:noFill/>
                    </a:ln>
                    <a:extLst>
                      <a:ext uri="{53640926-AAD7-44D8-BBD7-CCE9431645EC}">
                        <a14:shadowObscured xmlns:a14="http://schemas.microsoft.com/office/drawing/2010/main"/>
                      </a:ext>
                    </a:extLst>
                  </pic:spPr>
                </pic:pic>
              </a:graphicData>
            </a:graphic>
          </wp:inline>
        </w:drawing>
      </w:r>
    </w:p>
    <w:p w14:paraId="74AC7CEE" w14:textId="350B3313" w:rsidR="001726E1" w:rsidRDefault="001726E1" w:rsidP="00FF3C92">
      <w:pPr>
        <w:rPr>
          <w:rFonts w:cs="Arial"/>
          <w:i/>
          <w:szCs w:val="22"/>
        </w:rPr>
      </w:pPr>
    </w:p>
    <w:p w14:paraId="2B2EF356" w14:textId="19130A42" w:rsidR="001726E1" w:rsidRPr="00C354EB" w:rsidRDefault="001726E1" w:rsidP="00FF3C92">
      <w:pPr>
        <w:rPr>
          <w:rFonts w:cs="Arial"/>
          <w:b/>
          <w:szCs w:val="22"/>
        </w:rPr>
      </w:pPr>
    </w:p>
    <w:sectPr w:rsidR="001726E1" w:rsidRPr="00C354EB" w:rsidSect="00C80ACA">
      <w:headerReference w:type="default" r:id="rId17"/>
      <w:footerReference w:type="default" r:id="rId18"/>
      <w:type w:val="continuous"/>
      <w:pgSz w:w="12240" w:h="15840" w:code="1"/>
      <w:pgMar w:top="1152" w:right="1152" w:bottom="1152" w:left="1152" w:header="288" w:footer="711"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27108D" w14:textId="77777777" w:rsidR="00791C6F" w:rsidRDefault="00791C6F">
      <w:r>
        <w:separator/>
      </w:r>
    </w:p>
  </w:endnote>
  <w:endnote w:type="continuationSeparator" w:id="0">
    <w:p w14:paraId="0373C391" w14:textId="77777777" w:rsidR="00791C6F" w:rsidRDefault="00791C6F">
      <w:r>
        <w:continuationSeparator/>
      </w:r>
    </w:p>
  </w:endnote>
  <w:endnote w:type="continuationNotice" w:id="1">
    <w:p w14:paraId="3CDAB9CE" w14:textId="77777777" w:rsidR="00791C6F" w:rsidRDefault="00791C6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Courier">
    <w:panose1 w:val="02070409020205020404"/>
    <w:charset w:val="00"/>
    <w:family w:val="modern"/>
    <w:notTrueType/>
    <w:pitch w:val="fixed"/>
    <w:sig w:usb0="00000003" w:usb1="00000000" w:usb2="00000000" w:usb3="00000000" w:csb0="00000001" w:csb1="00000000"/>
  </w:font>
  <w:font w:name="Bitstream Vera Serif">
    <w:altName w:val="Times New Roman"/>
    <w:charset w:val="00"/>
    <w:family w:val="auto"/>
    <w:pitch w:val="variable"/>
  </w:font>
  <w:font w:name="Bitstream Vera Sans">
    <w:charset w:val="00"/>
    <w:family w:val="auto"/>
    <w:pitch w:val="variable"/>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8D330E" w14:textId="77777777" w:rsidR="00E430D9" w:rsidRPr="00441D01" w:rsidRDefault="00E430D9" w:rsidP="00441D01">
    <w:pPr>
      <w:pStyle w:val="Footer"/>
      <w:tabs>
        <w:tab w:val="clear" w:pos="4320"/>
        <w:tab w:val="clear" w:pos="8640"/>
        <w:tab w:val="right" w:pos="9900"/>
        <w:tab w:val="right" w:pos="10890"/>
      </w:tabs>
      <w:rPr>
        <w:sz w:val="10"/>
        <w:szCs w:val="1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EF7B081" w14:textId="77777777" w:rsidR="00791C6F" w:rsidRDefault="00791C6F">
      <w:r>
        <w:separator/>
      </w:r>
    </w:p>
  </w:footnote>
  <w:footnote w:type="continuationSeparator" w:id="0">
    <w:p w14:paraId="226A6965" w14:textId="77777777" w:rsidR="00791C6F" w:rsidRDefault="00791C6F">
      <w:r>
        <w:continuationSeparator/>
      </w:r>
    </w:p>
  </w:footnote>
  <w:footnote w:type="continuationNotice" w:id="1">
    <w:p w14:paraId="04137AA1" w14:textId="77777777" w:rsidR="00791C6F" w:rsidRDefault="00791C6F"/>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B355E73" w14:textId="57AFCAED" w:rsidR="00E430D9" w:rsidRDefault="00E430D9">
    <w:pPr>
      <w:pStyle w:val="Header"/>
      <w:tabs>
        <w:tab w:val="clear" w:pos="4320"/>
        <w:tab w:val="clear" w:pos="8640"/>
        <w:tab w:val="center" w:pos="4860"/>
      </w:tabs>
      <w:rPr>
        <w:b/>
        <w:sz w:val="18"/>
      </w:rPr>
    </w:pPr>
    <w:r>
      <w:rPr>
        <w:b/>
        <w:sz w:val="18"/>
      </w:rPr>
      <w:t>Effect of behavioral nudges on Serious Illness Conversations</w:t>
    </w:r>
  </w:p>
  <w:p w14:paraId="0D1F5C07" w14:textId="48CB8B1E" w:rsidR="00E430D9" w:rsidRPr="00B70422" w:rsidRDefault="00E430D9">
    <w:pPr>
      <w:pStyle w:val="Header"/>
      <w:tabs>
        <w:tab w:val="clear" w:pos="4320"/>
        <w:tab w:val="clear" w:pos="8640"/>
        <w:tab w:val="center" w:pos="4860"/>
      </w:tabs>
      <w:rPr>
        <w:b/>
        <w:sz w:val="18"/>
      </w:rPr>
    </w:pPr>
    <w:r>
      <w:rPr>
        <w:b/>
        <w:sz w:val="18"/>
      </w:rPr>
      <w:t>Version 3: 07-</w:t>
    </w:r>
    <w:r w:rsidR="00C60CBA">
      <w:rPr>
        <w:b/>
        <w:sz w:val="18"/>
      </w:rPr>
      <w:t>26</w:t>
    </w:r>
    <w:r>
      <w:rPr>
        <w:b/>
        <w:sz w:val="18"/>
      </w:rPr>
      <w:t>-2021</w:t>
    </w:r>
    <w:r w:rsidRPr="0077425A">
      <w:rPr>
        <w:b/>
        <w:sz w:val="18"/>
      </w:rPr>
      <w:ptab w:relativeTo="margin" w:alignment="right" w:leader="none"/>
    </w:r>
    <w:r>
      <w:rPr>
        <w:b/>
        <w:sz w:val="18"/>
      </w:rPr>
      <w:t xml:space="preserve">Page </w:t>
    </w:r>
    <w:r w:rsidRPr="0077425A">
      <w:rPr>
        <w:b/>
        <w:sz w:val="18"/>
      </w:rPr>
      <w:fldChar w:fldCharType="begin"/>
    </w:r>
    <w:r w:rsidRPr="0077425A">
      <w:rPr>
        <w:b/>
        <w:sz w:val="18"/>
      </w:rPr>
      <w:instrText xml:space="preserve"> PAGE   \* MERGEFORMAT </w:instrText>
    </w:r>
    <w:r w:rsidRPr="0077425A">
      <w:rPr>
        <w:b/>
        <w:sz w:val="18"/>
      </w:rPr>
      <w:fldChar w:fldCharType="separate"/>
    </w:r>
    <w:r w:rsidR="005C5F45">
      <w:rPr>
        <w:b/>
        <w:noProof/>
        <w:sz w:val="18"/>
      </w:rPr>
      <w:t>18</w:t>
    </w:r>
    <w:r w:rsidRPr="0077425A">
      <w:rPr>
        <w:b/>
        <w:noProof/>
        <w:sz w:val="18"/>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019639A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83"/>
    <w:multiLevelType w:val="singleLevel"/>
    <w:tmpl w:val="8AF44B1E"/>
    <w:lvl w:ilvl="0">
      <w:start w:val="1"/>
      <w:numFmt w:val="bullet"/>
      <w:pStyle w:val="ListBullet2"/>
      <w:lvlText w:val=""/>
      <w:lvlJc w:val="left"/>
      <w:pPr>
        <w:tabs>
          <w:tab w:val="num" w:pos="720"/>
        </w:tabs>
        <w:ind w:left="720" w:hanging="360"/>
      </w:pPr>
      <w:rPr>
        <w:rFonts w:ascii="Symbol" w:hAnsi="Symbol" w:hint="default"/>
      </w:rPr>
    </w:lvl>
  </w:abstractNum>
  <w:abstractNum w:abstractNumId="2" w15:restartNumberingAfterBreak="0">
    <w:nsid w:val="FFFFFF89"/>
    <w:multiLevelType w:val="singleLevel"/>
    <w:tmpl w:val="0B5AF87E"/>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1D578ED"/>
    <w:multiLevelType w:val="hybridMultilevel"/>
    <w:tmpl w:val="F4A4026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5AC5505"/>
    <w:multiLevelType w:val="hybridMultilevel"/>
    <w:tmpl w:val="77268F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CB7FB3"/>
    <w:multiLevelType w:val="hybridMultilevel"/>
    <w:tmpl w:val="D8D28D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C0083A"/>
    <w:multiLevelType w:val="hybridMultilevel"/>
    <w:tmpl w:val="A21447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CD44CDB"/>
    <w:multiLevelType w:val="hybridMultilevel"/>
    <w:tmpl w:val="3A7030FC"/>
    <w:lvl w:ilvl="0" w:tplc="B766770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252091E"/>
    <w:multiLevelType w:val="hybridMultilevel"/>
    <w:tmpl w:val="87460FB0"/>
    <w:lvl w:ilvl="0" w:tplc="5484C724">
      <w:start w:val="1"/>
      <w:numFmt w:val="decimal"/>
      <w:lvlText w:val="%1."/>
      <w:lvlJc w:val="left"/>
      <w:pPr>
        <w:ind w:left="720" w:hanging="36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D92614"/>
    <w:multiLevelType w:val="hybridMultilevel"/>
    <w:tmpl w:val="29CA8B56"/>
    <w:lvl w:ilvl="0" w:tplc="E264B4F8">
      <w:start w:val="3"/>
      <w:numFmt w:val="decimal"/>
      <w:lvlText w:val="%1."/>
      <w:lvlJc w:val="left"/>
      <w:pPr>
        <w:tabs>
          <w:tab w:val="num" w:pos="720"/>
        </w:tabs>
        <w:ind w:left="720" w:hanging="360"/>
      </w:pPr>
    </w:lvl>
    <w:lvl w:ilvl="1" w:tplc="2FCAD37A" w:tentative="1">
      <w:start w:val="1"/>
      <w:numFmt w:val="decimal"/>
      <w:lvlText w:val="%2."/>
      <w:lvlJc w:val="left"/>
      <w:pPr>
        <w:tabs>
          <w:tab w:val="num" w:pos="1440"/>
        </w:tabs>
        <w:ind w:left="1440" w:hanging="360"/>
      </w:pPr>
    </w:lvl>
    <w:lvl w:ilvl="2" w:tplc="9112F97C" w:tentative="1">
      <w:start w:val="1"/>
      <w:numFmt w:val="decimal"/>
      <w:lvlText w:val="%3."/>
      <w:lvlJc w:val="left"/>
      <w:pPr>
        <w:tabs>
          <w:tab w:val="num" w:pos="2160"/>
        </w:tabs>
        <w:ind w:left="2160" w:hanging="360"/>
      </w:pPr>
    </w:lvl>
    <w:lvl w:ilvl="3" w:tplc="A9CED174" w:tentative="1">
      <w:start w:val="1"/>
      <w:numFmt w:val="decimal"/>
      <w:lvlText w:val="%4."/>
      <w:lvlJc w:val="left"/>
      <w:pPr>
        <w:tabs>
          <w:tab w:val="num" w:pos="2880"/>
        </w:tabs>
        <w:ind w:left="2880" w:hanging="360"/>
      </w:pPr>
    </w:lvl>
    <w:lvl w:ilvl="4" w:tplc="FAE6D54E" w:tentative="1">
      <w:start w:val="1"/>
      <w:numFmt w:val="decimal"/>
      <w:lvlText w:val="%5."/>
      <w:lvlJc w:val="left"/>
      <w:pPr>
        <w:tabs>
          <w:tab w:val="num" w:pos="3600"/>
        </w:tabs>
        <w:ind w:left="3600" w:hanging="360"/>
      </w:pPr>
    </w:lvl>
    <w:lvl w:ilvl="5" w:tplc="C0005AEE" w:tentative="1">
      <w:start w:val="1"/>
      <w:numFmt w:val="decimal"/>
      <w:lvlText w:val="%6."/>
      <w:lvlJc w:val="left"/>
      <w:pPr>
        <w:tabs>
          <w:tab w:val="num" w:pos="4320"/>
        </w:tabs>
        <w:ind w:left="4320" w:hanging="360"/>
      </w:pPr>
    </w:lvl>
    <w:lvl w:ilvl="6" w:tplc="CEC61326" w:tentative="1">
      <w:start w:val="1"/>
      <w:numFmt w:val="decimal"/>
      <w:lvlText w:val="%7."/>
      <w:lvlJc w:val="left"/>
      <w:pPr>
        <w:tabs>
          <w:tab w:val="num" w:pos="5040"/>
        </w:tabs>
        <w:ind w:left="5040" w:hanging="360"/>
      </w:pPr>
    </w:lvl>
    <w:lvl w:ilvl="7" w:tplc="20C6C438" w:tentative="1">
      <w:start w:val="1"/>
      <w:numFmt w:val="decimal"/>
      <w:lvlText w:val="%8."/>
      <w:lvlJc w:val="left"/>
      <w:pPr>
        <w:tabs>
          <w:tab w:val="num" w:pos="5760"/>
        </w:tabs>
        <w:ind w:left="5760" w:hanging="360"/>
      </w:pPr>
    </w:lvl>
    <w:lvl w:ilvl="8" w:tplc="14F2E5DE" w:tentative="1">
      <w:start w:val="1"/>
      <w:numFmt w:val="decimal"/>
      <w:lvlText w:val="%9."/>
      <w:lvlJc w:val="left"/>
      <w:pPr>
        <w:tabs>
          <w:tab w:val="num" w:pos="6480"/>
        </w:tabs>
        <w:ind w:left="6480" w:hanging="360"/>
      </w:pPr>
    </w:lvl>
  </w:abstractNum>
  <w:abstractNum w:abstractNumId="10" w15:restartNumberingAfterBreak="0">
    <w:nsid w:val="171A7233"/>
    <w:multiLevelType w:val="hybridMultilevel"/>
    <w:tmpl w:val="2210134E"/>
    <w:lvl w:ilvl="0" w:tplc="04090011">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18DE2A21"/>
    <w:multiLevelType w:val="hybridMultilevel"/>
    <w:tmpl w:val="8E5283AC"/>
    <w:lvl w:ilvl="0" w:tplc="97180642">
      <w:start w:val="1"/>
      <w:numFmt w:val="bullet"/>
      <w:lvlText w:val="-"/>
      <w:lvlJc w:val="left"/>
      <w:pPr>
        <w:ind w:left="720" w:hanging="360"/>
      </w:pPr>
      <w:rPr>
        <w:rFonts w:ascii="Arial" w:eastAsia="Times"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B5B161E"/>
    <w:multiLevelType w:val="hybridMultilevel"/>
    <w:tmpl w:val="71D466D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F634F2E"/>
    <w:multiLevelType w:val="hybridMultilevel"/>
    <w:tmpl w:val="AC62D0B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2391FE3"/>
    <w:multiLevelType w:val="multilevel"/>
    <w:tmpl w:val="E90AB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5196544"/>
    <w:multiLevelType w:val="hybridMultilevel"/>
    <w:tmpl w:val="77268F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53EDC"/>
    <w:multiLevelType w:val="hybridMultilevel"/>
    <w:tmpl w:val="81B215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6025266"/>
    <w:multiLevelType w:val="multilevel"/>
    <w:tmpl w:val="D8B8C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8533B8B"/>
    <w:multiLevelType w:val="hybridMultilevel"/>
    <w:tmpl w:val="7B20E92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36600CE"/>
    <w:multiLevelType w:val="hybridMultilevel"/>
    <w:tmpl w:val="B4E2BD96"/>
    <w:lvl w:ilvl="0" w:tplc="AA6A58F8">
      <w:start w:val="53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7F599C"/>
    <w:multiLevelType w:val="multilevel"/>
    <w:tmpl w:val="00250409"/>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21" w15:restartNumberingAfterBreak="0">
    <w:nsid w:val="36982015"/>
    <w:multiLevelType w:val="hybridMultilevel"/>
    <w:tmpl w:val="974CE9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7777D11"/>
    <w:multiLevelType w:val="hybridMultilevel"/>
    <w:tmpl w:val="A4A842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391238C4"/>
    <w:multiLevelType w:val="hybridMultilevel"/>
    <w:tmpl w:val="F606FCB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39A4044C"/>
    <w:multiLevelType w:val="hybridMultilevel"/>
    <w:tmpl w:val="F2E49C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9B75354"/>
    <w:multiLevelType w:val="multilevel"/>
    <w:tmpl w:val="0A76C5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F393ACB"/>
    <w:multiLevelType w:val="hybridMultilevel"/>
    <w:tmpl w:val="92427D64"/>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F9E5251"/>
    <w:multiLevelType w:val="hybridMultilevel"/>
    <w:tmpl w:val="5ADE5150"/>
    <w:lvl w:ilvl="0" w:tplc="D6A04764">
      <w:start w:val="2"/>
      <w:numFmt w:val="bullet"/>
      <w:lvlText w:val="-"/>
      <w:lvlJc w:val="left"/>
      <w:pPr>
        <w:ind w:left="720" w:hanging="360"/>
      </w:pPr>
      <w:rPr>
        <w:rFonts w:ascii="Arial" w:eastAsia="Time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FC65524"/>
    <w:multiLevelType w:val="multilevel"/>
    <w:tmpl w:val="3AD67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7AD72B7"/>
    <w:multiLevelType w:val="hybridMultilevel"/>
    <w:tmpl w:val="2EF6E0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7D165A2"/>
    <w:multiLevelType w:val="multilevel"/>
    <w:tmpl w:val="2CC635BE"/>
    <w:lvl w:ilvl="0">
      <w:start w:val="1"/>
      <w:numFmt w:val="bullet"/>
      <w:pStyle w:val="Bullet1"/>
      <w:lvlText w:val=""/>
      <w:lvlJc w:val="left"/>
      <w:pPr>
        <w:tabs>
          <w:tab w:val="num" w:pos="1800"/>
        </w:tabs>
        <w:ind w:left="1656" w:hanging="216"/>
      </w:pPr>
      <w:rPr>
        <w:rFonts w:ascii="Symbol" w:hAnsi="Symbol" w:hint="default"/>
      </w:rPr>
    </w:lvl>
    <w:lvl w:ilvl="1">
      <w:start w:val="1"/>
      <w:numFmt w:val="bullet"/>
      <w:pStyle w:val="Bullet2"/>
      <w:lvlText w:val="o"/>
      <w:lvlJc w:val="left"/>
      <w:pPr>
        <w:tabs>
          <w:tab w:val="num" w:pos="864"/>
        </w:tabs>
        <w:ind w:left="720" w:hanging="216"/>
      </w:pPr>
      <w:rPr>
        <w:rFonts w:ascii="Courier New" w:hAnsi="Courier New" w:hint="default"/>
        <w:b w:val="0"/>
        <w:i w:val="0"/>
        <w:sz w:val="20"/>
      </w:rPr>
    </w:lvl>
    <w:lvl w:ilvl="2">
      <w:start w:val="1"/>
      <w:numFmt w:val="bullet"/>
      <w:pStyle w:val="Bullet3"/>
      <w:lvlText w:val=""/>
      <w:lvlJc w:val="left"/>
      <w:pPr>
        <w:tabs>
          <w:tab w:val="num" w:pos="1008"/>
        </w:tabs>
        <w:ind w:left="864" w:hanging="216"/>
      </w:pPr>
      <w:rPr>
        <w:rFonts w:ascii="Wingdings" w:hAnsi="Wingdings" w:hint="default"/>
      </w:rPr>
    </w:lvl>
    <w:lvl w:ilvl="3">
      <w:start w:val="1"/>
      <w:numFmt w:val="bullet"/>
      <w:pStyle w:val="Bullet4"/>
      <w:lvlText w:val=""/>
      <w:lvlJc w:val="left"/>
      <w:pPr>
        <w:tabs>
          <w:tab w:val="num" w:pos="1224"/>
        </w:tabs>
        <w:ind w:left="1080" w:hanging="216"/>
      </w:pPr>
      <w:rPr>
        <w:rFonts w:ascii="Symbol" w:hAnsi="Symbol" w:hint="default"/>
        <w:b w:val="0"/>
        <w:i w:val="0"/>
        <w:sz w:val="16"/>
      </w:rPr>
    </w:lvl>
    <w:lvl w:ilvl="4">
      <w:start w:val="1"/>
      <w:numFmt w:val="bullet"/>
      <w:lvlText w:val=""/>
      <w:lvlJc w:val="left"/>
      <w:pPr>
        <w:tabs>
          <w:tab w:val="num" w:pos="1800"/>
        </w:tabs>
        <w:ind w:left="1800" w:hanging="360"/>
      </w:pPr>
      <w:rPr>
        <w:rFonts w:ascii="Symbol" w:hAnsi="Symbol" w:hint="default"/>
      </w:rPr>
    </w:lvl>
    <w:lvl w:ilvl="5">
      <w:start w:val="1"/>
      <w:numFmt w:val="bullet"/>
      <w:lvlText w:val=""/>
      <w:lvlJc w:val="left"/>
      <w:pPr>
        <w:tabs>
          <w:tab w:val="num" w:pos="2160"/>
        </w:tabs>
        <w:ind w:left="2160" w:hanging="360"/>
      </w:pPr>
      <w:rPr>
        <w:rFonts w:ascii="Wingdings" w:hAnsi="Wingdings" w:hint="default"/>
      </w:rPr>
    </w:lvl>
    <w:lvl w:ilvl="6">
      <w:start w:val="1"/>
      <w:numFmt w:val="bullet"/>
      <w:lvlText w:val=""/>
      <w:lvlJc w:val="left"/>
      <w:pPr>
        <w:tabs>
          <w:tab w:val="num" w:pos="2520"/>
        </w:tabs>
        <w:ind w:left="2520" w:hanging="360"/>
      </w:pPr>
      <w:rPr>
        <w:rFonts w:ascii="Wingdings" w:hAnsi="Wingdings" w:hint="default"/>
      </w:rPr>
    </w:lvl>
    <w:lvl w:ilvl="7">
      <w:start w:val="1"/>
      <w:numFmt w:val="bullet"/>
      <w:lvlText w:val=""/>
      <w:lvlJc w:val="left"/>
      <w:pPr>
        <w:tabs>
          <w:tab w:val="num" w:pos="2880"/>
        </w:tabs>
        <w:ind w:left="2880" w:hanging="360"/>
      </w:pPr>
      <w:rPr>
        <w:rFonts w:ascii="Symbol" w:hAnsi="Symbol" w:hint="default"/>
      </w:rPr>
    </w:lvl>
    <w:lvl w:ilvl="8">
      <w:start w:val="1"/>
      <w:numFmt w:val="bullet"/>
      <w:lvlText w:val=""/>
      <w:lvlJc w:val="left"/>
      <w:pPr>
        <w:tabs>
          <w:tab w:val="num" w:pos="3240"/>
        </w:tabs>
        <w:ind w:left="3240" w:hanging="360"/>
      </w:pPr>
      <w:rPr>
        <w:rFonts w:ascii="Symbol" w:hAnsi="Symbol" w:hint="default"/>
      </w:rPr>
    </w:lvl>
  </w:abstractNum>
  <w:abstractNum w:abstractNumId="31" w15:restartNumberingAfterBreak="0">
    <w:nsid w:val="4A1A1BE5"/>
    <w:multiLevelType w:val="hybridMultilevel"/>
    <w:tmpl w:val="88664BA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52695294"/>
    <w:multiLevelType w:val="singleLevel"/>
    <w:tmpl w:val="04090019"/>
    <w:lvl w:ilvl="0">
      <w:start w:val="1"/>
      <w:numFmt w:val="lowerLetter"/>
      <w:pStyle w:val="Alphabeticallist"/>
      <w:lvlText w:val="(%1)"/>
      <w:lvlJc w:val="left"/>
      <w:pPr>
        <w:tabs>
          <w:tab w:val="num" w:pos="360"/>
        </w:tabs>
        <w:ind w:left="360" w:hanging="360"/>
      </w:pPr>
    </w:lvl>
  </w:abstractNum>
  <w:abstractNum w:abstractNumId="33" w15:restartNumberingAfterBreak="0">
    <w:nsid w:val="554741D6"/>
    <w:multiLevelType w:val="hybridMultilevel"/>
    <w:tmpl w:val="F606FCB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C7B1316"/>
    <w:multiLevelType w:val="hybridMultilevel"/>
    <w:tmpl w:val="34AE739C"/>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5" w15:restartNumberingAfterBreak="0">
    <w:nsid w:val="601147CA"/>
    <w:multiLevelType w:val="multilevel"/>
    <w:tmpl w:val="9FAAE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1FF4B9B"/>
    <w:multiLevelType w:val="hybridMultilevel"/>
    <w:tmpl w:val="855A51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2506DDB"/>
    <w:multiLevelType w:val="hybridMultilevel"/>
    <w:tmpl w:val="D7E4E04C"/>
    <w:lvl w:ilvl="0" w:tplc="F5E28D1C">
      <w:numFmt w:val="bullet"/>
      <w:lvlText w:val="-"/>
      <w:lvlJc w:val="left"/>
      <w:pPr>
        <w:ind w:left="720" w:hanging="360"/>
      </w:pPr>
      <w:rPr>
        <w:rFonts w:ascii="Arial" w:eastAsia="Time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C73F0B"/>
    <w:multiLevelType w:val="multilevel"/>
    <w:tmpl w:val="B47CA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79F7DEC"/>
    <w:multiLevelType w:val="hybridMultilevel"/>
    <w:tmpl w:val="114AB7E2"/>
    <w:lvl w:ilvl="0" w:tplc="FD344A98">
      <w:start w:val="1"/>
      <w:numFmt w:val="decimal"/>
      <w:lvlText w:val="%1."/>
      <w:lvlJc w:val="left"/>
      <w:pPr>
        <w:ind w:left="4395" w:hanging="40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8DC7D2E"/>
    <w:multiLevelType w:val="hybridMultilevel"/>
    <w:tmpl w:val="BA2CB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B045408"/>
    <w:multiLevelType w:val="multilevel"/>
    <w:tmpl w:val="1A7EC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C3048E6"/>
    <w:multiLevelType w:val="hybridMultilevel"/>
    <w:tmpl w:val="77268F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D720ED2"/>
    <w:multiLevelType w:val="hybridMultilevel"/>
    <w:tmpl w:val="940C2628"/>
    <w:lvl w:ilvl="0" w:tplc="15E2C114">
      <w:numFmt w:val="bullet"/>
      <w:lvlText w:val="-"/>
      <w:lvlJc w:val="left"/>
      <w:pPr>
        <w:ind w:left="720" w:hanging="360"/>
      </w:pPr>
      <w:rPr>
        <w:rFonts w:ascii="Arial" w:eastAsia="Times"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6352A1"/>
    <w:multiLevelType w:val="hybridMultilevel"/>
    <w:tmpl w:val="618E0A2A"/>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7A777DEB"/>
    <w:multiLevelType w:val="hybridMultilevel"/>
    <w:tmpl w:val="093EDC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7C593C26"/>
    <w:multiLevelType w:val="hybridMultilevel"/>
    <w:tmpl w:val="A1524E2E"/>
    <w:lvl w:ilvl="0" w:tplc="BAD88D74">
      <w:start w:val="1"/>
      <w:numFmt w:val="decimal"/>
      <w:lvlText w:val="%1."/>
      <w:lvlJc w:val="left"/>
      <w:pPr>
        <w:tabs>
          <w:tab w:val="num" w:pos="720"/>
        </w:tabs>
        <w:ind w:left="720" w:hanging="360"/>
      </w:pPr>
    </w:lvl>
    <w:lvl w:ilvl="1" w:tplc="326CD5DC" w:tentative="1">
      <w:start w:val="1"/>
      <w:numFmt w:val="decimal"/>
      <w:lvlText w:val="%2."/>
      <w:lvlJc w:val="left"/>
      <w:pPr>
        <w:tabs>
          <w:tab w:val="num" w:pos="1440"/>
        </w:tabs>
        <w:ind w:left="1440" w:hanging="360"/>
      </w:pPr>
    </w:lvl>
    <w:lvl w:ilvl="2" w:tplc="0B5ABBDE" w:tentative="1">
      <w:start w:val="1"/>
      <w:numFmt w:val="decimal"/>
      <w:lvlText w:val="%3."/>
      <w:lvlJc w:val="left"/>
      <w:pPr>
        <w:tabs>
          <w:tab w:val="num" w:pos="2160"/>
        </w:tabs>
        <w:ind w:left="2160" w:hanging="360"/>
      </w:pPr>
    </w:lvl>
    <w:lvl w:ilvl="3" w:tplc="AE928730" w:tentative="1">
      <w:start w:val="1"/>
      <w:numFmt w:val="decimal"/>
      <w:lvlText w:val="%4."/>
      <w:lvlJc w:val="left"/>
      <w:pPr>
        <w:tabs>
          <w:tab w:val="num" w:pos="2880"/>
        </w:tabs>
        <w:ind w:left="2880" w:hanging="360"/>
      </w:pPr>
    </w:lvl>
    <w:lvl w:ilvl="4" w:tplc="C9EE6BF2" w:tentative="1">
      <w:start w:val="1"/>
      <w:numFmt w:val="decimal"/>
      <w:lvlText w:val="%5."/>
      <w:lvlJc w:val="left"/>
      <w:pPr>
        <w:tabs>
          <w:tab w:val="num" w:pos="3600"/>
        </w:tabs>
        <w:ind w:left="3600" w:hanging="360"/>
      </w:pPr>
    </w:lvl>
    <w:lvl w:ilvl="5" w:tplc="7DEE9170" w:tentative="1">
      <w:start w:val="1"/>
      <w:numFmt w:val="decimal"/>
      <w:lvlText w:val="%6."/>
      <w:lvlJc w:val="left"/>
      <w:pPr>
        <w:tabs>
          <w:tab w:val="num" w:pos="4320"/>
        </w:tabs>
        <w:ind w:left="4320" w:hanging="360"/>
      </w:pPr>
    </w:lvl>
    <w:lvl w:ilvl="6" w:tplc="0EFC5A66" w:tentative="1">
      <w:start w:val="1"/>
      <w:numFmt w:val="decimal"/>
      <w:lvlText w:val="%7."/>
      <w:lvlJc w:val="left"/>
      <w:pPr>
        <w:tabs>
          <w:tab w:val="num" w:pos="5040"/>
        </w:tabs>
        <w:ind w:left="5040" w:hanging="360"/>
      </w:pPr>
    </w:lvl>
    <w:lvl w:ilvl="7" w:tplc="983CDCBA" w:tentative="1">
      <w:start w:val="1"/>
      <w:numFmt w:val="decimal"/>
      <w:lvlText w:val="%8."/>
      <w:lvlJc w:val="left"/>
      <w:pPr>
        <w:tabs>
          <w:tab w:val="num" w:pos="5760"/>
        </w:tabs>
        <w:ind w:left="5760" w:hanging="360"/>
      </w:pPr>
    </w:lvl>
    <w:lvl w:ilvl="8" w:tplc="6E6A3C0C" w:tentative="1">
      <w:start w:val="1"/>
      <w:numFmt w:val="decimal"/>
      <w:lvlText w:val="%9."/>
      <w:lvlJc w:val="left"/>
      <w:pPr>
        <w:tabs>
          <w:tab w:val="num" w:pos="6480"/>
        </w:tabs>
        <w:ind w:left="6480" w:hanging="360"/>
      </w:pPr>
    </w:lvl>
  </w:abstractNum>
  <w:num w:numId="1">
    <w:abstractNumId w:val="20"/>
  </w:num>
  <w:num w:numId="2">
    <w:abstractNumId w:val="34"/>
  </w:num>
  <w:num w:numId="3">
    <w:abstractNumId w:val="29"/>
  </w:num>
  <w:num w:numId="4">
    <w:abstractNumId w:val="10"/>
  </w:num>
  <w:num w:numId="5">
    <w:abstractNumId w:val="27"/>
  </w:num>
  <w:num w:numId="6">
    <w:abstractNumId w:val="30"/>
  </w:num>
  <w:num w:numId="7">
    <w:abstractNumId w:val="32"/>
  </w:num>
  <w:num w:numId="8">
    <w:abstractNumId w:val="2"/>
  </w:num>
  <w:num w:numId="9">
    <w:abstractNumId w:val="1"/>
  </w:num>
  <w:num w:numId="10">
    <w:abstractNumId w:val="0"/>
  </w:num>
  <w:num w:numId="11">
    <w:abstractNumId w:val="36"/>
  </w:num>
  <w:num w:numId="12">
    <w:abstractNumId w:val="39"/>
  </w:num>
  <w:num w:numId="13">
    <w:abstractNumId w:val="16"/>
  </w:num>
  <w:num w:numId="14">
    <w:abstractNumId w:val="18"/>
  </w:num>
  <w:num w:numId="15">
    <w:abstractNumId w:val="5"/>
  </w:num>
  <w:num w:numId="16">
    <w:abstractNumId w:val="31"/>
  </w:num>
  <w:num w:numId="17">
    <w:abstractNumId w:val="26"/>
  </w:num>
  <w:num w:numId="18">
    <w:abstractNumId w:val="13"/>
  </w:num>
  <w:num w:numId="19">
    <w:abstractNumId w:val="37"/>
  </w:num>
  <w:num w:numId="20">
    <w:abstractNumId w:val="43"/>
  </w:num>
  <w:num w:numId="21">
    <w:abstractNumId w:val="42"/>
  </w:num>
  <w:num w:numId="22">
    <w:abstractNumId w:val="8"/>
  </w:num>
  <w:num w:numId="23">
    <w:abstractNumId w:val="24"/>
  </w:num>
  <w:num w:numId="24">
    <w:abstractNumId w:val="40"/>
  </w:num>
  <w:num w:numId="25">
    <w:abstractNumId w:val="35"/>
  </w:num>
  <w:num w:numId="26">
    <w:abstractNumId w:val="14"/>
  </w:num>
  <w:num w:numId="27">
    <w:abstractNumId w:val="38"/>
  </w:num>
  <w:num w:numId="28">
    <w:abstractNumId w:val="41"/>
  </w:num>
  <w:num w:numId="29">
    <w:abstractNumId w:val="25"/>
  </w:num>
  <w:num w:numId="30">
    <w:abstractNumId w:val="28"/>
  </w:num>
  <w:num w:numId="31">
    <w:abstractNumId w:val="17"/>
  </w:num>
  <w:num w:numId="32">
    <w:abstractNumId w:val="19"/>
  </w:num>
  <w:num w:numId="33">
    <w:abstractNumId w:val="23"/>
  </w:num>
  <w:num w:numId="34">
    <w:abstractNumId w:val="45"/>
  </w:num>
  <w:num w:numId="35">
    <w:abstractNumId w:val="7"/>
  </w:num>
  <w:num w:numId="36">
    <w:abstractNumId w:val="33"/>
  </w:num>
  <w:num w:numId="37">
    <w:abstractNumId w:val="12"/>
  </w:num>
  <w:num w:numId="38">
    <w:abstractNumId w:val="44"/>
  </w:num>
  <w:num w:numId="39">
    <w:abstractNumId w:val="4"/>
  </w:num>
  <w:num w:numId="40">
    <w:abstractNumId w:val="21"/>
  </w:num>
  <w:num w:numId="41">
    <w:abstractNumId w:val="11"/>
  </w:num>
  <w:num w:numId="42">
    <w:abstractNumId w:val="3"/>
  </w:num>
  <w:num w:numId="43">
    <w:abstractNumId w:val="46"/>
  </w:num>
  <w:num w:numId="44">
    <w:abstractNumId w:val="9"/>
  </w:num>
  <w:num w:numId="45">
    <w:abstractNumId w:val="15"/>
  </w:num>
  <w:num w:numId="46">
    <w:abstractNumId w:val="6"/>
  </w:num>
  <w:num w:numId="47">
    <w:abstractNumId w:val="2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B71885E1-67CD-48DC-8A25-D8B062603F18}"/>
    <w:docVar w:name="dgnword-eventsink" w:val="455536536"/>
  </w:docVars>
  <w:rsids>
    <w:rsidRoot w:val="003B4302"/>
    <w:rsid w:val="00000991"/>
    <w:rsid w:val="00001B9B"/>
    <w:rsid w:val="000021C0"/>
    <w:rsid w:val="0000223E"/>
    <w:rsid w:val="0000389A"/>
    <w:rsid w:val="0000682E"/>
    <w:rsid w:val="000071AF"/>
    <w:rsid w:val="00007BE4"/>
    <w:rsid w:val="00015DA2"/>
    <w:rsid w:val="0001692A"/>
    <w:rsid w:val="000175C3"/>
    <w:rsid w:val="00022A23"/>
    <w:rsid w:val="000244E9"/>
    <w:rsid w:val="00025CF1"/>
    <w:rsid w:val="00026149"/>
    <w:rsid w:val="00026319"/>
    <w:rsid w:val="0002757E"/>
    <w:rsid w:val="00032922"/>
    <w:rsid w:val="0003493C"/>
    <w:rsid w:val="00034CE2"/>
    <w:rsid w:val="0004449D"/>
    <w:rsid w:val="000453F8"/>
    <w:rsid w:val="000478D2"/>
    <w:rsid w:val="00050E4D"/>
    <w:rsid w:val="00055A72"/>
    <w:rsid w:val="000638AB"/>
    <w:rsid w:val="000731BC"/>
    <w:rsid w:val="000746DD"/>
    <w:rsid w:val="00074808"/>
    <w:rsid w:val="00075F26"/>
    <w:rsid w:val="00080CCF"/>
    <w:rsid w:val="0008392A"/>
    <w:rsid w:val="000939C0"/>
    <w:rsid w:val="000A4C5E"/>
    <w:rsid w:val="000A604C"/>
    <w:rsid w:val="000B0F3B"/>
    <w:rsid w:val="000B3345"/>
    <w:rsid w:val="000B3DB3"/>
    <w:rsid w:val="000C01A4"/>
    <w:rsid w:val="000C23F3"/>
    <w:rsid w:val="000D4336"/>
    <w:rsid w:val="000D7920"/>
    <w:rsid w:val="000E006E"/>
    <w:rsid w:val="000E0449"/>
    <w:rsid w:val="000E25F7"/>
    <w:rsid w:val="000E2D21"/>
    <w:rsid w:val="000E3F4D"/>
    <w:rsid w:val="000E7A31"/>
    <w:rsid w:val="000E7C83"/>
    <w:rsid w:val="000F2741"/>
    <w:rsid w:val="00101919"/>
    <w:rsid w:val="00102CFF"/>
    <w:rsid w:val="001049A9"/>
    <w:rsid w:val="0011007F"/>
    <w:rsid w:val="00123AD2"/>
    <w:rsid w:val="00126E2A"/>
    <w:rsid w:val="00137B80"/>
    <w:rsid w:val="00145D1E"/>
    <w:rsid w:val="001726E1"/>
    <w:rsid w:val="00185FE1"/>
    <w:rsid w:val="001A347A"/>
    <w:rsid w:val="001A502B"/>
    <w:rsid w:val="001A7D9B"/>
    <w:rsid w:val="001B3A61"/>
    <w:rsid w:val="001B749A"/>
    <w:rsid w:val="001C0B0C"/>
    <w:rsid w:val="001C1B89"/>
    <w:rsid w:val="001C4F1C"/>
    <w:rsid w:val="001C62A9"/>
    <w:rsid w:val="001D1825"/>
    <w:rsid w:val="001D1B82"/>
    <w:rsid w:val="001D2E15"/>
    <w:rsid w:val="001D7195"/>
    <w:rsid w:val="001E2EEF"/>
    <w:rsid w:val="001E334F"/>
    <w:rsid w:val="001E5479"/>
    <w:rsid w:val="001F05AB"/>
    <w:rsid w:val="001F11CC"/>
    <w:rsid w:val="001F237A"/>
    <w:rsid w:val="001F3D54"/>
    <w:rsid w:val="001F6966"/>
    <w:rsid w:val="00221558"/>
    <w:rsid w:val="00222123"/>
    <w:rsid w:val="00222C29"/>
    <w:rsid w:val="002235BC"/>
    <w:rsid w:val="00224014"/>
    <w:rsid w:val="00225743"/>
    <w:rsid w:val="00227A32"/>
    <w:rsid w:val="00237B98"/>
    <w:rsid w:val="002432F6"/>
    <w:rsid w:val="00243405"/>
    <w:rsid w:val="002455AE"/>
    <w:rsid w:val="002501B1"/>
    <w:rsid w:val="00251BF0"/>
    <w:rsid w:val="00254106"/>
    <w:rsid w:val="0026323B"/>
    <w:rsid w:val="0026545A"/>
    <w:rsid w:val="0028423A"/>
    <w:rsid w:val="0028485A"/>
    <w:rsid w:val="00285464"/>
    <w:rsid w:val="0028638D"/>
    <w:rsid w:val="0029104B"/>
    <w:rsid w:val="00291D75"/>
    <w:rsid w:val="0029364F"/>
    <w:rsid w:val="00297766"/>
    <w:rsid w:val="002A32AF"/>
    <w:rsid w:val="002A435B"/>
    <w:rsid w:val="002B32B4"/>
    <w:rsid w:val="002B58BF"/>
    <w:rsid w:val="002D0659"/>
    <w:rsid w:val="002D1795"/>
    <w:rsid w:val="002E3464"/>
    <w:rsid w:val="002E6F1A"/>
    <w:rsid w:val="002F4498"/>
    <w:rsid w:val="002F7C07"/>
    <w:rsid w:val="0030386D"/>
    <w:rsid w:val="00304048"/>
    <w:rsid w:val="0031117A"/>
    <w:rsid w:val="00321B1B"/>
    <w:rsid w:val="00325396"/>
    <w:rsid w:val="00333CF4"/>
    <w:rsid w:val="00334CBD"/>
    <w:rsid w:val="00336A58"/>
    <w:rsid w:val="00344783"/>
    <w:rsid w:val="003456FD"/>
    <w:rsid w:val="003466A7"/>
    <w:rsid w:val="00350789"/>
    <w:rsid w:val="00351C69"/>
    <w:rsid w:val="00352492"/>
    <w:rsid w:val="0035453F"/>
    <w:rsid w:val="00360AA5"/>
    <w:rsid w:val="00362B53"/>
    <w:rsid w:val="0036424A"/>
    <w:rsid w:val="00371206"/>
    <w:rsid w:val="00373B7B"/>
    <w:rsid w:val="003831F8"/>
    <w:rsid w:val="003843DE"/>
    <w:rsid w:val="00390035"/>
    <w:rsid w:val="00392194"/>
    <w:rsid w:val="003A29D1"/>
    <w:rsid w:val="003A6F30"/>
    <w:rsid w:val="003B04E2"/>
    <w:rsid w:val="003B40DA"/>
    <w:rsid w:val="003B4302"/>
    <w:rsid w:val="003B4B10"/>
    <w:rsid w:val="003C080A"/>
    <w:rsid w:val="003C414A"/>
    <w:rsid w:val="003C4C97"/>
    <w:rsid w:val="003C7431"/>
    <w:rsid w:val="003D34ED"/>
    <w:rsid w:val="003D79D4"/>
    <w:rsid w:val="003E1E74"/>
    <w:rsid w:val="003E23E7"/>
    <w:rsid w:val="003E34E3"/>
    <w:rsid w:val="003F14C6"/>
    <w:rsid w:val="003F1760"/>
    <w:rsid w:val="003F19A2"/>
    <w:rsid w:val="003F27AB"/>
    <w:rsid w:val="003F5DAB"/>
    <w:rsid w:val="0040320E"/>
    <w:rsid w:val="004040B2"/>
    <w:rsid w:val="00404450"/>
    <w:rsid w:val="00406707"/>
    <w:rsid w:val="00406FCD"/>
    <w:rsid w:val="00410831"/>
    <w:rsid w:val="004129EE"/>
    <w:rsid w:val="00414279"/>
    <w:rsid w:val="004245B6"/>
    <w:rsid w:val="0042695E"/>
    <w:rsid w:val="00427AC3"/>
    <w:rsid w:val="00441D01"/>
    <w:rsid w:val="00446329"/>
    <w:rsid w:val="00451B60"/>
    <w:rsid w:val="00454CFA"/>
    <w:rsid w:val="00460FEA"/>
    <w:rsid w:val="00462B36"/>
    <w:rsid w:val="00481566"/>
    <w:rsid w:val="004816C2"/>
    <w:rsid w:val="00493859"/>
    <w:rsid w:val="00494FE6"/>
    <w:rsid w:val="004A0C23"/>
    <w:rsid w:val="004A425B"/>
    <w:rsid w:val="004B1F88"/>
    <w:rsid w:val="004C0CA7"/>
    <w:rsid w:val="004C23A7"/>
    <w:rsid w:val="004C4B17"/>
    <w:rsid w:val="004C7C33"/>
    <w:rsid w:val="004D01E4"/>
    <w:rsid w:val="004D1D98"/>
    <w:rsid w:val="004D1DC4"/>
    <w:rsid w:val="004D2CCC"/>
    <w:rsid w:val="004E0546"/>
    <w:rsid w:val="004E6DF0"/>
    <w:rsid w:val="005060A3"/>
    <w:rsid w:val="00513AE7"/>
    <w:rsid w:val="00514124"/>
    <w:rsid w:val="00514C2A"/>
    <w:rsid w:val="005245DE"/>
    <w:rsid w:val="005279A0"/>
    <w:rsid w:val="00527B0B"/>
    <w:rsid w:val="0053256F"/>
    <w:rsid w:val="0054444A"/>
    <w:rsid w:val="00544D05"/>
    <w:rsid w:val="005478E1"/>
    <w:rsid w:val="00550ED5"/>
    <w:rsid w:val="00550EE9"/>
    <w:rsid w:val="005514C2"/>
    <w:rsid w:val="00552A52"/>
    <w:rsid w:val="0055573A"/>
    <w:rsid w:val="00555BC9"/>
    <w:rsid w:val="00560B2D"/>
    <w:rsid w:val="00562FF1"/>
    <w:rsid w:val="005644E1"/>
    <w:rsid w:val="0057215D"/>
    <w:rsid w:val="005765A3"/>
    <w:rsid w:val="00583089"/>
    <w:rsid w:val="0058736D"/>
    <w:rsid w:val="0059130F"/>
    <w:rsid w:val="005A134F"/>
    <w:rsid w:val="005A7C5A"/>
    <w:rsid w:val="005B4061"/>
    <w:rsid w:val="005C559D"/>
    <w:rsid w:val="005C57CF"/>
    <w:rsid w:val="005C5F45"/>
    <w:rsid w:val="005D6171"/>
    <w:rsid w:val="005D64CB"/>
    <w:rsid w:val="005E3FF2"/>
    <w:rsid w:val="005E62B5"/>
    <w:rsid w:val="005F04BB"/>
    <w:rsid w:val="0060205E"/>
    <w:rsid w:val="00604077"/>
    <w:rsid w:val="00604A6A"/>
    <w:rsid w:val="00610030"/>
    <w:rsid w:val="00621235"/>
    <w:rsid w:val="00621564"/>
    <w:rsid w:val="00622574"/>
    <w:rsid w:val="00622E31"/>
    <w:rsid w:val="0063003C"/>
    <w:rsid w:val="00633E03"/>
    <w:rsid w:val="00634EBE"/>
    <w:rsid w:val="00635023"/>
    <w:rsid w:val="0064403F"/>
    <w:rsid w:val="00644944"/>
    <w:rsid w:val="006454A0"/>
    <w:rsid w:val="0065292A"/>
    <w:rsid w:val="00655791"/>
    <w:rsid w:val="00655BCE"/>
    <w:rsid w:val="00661921"/>
    <w:rsid w:val="006653F1"/>
    <w:rsid w:val="00665858"/>
    <w:rsid w:val="00666A61"/>
    <w:rsid w:val="00667E05"/>
    <w:rsid w:val="00670D48"/>
    <w:rsid w:val="0067146E"/>
    <w:rsid w:val="006746B5"/>
    <w:rsid w:val="006815D6"/>
    <w:rsid w:val="0068628F"/>
    <w:rsid w:val="00694389"/>
    <w:rsid w:val="00696775"/>
    <w:rsid w:val="006A16ED"/>
    <w:rsid w:val="006A3618"/>
    <w:rsid w:val="006A3CFC"/>
    <w:rsid w:val="006A6A44"/>
    <w:rsid w:val="006B393C"/>
    <w:rsid w:val="006B5363"/>
    <w:rsid w:val="006B6E3B"/>
    <w:rsid w:val="006C0FBB"/>
    <w:rsid w:val="006C22E2"/>
    <w:rsid w:val="006C4027"/>
    <w:rsid w:val="006D1B82"/>
    <w:rsid w:val="006E545F"/>
    <w:rsid w:val="006E6486"/>
    <w:rsid w:val="006F1D97"/>
    <w:rsid w:val="006F1DDE"/>
    <w:rsid w:val="00704036"/>
    <w:rsid w:val="0070750A"/>
    <w:rsid w:val="007107C5"/>
    <w:rsid w:val="0072100A"/>
    <w:rsid w:val="007215A2"/>
    <w:rsid w:val="0072324D"/>
    <w:rsid w:val="00726526"/>
    <w:rsid w:val="007310A8"/>
    <w:rsid w:val="007326C2"/>
    <w:rsid w:val="00733609"/>
    <w:rsid w:val="00733DE9"/>
    <w:rsid w:val="00734C89"/>
    <w:rsid w:val="0074310D"/>
    <w:rsid w:val="00747050"/>
    <w:rsid w:val="00750065"/>
    <w:rsid w:val="00753D2A"/>
    <w:rsid w:val="0075486B"/>
    <w:rsid w:val="0076698E"/>
    <w:rsid w:val="00771951"/>
    <w:rsid w:val="0077425A"/>
    <w:rsid w:val="00774FB6"/>
    <w:rsid w:val="00782E35"/>
    <w:rsid w:val="00791C6F"/>
    <w:rsid w:val="00792049"/>
    <w:rsid w:val="00793105"/>
    <w:rsid w:val="00796DC9"/>
    <w:rsid w:val="007970EE"/>
    <w:rsid w:val="00797E3C"/>
    <w:rsid w:val="007C2E29"/>
    <w:rsid w:val="007C4355"/>
    <w:rsid w:val="007C489F"/>
    <w:rsid w:val="007D1817"/>
    <w:rsid w:val="007D1843"/>
    <w:rsid w:val="007D2854"/>
    <w:rsid w:val="007D2A3A"/>
    <w:rsid w:val="007D36F2"/>
    <w:rsid w:val="007E1416"/>
    <w:rsid w:val="007E2F8B"/>
    <w:rsid w:val="007E789A"/>
    <w:rsid w:val="007F0711"/>
    <w:rsid w:val="007F44C4"/>
    <w:rsid w:val="007F6A13"/>
    <w:rsid w:val="007F6A31"/>
    <w:rsid w:val="007F6AE7"/>
    <w:rsid w:val="008024AA"/>
    <w:rsid w:val="0081171A"/>
    <w:rsid w:val="00811A7A"/>
    <w:rsid w:val="008120A1"/>
    <w:rsid w:val="0081225F"/>
    <w:rsid w:val="00812A7C"/>
    <w:rsid w:val="00817A7E"/>
    <w:rsid w:val="00822273"/>
    <w:rsid w:val="0083563E"/>
    <w:rsid w:val="008409F1"/>
    <w:rsid w:val="00845064"/>
    <w:rsid w:val="00845B5C"/>
    <w:rsid w:val="0084620C"/>
    <w:rsid w:val="00846D6F"/>
    <w:rsid w:val="00853418"/>
    <w:rsid w:val="00856FE9"/>
    <w:rsid w:val="00865D09"/>
    <w:rsid w:val="008744BA"/>
    <w:rsid w:val="00886348"/>
    <w:rsid w:val="00886780"/>
    <w:rsid w:val="008903BB"/>
    <w:rsid w:val="00890D1D"/>
    <w:rsid w:val="0089389A"/>
    <w:rsid w:val="0089552D"/>
    <w:rsid w:val="008956E8"/>
    <w:rsid w:val="008B240B"/>
    <w:rsid w:val="008B6C0A"/>
    <w:rsid w:val="008C0870"/>
    <w:rsid w:val="008C28FE"/>
    <w:rsid w:val="008C30E5"/>
    <w:rsid w:val="008D3F5D"/>
    <w:rsid w:val="008D57E9"/>
    <w:rsid w:val="008D63C0"/>
    <w:rsid w:val="008E1A48"/>
    <w:rsid w:val="008F166A"/>
    <w:rsid w:val="008F1E83"/>
    <w:rsid w:val="008F321A"/>
    <w:rsid w:val="008F4CD4"/>
    <w:rsid w:val="008F547D"/>
    <w:rsid w:val="00901929"/>
    <w:rsid w:val="009038BE"/>
    <w:rsid w:val="00907CCD"/>
    <w:rsid w:val="009113AD"/>
    <w:rsid w:val="009124D1"/>
    <w:rsid w:val="00917290"/>
    <w:rsid w:val="0092551D"/>
    <w:rsid w:val="009255BB"/>
    <w:rsid w:val="00925717"/>
    <w:rsid w:val="00934EAA"/>
    <w:rsid w:val="00935410"/>
    <w:rsid w:val="00940276"/>
    <w:rsid w:val="00941F0A"/>
    <w:rsid w:val="0094267C"/>
    <w:rsid w:val="00945C79"/>
    <w:rsid w:val="00951945"/>
    <w:rsid w:val="00953BE3"/>
    <w:rsid w:val="00957969"/>
    <w:rsid w:val="00961916"/>
    <w:rsid w:val="00964DA2"/>
    <w:rsid w:val="00967BA4"/>
    <w:rsid w:val="00970366"/>
    <w:rsid w:val="00976696"/>
    <w:rsid w:val="00976B46"/>
    <w:rsid w:val="00977B53"/>
    <w:rsid w:val="00984A8D"/>
    <w:rsid w:val="00984CC5"/>
    <w:rsid w:val="00992FC8"/>
    <w:rsid w:val="009A2FA5"/>
    <w:rsid w:val="009A388F"/>
    <w:rsid w:val="009B314F"/>
    <w:rsid w:val="009B3E7E"/>
    <w:rsid w:val="009B45B1"/>
    <w:rsid w:val="009B4AF7"/>
    <w:rsid w:val="009C0EF1"/>
    <w:rsid w:val="009C22BC"/>
    <w:rsid w:val="009C3034"/>
    <w:rsid w:val="009E247C"/>
    <w:rsid w:val="009E510B"/>
    <w:rsid w:val="009E771D"/>
    <w:rsid w:val="009F07BA"/>
    <w:rsid w:val="009F2513"/>
    <w:rsid w:val="009F48F6"/>
    <w:rsid w:val="009F6596"/>
    <w:rsid w:val="00A010C8"/>
    <w:rsid w:val="00A03790"/>
    <w:rsid w:val="00A06022"/>
    <w:rsid w:val="00A11F4C"/>
    <w:rsid w:val="00A12CA4"/>
    <w:rsid w:val="00A13B7E"/>
    <w:rsid w:val="00A20FBF"/>
    <w:rsid w:val="00A22370"/>
    <w:rsid w:val="00A27352"/>
    <w:rsid w:val="00A30555"/>
    <w:rsid w:val="00A3348E"/>
    <w:rsid w:val="00A34EA6"/>
    <w:rsid w:val="00A37863"/>
    <w:rsid w:val="00A37ED6"/>
    <w:rsid w:val="00A50D88"/>
    <w:rsid w:val="00A50E05"/>
    <w:rsid w:val="00A646C2"/>
    <w:rsid w:val="00A72601"/>
    <w:rsid w:val="00A91E95"/>
    <w:rsid w:val="00A978EA"/>
    <w:rsid w:val="00A979B4"/>
    <w:rsid w:val="00AA0469"/>
    <w:rsid w:val="00AA1FEC"/>
    <w:rsid w:val="00AA2DC3"/>
    <w:rsid w:val="00AA47D1"/>
    <w:rsid w:val="00AA567E"/>
    <w:rsid w:val="00AA63DD"/>
    <w:rsid w:val="00AB2950"/>
    <w:rsid w:val="00AB4A74"/>
    <w:rsid w:val="00AB6DC1"/>
    <w:rsid w:val="00AC3ED7"/>
    <w:rsid w:val="00AC4D90"/>
    <w:rsid w:val="00AC6402"/>
    <w:rsid w:val="00AD545A"/>
    <w:rsid w:val="00AD7B41"/>
    <w:rsid w:val="00AE2F23"/>
    <w:rsid w:val="00AE60A3"/>
    <w:rsid w:val="00AF0FF2"/>
    <w:rsid w:val="00AF25E7"/>
    <w:rsid w:val="00AF317A"/>
    <w:rsid w:val="00AF513E"/>
    <w:rsid w:val="00AF7EBB"/>
    <w:rsid w:val="00B022E7"/>
    <w:rsid w:val="00B11966"/>
    <w:rsid w:val="00B31231"/>
    <w:rsid w:val="00B318BF"/>
    <w:rsid w:val="00B3743F"/>
    <w:rsid w:val="00B512C6"/>
    <w:rsid w:val="00B6030A"/>
    <w:rsid w:val="00B616CB"/>
    <w:rsid w:val="00B66243"/>
    <w:rsid w:val="00B70422"/>
    <w:rsid w:val="00B8234F"/>
    <w:rsid w:val="00B87440"/>
    <w:rsid w:val="00B963CB"/>
    <w:rsid w:val="00BA0908"/>
    <w:rsid w:val="00BA1437"/>
    <w:rsid w:val="00BA17FF"/>
    <w:rsid w:val="00BA5B90"/>
    <w:rsid w:val="00BB0FE5"/>
    <w:rsid w:val="00BC1B2A"/>
    <w:rsid w:val="00BC4E88"/>
    <w:rsid w:val="00BD3719"/>
    <w:rsid w:val="00BD52B4"/>
    <w:rsid w:val="00BD7335"/>
    <w:rsid w:val="00BE10AF"/>
    <w:rsid w:val="00BE2A8B"/>
    <w:rsid w:val="00BE7032"/>
    <w:rsid w:val="00BF4BEE"/>
    <w:rsid w:val="00BF7F6B"/>
    <w:rsid w:val="00C00A15"/>
    <w:rsid w:val="00C057DB"/>
    <w:rsid w:val="00C0581B"/>
    <w:rsid w:val="00C11B1A"/>
    <w:rsid w:val="00C121BF"/>
    <w:rsid w:val="00C23E3A"/>
    <w:rsid w:val="00C242EC"/>
    <w:rsid w:val="00C25600"/>
    <w:rsid w:val="00C34530"/>
    <w:rsid w:val="00C354EB"/>
    <w:rsid w:val="00C35E10"/>
    <w:rsid w:val="00C37805"/>
    <w:rsid w:val="00C53594"/>
    <w:rsid w:val="00C60813"/>
    <w:rsid w:val="00C60CBA"/>
    <w:rsid w:val="00C619C2"/>
    <w:rsid w:val="00C80ACA"/>
    <w:rsid w:val="00C81C5F"/>
    <w:rsid w:val="00C8273B"/>
    <w:rsid w:val="00C93FA8"/>
    <w:rsid w:val="00C96B5F"/>
    <w:rsid w:val="00CA0110"/>
    <w:rsid w:val="00CA4806"/>
    <w:rsid w:val="00CA4F0D"/>
    <w:rsid w:val="00CC2168"/>
    <w:rsid w:val="00CC2A61"/>
    <w:rsid w:val="00CC45AF"/>
    <w:rsid w:val="00CD0501"/>
    <w:rsid w:val="00CD79FD"/>
    <w:rsid w:val="00CE1CDD"/>
    <w:rsid w:val="00CF10A9"/>
    <w:rsid w:val="00CF670D"/>
    <w:rsid w:val="00CF6EBE"/>
    <w:rsid w:val="00D01256"/>
    <w:rsid w:val="00D12B66"/>
    <w:rsid w:val="00D24B66"/>
    <w:rsid w:val="00D30771"/>
    <w:rsid w:val="00D32052"/>
    <w:rsid w:val="00D32341"/>
    <w:rsid w:val="00D40FD8"/>
    <w:rsid w:val="00D42303"/>
    <w:rsid w:val="00D42C8D"/>
    <w:rsid w:val="00D42F26"/>
    <w:rsid w:val="00D43A2C"/>
    <w:rsid w:val="00D43C16"/>
    <w:rsid w:val="00D45F31"/>
    <w:rsid w:val="00D5049A"/>
    <w:rsid w:val="00D52CF8"/>
    <w:rsid w:val="00D540D2"/>
    <w:rsid w:val="00D576B7"/>
    <w:rsid w:val="00D61918"/>
    <w:rsid w:val="00D665B7"/>
    <w:rsid w:val="00D675C5"/>
    <w:rsid w:val="00D733D0"/>
    <w:rsid w:val="00D8261C"/>
    <w:rsid w:val="00D86764"/>
    <w:rsid w:val="00D92F15"/>
    <w:rsid w:val="00DA5ABC"/>
    <w:rsid w:val="00DA6408"/>
    <w:rsid w:val="00DB0B95"/>
    <w:rsid w:val="00DB137D"/>
    <w:rsid w:val="00DB1B2F"/>
    <w:rsid w:val="00DB5BB2"/>
    <w:rsid w:val="00DD53A3"/>
    <w:rsid w:val="00DE7391"/>
    <w:rsid w:val="00DF0FB6"/>
    <w:rsid w:val="00DF25FF"/>
    <w:rsid w:val="00DF5952"/>
    <w:rsid w:val="00DF6290"/>
    <w:rsid w:val="00E00905"/>
    <w:rsid w:val="00E05566"/>
    <w:rsid w:val="00E05B7A"/>
    <w:rsid w:val="00E1392F"/>
    <w:rsid w:val="00E13E9A"/>
    <w:rsid w:val="00E14522"/>
    <w:rsid w:val="00E21FB0"/>
    <w:rsid w:val="00E33AF8"/>
    <w:rsid w:val="00E34FCC"/>
    <w:rsid w:val="00E375B9"/>
    <w:rsid w:val="00E430D9"/>
    <w:rsid w:val="00E44650"/>
    <w:rsid w:val="00E45B38"/>
    <w:rsid w:val="00E51664"/>
    <w:rsid w:val="00E56542"/>
    <w:rsid w:val="00E6489D"/>
    <w:rsid w:val="00E64EFE"/>
    <w:rsid w:val="00E67DAD"/>
    <w:rsid w:val="00E753DB"/>
    <w:rsid w:val="00E76D25"/>
    <w:rsid w:val="00E801C3"/>
    <w:rsid w:val="00E85007"/>
    <w:rsid w:val="00E92067"/>
    <w:rsid w:val="00E9244A"/>
    <w:rsid w:val="00E94866"/>
    <w:rsid w:val="00E952CA"/>
    <w:rsid w:val="00E96D73"/>
    <w:rsid w:val="00E97175"/>
    <w:rsid w:val="00EA49AA"/>
    <w:rsid w:val="00EA691A"/>
    <w:rsid w:val="00EB1D0D"/>
    <w:rsid w:val="00EB3755"/>
    <w:rsid w:val="00EB4A76"/>
    <w:rsid w:val="00EC05EE"/>
    <w:rsid w:val="00EC0BC3"/>
    <w:rsid w:val="00EC4AD4"/>
    <w:rsid w:val="00EC60B8"/>
    <w:rsid w:val="00EC7614"/>
    <w:rsid w:val="00EC7C34"/>
    <w:rsid w:val="00EE0C5C"/>
    <w:rsid w:val="00EE541F"/>
    <w:rsid w:val="00EE5603"/>
    <w:rsid w:val="00EE7339"/>
    <w:rsid w:val="00EF0CEB"/>
    <w:rsid w:val="00EF372B"/>
    <w:rsid w:val="00EF4FF1"/>
    <w:rsid w:val="00F02B62"/>
    <w:rsid w:val="00F0393B"/>
    <w:rsid w:val="00F04839"/>
    <w:rsid w:val="00F05EBB"/>
    <w:rsid w:val="00F11DBD"/>
    <w:rsid w:val="00F15E03"/>
    <w:rsid w:val="00F203D6"/>
    <w:rsid w:val="00F20FFD"/>
    <w:rsid w:val="00F22D1F"/>
    <w:rsid w:val="00F26E6F"/>
    <w:rsid w:val="00F36809"/>
    <w:rsid w:val="00F373FB"/>
    <w:rsid w:val="00F44EE7"/>
    <w:rsid w:val="00F46BCF"/>
    <w:rsid w:val="00F50AE4"/>
    <w:rsid w:val="00F51CAB"/>
    <w:rsid w:val="00F53BE5"/>
    <w:rsid w:val="00F54398"/>
    <w:rsid w:val="00F571ED"/>
    <w:rsid w:val="00F62FD4"/>
    <w:rsid w:val="00F80DB3"/>
    <w:rsid w:val="00F8275A"/>
    <w:rsid w:val="00F840C6"/>
    <w:rsid w:val="00F959BD"/>
    <w:rsid w:val="00F9784F"/>
    <w:rsid w:val="00FA2996"/>
    <w:rsid w:val="00FA6F2E"/>
    <w:rsid w:val="00FC1486"/>
    <w:rsid w:val="00FC2C27"/>
    <w:rsid w:val="00FC4084"/>
    <w:rsid w:val="00FC7D4C"/>
    <w:rsid w:val="00FD05E4"/>
    <w:rsid w:val="00FD0F7D"/>
    <w:rsid w:val="00FE3BD1"/>
    <w:rsid w:val="00FE44B3"/>
    <w:rsid w:val="00FE6542"/>
    <w:rsid w:val="00FE7AB0"/>
    <w:rsid w:val="00FF3C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CAAEDC7"/>
  <w15:chartTrackingRefBased/>
  <w15:docId w15:val="{E2061E2E-8EDD-400F-8E99-AA0ECF4FC4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iPriority="0" w:unhideWhenUsed="1"/>
    <w:lsdException w:name="List Continue 2" w:semiHidden="1"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1392F"/>
    <w:rPr>
      <w:rFonts w:ascii="Arial" w:eastAsia="Times" w:hAnsi="Arial"/>
      <w:sz w:val="22"/>
    </w:rPr>
  </w:style>
  <w:style w:type="paragraph" w:styleId="Heading1">
    <w:name w:val="heading 1"/>
    <w:basedOn w:val="Normal"/>
    <w:next w:val="Normal"/>
    <w:link w:val="Heading1Char"/>
    <w:uiPriority w:val="9"/>
    <w:qFormat/>
    <w:rsid w:val="003B4302"/>
    <w:pPr>
      <w:keepNext/>
      <w:numPr>
        <w:numId w:val="1"/>
      </w:numPr>
      <w:outlineLvl w:val="0"/>
    </w:pPr>
    <w:rPr>
      <w:b/>
      <w:sz w:val="24"/>
    </w:rPr>
  </w:style>
  <w:style w:type="paragraph" w:styleId="Heading2">
    <w:name w:val="heading 2"/>
    <w:basedOn w:val="Normal"/>
    <w:next w:val="Normal"/>
    <w:link w:val="Heading2Char"/>
    <w:uiPriority w:val="9"/>
    <w:qFormat/>
    <w:rsid w:val="003B4302"/>
    <w:pPr>
      <w:keepNext/>
      <w:numPr>
        <w:ilvl w:val="1"/>
        <w:numId w:val="1"/>
      </w:numPr>
      <w:outlineLvl w:val="1"/>
    </w:pPr>
    <w:rPr>
      <w:b/>
      <w:sz w:val="16"/>
    </w:rPr>
  </w:style>
  <w:style w:type="paragraph" w:styleId="Heading3">
    <w:name w:val="heading 3"/>
    <w:basedOn w:val="Normal"/>
    <w:next w:val="Normal"/>
    <w:link w:val="Heading3Char"/>
    <w:qFormat/>
    <w:rsid w:val="003B4302"/>
    <w:pPr>
      <w:keepNext/>
      <w:numPr>
        <w:ilvl w:val="2"/>
        <w:numId w:val="1"/>
      </w:numPr>
      <w:outlineLvl w:val="2"/>
    </w:pPr>
    <w:rPr>
      <w:b/>
      <w:sz w:val="18"/>
      <w:u w:val="single"/>
    </w:rPr>
  </w:style>
  <w:style w:type="paragraph" w:styleId="Heading4">
    <w:name w:val="heading 4"/>
    <w:basedOn w:val="Normal"/>
    <w:next w:val="Normal"/>
    <w:link w:val="Heading4Char"/>
    <w:uiPriority w:val="9"/>
    <w:qFormat/>
    <w:rsid w:val="003B4302"/>
    <w:pPr>
      <w:keepNext/>
      <w:numPr>
        <w:ilvl w:val="3"/>
        <w:numId w:val="1"/>
      </w:numPr>
      <w:jc w:val="right"/>
      <w:outlineLvl w:val="3"/>
    </w:pPr>
    <w:rPr>
      <w:b/>
      <w:sz w:val="16"/>
    </w:rPr>
  </w:style>
  <w:style w:type="paragraph" w:styleId="Heading5">
    <w:name w:val="heading 5"/>
    <w:basedOn w:val="Normal"/>
    <w:next w:val="Normal"/>
    <w:link w:val="Heading5Char"/>
    <w:qFormat/>
    <w:rsid w:val="003B4302"/>
    <w:pPr>
      <w:keepNext/>
      <w:numPr>
        <w:ilvl w:val="4"/>
        <w:numId w:val="1"/>
      </w:numPr>
      <w:tabs>
        <w:tab w:val="right" w:pos="10800"/>
      </w:tabs>
      <w:spacing w:after="120"/>
      <w:outlineLvl w:val="4"/>
    </w:pPr>
    <w:rPr>
      <w:b/>
      <w:sz w:val="20"/>
    </w:rPr>
  </w:style>
  <w:style w:type="paragraph" w:styleId="Heading6">
    <w:name w:val="heading 6"/>
    <w:basedOn w:val="Normal"/>
    <w:next w:val="Normal"/>
    <w:link w:val="Heading6Char"/>
    <w:qFormat/>
    <w:rsid w:val="003B4302"/>
    <w:pPr>
      <w:keepNext/>
      <w:numPr>
        <w:ilvl w:val="5"/>
        <w:numId w:val="1"/>
      </w:numPr>
      <w:tabs>
        <w:tab w:val="right" w:pos="10800"/>
      </w:tabs>
      <w:spacing w:after="120"/>
      <w:outlineLvl w:val="5"/>
    </w:pPr>
    <w:rPr>
      <w:b/>
      <w:sz w:val="24"/>
    </w:rPr>
  </w:style>
  <w:style w:type="paragraph" w:styleId="Heading7">
    <w:name w:val="heading 7"/>
    <w:basedOn w:val="Normal"/>
    <w:next w:val="Normal"/>
    <w:link w:val="Heading7Char"/>
    <w:qFormat/>
    <w:rsid w:val="003B4302"/>
    <w:pPr>
      <w:keepNext/>
      <w:numPr>
        <w:ilvl w:val="6"/>
        <w:numId w:val="1"/>
      </w:numPr>
      <w:spacing w:before="40" w:after="40"/>
      <w:outlineLvl w:val="6"/>
    </w:pPr>
    <w:rPr>
      <w:b/>
    </w:rPr>
  </w:style>
  <w:style w:type="paragraph" w:styleId="Heading8">
    <w:name w:val="heading 8"/>
    <w:basedOn w:val="Normal"/>
    <w:next w:val="Normal"/>
    <w:qFormat/>
    <w:rsid w:val="003B4302"/>
    <w:pPr>
      <w:keepNext/>
      <w:numPr>
        <w:ilvl w:val="7"/>
        <w:numId w:val="1"/>
      </w:numPr>
      <w:spacing w:before="40" w:after="40"/>
      <w:outlineLvl w:val="7"/>
    </w:pPr>
    <w:rPr>
      <w:b/>
      <w:sz w:val="20"/>
    </w:rPr>
  </w:style>
  <w:style w:type="paragraph" w:styleId="Heading9">
    <w:name w:val="heading 9"/>
    <w:basedOn w:val="Normal"/>
    <w:next w:val="Normal"/>
    <w:link w:val="Heading9Char"/>
    <w:qFormat/>
    <w:rsid w:val="003B4302"/>
    <w:pPr>
      <w:keepNext/>
      <w:numPr>
        <w:ilvl w:val="8"/>
        <w:numId w:val="1"/>
      </w:numPr>
      <w:tabs>
        <w:tab w:val="center" w:pos="162"/>
        <w:tab w:val="center" w:pos="702"/>
        <w:tab w:val="center" w:pos="1422"/>
        <w:tab w:val="center" w:pos="2232"/>
      </w:tabs>
      <w:outlineLvl w:val="8"/>
    </w:pPr>
    <w:rPr>
      <w:b/>
      <w:color w:val="008000"/>
      <w:sz w:val="1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3B4302"/>
    <w:rPr>
      <w:color w:val="0000FF"/>
      <w:u w:val="single"/>
    </w:rPr>
  </w:style>
  <w:style w:type="paragraph" w:styleId="Header">
    <w:name w:val="header"/>
    <w:basedOn w:val="Normal"/>
    <w:link w:val="HeaderChar"/>
    <w:uiPriority w:val="99"/>
    <w:rsid w:val="003B4302"/>
    <w:pPr>
      <w:tabs>
        <w:tab w:val="center" w:pos="4320"/>
        <w:tab w:val="right" w:pos="8640"/>
      </w:tabs>
    </w:pPr>
  </w:style>
  <w:style w:type="paragraph" w:styleId="Footer">
    <w:name w:val="footer"/>
    <w:basedOn w:val="Normal"/>
    <w:link w:val="FooterChar"/>
    <w:uiPriority w:val="99"/>
    <w:rsid w:val="003B4302"/>
    <w:pPr>
      <w:tabs>
        <w:tab w:val="center" w:pos="4320"/>
        <w:tab w:val="right" w:pos="8640"/>
      </w:tabs>
    </w:pPr>
  </w:style>
  <w:style w:type="character" w:styleId="PageNumber">
    <w:name w:val="page number"/>
    <w:basedOn w:val="DefaultParagraphFont"/>
    <w:rsid w:val="003B4302"/>
  </w:style>
  <w:style w:type="paragraph" w:styleId="BodyText3">
    <w:name w:val="Body Text 3"/>
    <w:basedOn w:val="Normal"/>
    <w:link w:val="BodyText3Char"/>
    <w:rsid w:val="003B4302"/>
    <w:rPr>
      <w:color w:val="0000FF"/>
    </w:rPr>
  </w:style>
  <w:style w:type="character" w:customStyle="1" w:styleId="Char">
    <w:name w:val="Char"/>
    <w:rsid w:val="003B4302"/>
    <w:rPr>
      <w:rFonts w:ascii="Arial" w:hAnsi="Arial" w:cs="Arial"/>
      <w:b/>
      <w:bCs/>
      <w:kern w:val="32"/>
      <w:sz w:val="32"/>
      <w:szCs w:val="32"/>
      <w:lang w:val="en-US" w:eastAsia="en-US" w:bidi="ar-SA"/>
    </w:rPr>
  </w:style>
  <w:style w:type="paragraph" w:customStyle="1" w:styleId="Default">
    <w:name w:val="Default"/>
    <w:uiPriority w:val="99"/>
    <w:rsid w:val="007107C5"/>
    <w:pPr>
      <w:autoSpaceDE w:val="0"/>
      <w:autoSpaceDN w:val="0"/>
      <w:adjustRightInd w:val="0"/>
    </w:pPr>
    <w:rPr>
      <w:rFonts w:ascii="Arial" w:hAnsi="Arial" w:cs="Arial"/>
      <w:color w:val="000000"/>
      <w:sz w:val="24"/>
      <w:szCs w:val="24"/>
    </w:rPr>
  </w:style>
  <w:style w:type="paragraph" w:styleId="BodyText">
    <w:name w:val="Body Text"/>
    <w:basedOn w:val="Normal"/>
    <w:link w:val="BodyTextChar"/>
    <w:rsid w:val="00D61918"/>
    <w:pPr>
      <w:spacing w:after="120"/>
    </w:pPr>
  </w:style>
  <w:style w:type="paragraph" w:styleId="BodyTextIndent2">
    <w:name w:val="Body Text Indent 2"/>
    <w:basedOn w:val="Normal"/>
    <w:link w:val="BodyTextIndent2Char"/>
    <w:rsid w:val="009A388F"/>
    <w:pPr>
      <w:spacing w:after="120" w:line="480" w:lineRule="auto"/>
      <w:ind w:left="360"/>
    </w:pPr>
  </w:style>
  <w:style w:type="paragraph" w:customStyle="1" w:styleId="SlideText">
    <w:name w:val="SlideText"/>
    <w:basedOn w:val="Normal"/>
    <w:rsid w:val="009A388F"/>
    <w:pPr>
      <w:tabs>
        <w:tab w:val="left" w:pos="360"/>
        <w:tab w:val="left" w:pos="1080"/>
        <w:tab w:val="left" w:pos="1800"/>
        <w:tab w:val="left" w:pos="2520"/>
        <w:tab w:val="left" w:pos="3240"/>
        <w:tab w:val="left" w:pos="3960"/>
        <w:tab w:val="left" w:pos="5760"/>
      </w:tabs>
      <w:spacing w:before="120" w:line="288" w:lineRule="exact"/>
      <w:ind w:left="360" w:hanging="360"/>
    </w:pPr>
    <w:rPr>
      <w:rFonts w:ascii="Times New Roman" w:eastAsia="Times New Roman" w:hAnsi="Times New Roman"/>
      <w:sz w:val="24"/>
    </w:rPr>
  </w:style>
  <w:style w:type="character" w:customStyle="1" w:styleId="plaintext1">
    <w:name w:val="plaintext1"/>
    <w:rsid w:val="00A20FBF"/>
    <w:rPr>
      <w:rFonts w:ascii="Tahoma" w:hAnsi="Tahoma" w:cs="Tahoma" w:hint="default"/>
      <w:b w:val="0"/>
      <w:bCs w:val="0"/>
      <w:color w:val="000000"/>
      <w:sz w:val="18"/>
      <w:szCs w:val="18"/>
    </w:rPr>
  </w:style>
  <w:style w:type="character" w:customStyle="1" w:styleId="fastfieldrequiredcell1">
    <w:name w:val="fastfieldrequiredcell1"/>
    <w:rsid w:val="00A20FBF"/>
    <w:rPr>
      <w:color w:val="990000"/>
    </w:rPr>
  </w:style>
  <w:style w:type="character" w:customStyle="1" w:styleId="fastfieldvaluereadonly">
    <w:name w:val="fastfieldvaluereadonly"/>
    <w:rsid w:val="000453F8"/>
  </w:style>
  <w:style w:type="character" w:styleId="CommentReference">
    <w:name w:val="annotation reference"/>
    <w:uiPriority w:val="99"/>
    <w:unhideWhenUsed/>
    <w:rsid w:val="00A03790"/>
    <w:rPr>
      <w:sz w:val="16"/>
      <w:szCs w:val="16"/>
    </w:rPr>
  </w:style>
  <w:style w:type="paragraph" w:styleId="CommentText">
    <w:name w:val="annotation text"/>
    <w:basedOn w:val="Normal"/>
    <w:link w:val="CommentTextChar"/>
    <w:uiPriority w:val="99"/>
    <w:unhideWhenUsed/>
    <w:rsid w:val="00A03790"/>
    <w:rPr>
      <w:sz w:val="20"/>
      <w:lang w:val="x-none" w:eastAsia="x-none"/>
    </w:rPr>
  </w:style>
  <w:style w:type="character" w:customStyle="1" w:styleId="CommentTextChar">
    <w:name w:val="Comment Text Char"/>
    <w:link w:val="CommentText"/>
    <w:uiPriority w:val="99"/>
    <w:rsid w:val="00A03790"/>
    <w:rPr>
      <w:rFonts w:ascii="Arial" w:eastAsia="Times" w:hAnsi="Arial"/>
    </w:rPr>
  </w:style>
  <w:style w:type="paragraph" w:styleId="CommentSubject">
    <w:name w:val="annotation subject"/>
    <w:basedOn w:val="CommentText"/>
    <w:next w:val="CommentText"/>
    <w:link w:val="CommentSubjectChar"/>
    <w:uiPriority w:val="99"/>
    <w:unhideWhenUsed/>
    <w:rsid w:val="00A03790"/>
    <w:rPr>
      <w:b/>
      <w:bCs/>
    </w:rPr>
  </w:style>
  <w:style w:type="character" w:customStyle="1" w:styleId="CommentSubjectChar">
    <w:name w:val="Comment Subject Char"/>
    <w:link w:val="CommentSubject"/>
    <w:uiPriority w:val="99"/>
    <w:rsid w:val="00A03790"/>
    <w:rPr>
      <w:rFonts w:ascii="Arial" w:eastAsia="Times" w:hAnsi="Arial"/>
      <w:b/>
      <w:bCs/>
    </w:rPr>
  </w:style>
  <w:style w:type="paragraph" w:styleId="BalloonText">
    <w:name w:val="Balloon Text"/>
    <w:basedOn w:val="Normal"/>
    <w:link w:val="BalloonTextChar"/>
    <w:uiPriority w:val="99"/>
    <w:semiHidden/>
    <w:unhideWhenUsed/>
    <w:rsid w:val="00A03790"/>
    <w:rPr>
      <w:rFonts w:ascii="Tahoma" w:hAnsi="Tahoma"/>
      <w:sz w:val="16"/>
      <w:szCs w:val="16"/>
      <w:lang w:val="x-none" w:eastAsia="x-none"/>
    </w:rPr>
  </w:style>
  <w:style w:type="character" w:customStyle="1" w:styleId="BalloonTextChar">
    <w:name w:val="Balloon Text Char"/>
    <w:link w:val="BalloonText"/>
    <w:uiPriority w:val="99"/>
    <w:semiHidden/>
    <w:rsid w:val="00A03790"/>
    <w:rPr>
      <w:rFonts w:ascii="Tahoma" w:eastAsia="Times" w:hAnsi="Tahoma" w:cs="Tahoma"/>
      <w:sz w:val="16"/>
      <w:szCs w:val="16"/>
    </w:rPr>
  </w:style>
  <w:style w:type="paragraph" w:customStyle="1" w:styleId="ColorfulShading-Accent31">
    <w:name w:val="Colorful Shading - Accent 31"/>
    <w:basedOn w:val="Normal"/>
    <w:uiPriority w:val="34"/>
    <w:qFormat/>
    <w:rsid w:val="00BA1437"/>
    <w:pPr>
      <w:ind w:left="720"/>
      <w:contextualSpacing/>
    </w:pPr>
    <w:rPr>
      <w:rFonts w:ascii="Times New Roman" w:eastAsia="Times New Roman" w:hAnsi="Times New Roman"/>
      <w:sz w:val="24"/>
      <w:szCs w:val="24"/>
    </w:rPr>
  </w:style>
  <w:style w:type="character" w:styleId="FollowedHyperlink">
    <w:name w:val="FollowedHyperlink"/>
    <w:uiPriority w:val="99"/>
    <w:unhideWhenUsed/>
    <w:rsid w:val="00145D1E"/>
    <w:rPr>
      <w:color w:val="800080"/>
      <w:u w:val="single"/>
    </w:rPr>
  </w:style>
  <w:style w:type="character" w:customStyle="1" w:styleId="FooterChar">
    <w:name w:val="Footer Char"/>
    <w:link w:val="Footer"/>
    <w:uiPriority w:val="99"/>
    <w:rsid w:val="00441D01"/>
    <w:rPr>
      <w:rFonts w:ascii="Arial" w:eastAsia="Times" w:hAnsi="Arial"/>
      <w:sz w:val="22"/>
    </w:rPr>
  </w:style>
  <w:style w:type="paragraph" w:customStyle="1" w:styleId="MediumGrid1-Accent21">
    <w:name w:val="Medium Grid 1 - Accent 21"/>
    <w:basedOn w:val="Normal"/>
    <w:uiPriority w:val="34"/>
    <w:qFormat/>
    <w:rsid w:val="009124D1"/>
    <w:pPr>
      <w:ind w:left="720"/>
      <w:contextualSpacing/>
    </w:pPr>
    <w:rPr>
      <w:rFonts w:eastAsia="Calibri"/>
      <w:szCs w:val="22"/>
    </w:rPr>
  </w:style>
  <w:style w:type="paragraph" w:customStyle="1" w:styleId="MediumList2-Accent21">
    <w:name w:val="Medium List 2 - Accent 21"/>
    <w:hidden/>
    <w:uiPriority w:val="99"/>
    <w:semiHidden/>
    <w:rsid w:val="00E1392F"/>
    <w:rPr>
      <w:rFonts w:ascii="Arial" w:eastAsia="Times" w:hAnsi="Arial"/>
      <w:sz w:val="22"/>
    </w:rPr>
  </w:style>
  <w:style w:type="character" w:customStyle="1" w:styleId="Heading1Char">
    <w:name w:val="Heading 1 Char"/>
    <w:link w:val="Heading1"/>
    <w:uiPriority w:val="9"/>
    <w:rsid w:val="00D8261C"/>
    <w:rPr>
      <w:rFonts w:ascii="Arial" w:eastAsia="Times" w:hAnsi="Arial"/>
      <w:b/>
      <w:sz w:val="24"/>
    </w:rPr>
  </w:style>
  <w:style w:type="character" w:customStyle="1" w:styleId="Heading2Char">
    <w:name w:val="Heading 2 Char"/>
    <w:link w:val="Heading2"/>
    <w:uiPriority w:val="9"/>
    <w:rsid w:val="00D8261C"/>
    <w:rPr>
      <w:rFonts w:ascii="Arial" w:eastAsia="Times" w:hAnsi="Arial"/>
      <w:b/>
      <w:sz w:val="16"/>
    </w:rPr>
  </w:style>
  <w:style w:type="character" w:customStyle="1" w:styleId="Heading3Char">
    <w:name w:val="Heading 3 Char"/>
    <w:link w:val="Heading3"/>
    <w:rsid w:val="00D8261C"/>
    <w:rPr>
      <w:rFonts w:ascii="Arial" w:eastAsia="Times" w:hAnsi="Arial"/>
      <w:b/>
      <w:sz w:val="18"/>
      <w:u w:val="single"/>
    </w:rPr>
  </w:style>
  <w:style w:type="character" w:customStyle="1" w:styleId="Heading4Char">
    <w:name w:val="Heading 4 Char"/>
    <w:link w:val="Heading4"/>
    <w:uiPriority w:val="9"/>
    <w:rsid w:val="00D8261C"/>
    <w:rPr>
      <w:rFonts w:ascii="Arial" w:eastAsia="Times" w:hAnsi="Arial"/>
      <w:b/>
      <w:sz w:val="16"/>
    </w:rPr>
  </w:style>
  <w:style w:type="character" w:customStyle="1" w:styleId="Heading5Char">
    <w:name w:val="Heading 5 Char"/>
    <w:link w:val="Heading5"/>
    <w:rsid w:val="00D8261C"/>
    <w:rPr>
      <w:rFonts w:ascii="Arial" w:eastAsia="Times" w:hAnsi="Arial"/>
      <w:b/>
    </w:rPr>
  </w:style>
  <w:style w:type="character" w:customStyle="1" w:styleId="Heading6Char">
    <w:name w:val="Heading 6 Char"/>
    <w:link w:val="Heading6"/>
    <w:rsid w:val="00D8261C"/>
    <w:rPr>
      <w:rFonts w:ascii="Arial" w:eastAsia="Times" w:hAnsi="Arial"/>
      <w:b/>
      <w:sz w:val="24"/>
    </w:rPr>
  </w:style>
  <w:style w:type="character" w:customStyle="1" w:styleId="Heading7Char">
    <w:name w:val="Heading 7 Char"/>
    <w:link w:val="Heading7"/>
    <w:rsid w:val="00D8261C"/>
    <w:rPr>
      <w:rFonts w:ascii="Arial" w:eastAsia="Times" w:hAnsi="Arial"/>
      <w:b/>
      <w:sz w:val="22"/>
    </w:rPr>
  </w:style>
  <w:style w:type="character" w:customStyle="1" w:styleId="Heading9Char">
    <w:name w:val="Heading 9 Char"/>
    <w:link w:val="Heading9"/>
    <w:rsid w:val="00D8261C"/>
    <w:rPr>
      <w:rFonts w:ascii="Arial" w:eastAsia="Times" w:hAnsi="Arial"/>
      <w:b/>
      <w:color w:val="008000"/>
      <w:sz w:val="12"/>
    </w:rPr>
  </w:style>
  <w:style w:type="character" w:customStyle="1" w:styleId="HeaderChar">
    <w:name w:val="Header Char"/>
    <w:link w:val="Header"/>
    <w:uiPriority w:val="99"/>
    <w:rsid w:val="00D8261C"/>
    <w:rPr>
      <w:rFonts w:ascii="Arial" w:eastAsia="Times" w:hAnsi="Arial"/>
      <w:sz w:val="22"/>
    </w:rPr>
  </w:style>
  <w:style w:type="paragraph" w:customStyle="1" w:styleId="MTDisplayEqu">
    <w:name w:val="MTDisplayEqu"/>
    <w:basedOn w:val="Normal"/>
    <w:rsid w:val="00D8261C"/>
    <w:pPr>
      <w:widowControl w:val="0"/>
      <w:tabs>
        <w:tab w:val="left" w:pos="0"/>
        <w:tab w:val="center" w:pos="3960"/>
        <w:tab w:val="right" w:pos="7920"/>
        <w:tab w:val="left" w:pos="8640"/>
      </w:tabs>
      <w:autoSpaceDE w:val="0"/>
      <w:autoSpaceDN w:val="0"/>
      <w:adjustRightInd w:val="0"/>
    </w:pPr>
    <w:rPr>
      <w:rFonts w:ascii="Helvetica" w:eastAsia="Times New Roman" w:hAnsi="Helvetica"/>
      <w:sz w:val="24"/>
    </w:rPr>
  </w:style>
  <w:style w:type="character" w:customStyle="1" w:styleId="BodyTextChar">
    <w:name w:val="Body Text Char"/>
    <w:link w:val="BodyText"/>
    <w:rsid w:val="00D8261C"/>
    <w:rPr>
      <w:rFonts w:ascii="Arial" w:eastAsia="Times" w:hAnsi="Arial"/>
      <w:sz w:val="22"/>
    </w:rPr>
  </w:style>
  <w:style w:type="paragraph" w:styleId="BodyText2">
    <w:name w:val="Body Text 2"/>
    <w:basedOn w:val="Normal"/>
    <w:link w:val="BodyText2Char"/>
    <w:rsid w:val="00D8261C"/>
    <w:pPr>
      <w:spacing w:after="120" w:line="480" w:lineRule="auto"/>
    </w:pPr>
    <w:rPr>
      <w:rFonts w:ascii="Times New Roman" w:eastAsia="Times New Roman" w:hAnsi="Times New Roman"/>
      <w:sz w:val="24"/>
      <w:szCs w:val="24"/>
    </w:rPr>
  </w:style>
  <w:style w:type="character" w:customStyle="1" w:styleId="BodyText2Char">
    <w:name w:val="Body Text 2 Char"/>
    <w:link w:val="BodyText2"/>
    <w:rsid w:val="00D8261C"/>
    <w:rPr>
      <w:sz w:val="24"/>
      <w:szCs w:val="24"/>
    </w:rPr>
  </w:style>
  <w:style w:type="character" w:customStyle="1" w:styleId="BodyText3Char">
    <w:name w:val="Body Text 3 Char"/>
    <w:link w:val="BodyText3"/>
    <w:rsid w:val="00D8261C"/>
    <w:rPr>
      <w:rFonts w:ascii="Arial" w:eastAsia="Times" w:hAnsi="Arial"/>
      <w:color w:val="0000FF"/>
      <w:sz w:val="22"/>
    </w:rPr>
  </w:style>
  <w:style w:type="paragraph" w:customStyle="1" w:styleId="Bullet1">
    <w:name w:val="Bullet 1"/>
    <w:basedOn w:val="Normal"/>
    <w:rsid w:val="00D8261C"/>
    <w:pPr>
      <w:numPr>
        <w:numId w:val="6"/>
      </w:numPr>
      <w:tabs>
        <w:tab w:val="clear" w:pos="1800"/>
      </w:tabs>
      <w:ind w:left="432"/>
    </w:pPr>
    <w:rPr>
      <w:rFonts w:ascii="Times New Roman" w:eastAsia="Times New Roman" w:hAnsi="Times New Roman"/>
      <w:sz w:val="24"/>
    </w:rPr>
  </w:style>
  <w:style w:type="paragraph" w:customStyle="1" w:styleId="Bullet2">
    <w:name w:val="Bullet 2"/>
    <w:basedOn w:val="Bullet1"/>
    <w:rsid w:val="00D8261C"/>
    <w:pPr>
      <w:numPr>
        <w:ilvl w:val="1"/>
      </w:numPr>
      <w:tabs>
        <w:tab w:val="clear" w:pos="864"/>
      </w:tabs>
    </w:pPr>
  </w:style>
  <w:style w:type="paragraph" w:customStyle="1" w:styleId="Bullet3">
    <w:name w:val="Bullet 3"/>
    <w:basedOn w:val="Bullet1"/>
    <w:rsid w:val="00D8261C"/>
    <w:pPr>
      <w:numPr>
        <w:ilvl w:val="2"/>
      </w:numPr>
      <w:tabs>
        <w:tab w:val="clear" w:pos="1008"/>
      </w:tabs>
      <w:ind w:left="1037"/>
    </w:pPr>
  </w:style>
  <w:style w:type="paragraph" w:customStyle="1" w:styleId="Bullet4">
    <w:name w:val="Bullet 4"/>
    <w:basedOn w:val="Bullet1"/>
    <w:rsid w:val="00D8261C"/>
    <w:pPr>
      <w:numPr>
        <w:ilvl w:val="3"/>
      </w:numPr>
      <w:tabs>
        <w:tab w:val="clear" w:pos="1224"/>
      </w:tabs>
      <w:ind w:left="1397"/>
    </w:pPr>
  </w:style>
  <w:style w:type="paragraph" w:customStyle="1" w:styleId="Observation">
    <w:name w:val="Observation"/>
    <w:basedOn w:val="Normal"/>
    <w:rsid w:val="00D8261C"/>
    <w:pPr>
      <w:spacing w:before="60" w:after="60"/>
      <w:ind w:left="144"/>
    </w:pPr>
    <w:rPr>
      <w:rFonts w:ascii="Times New Roman" w:eastAsia="Times New Roman" w:hAnsi="Times New Roman"/>
      <w:sz w:val="24"/>
    </w:rPr>
  </w:style>
  <w:style w:type="character" w:customStyle="1" w:styleId="BodyTextIndent2Char">
    <w:name w:val="Body Text Indent 2 Char"/>
    <w:link w:val="BodyTextIndent2"/>
    <w:rsid w:val="00D8261C"/>
    <w:rPr>
      <w:rFonts w:ascii="Arial" w:eastAsia="Times" w:hAnsi="Arial"/>
      <w:sz w:val="22"/>
    </w:rPr>
  </w:style>
  <w:style w:type="paragraph" w:customStyle="1" w:styleId="Alphabeticallist">
    <w:name w:val="Alphabetical list"/>
    <w:basedOn w:val="Normal"/>
    <w:rsid w:val="00D8261C"/>
    <w:pPr>
      <w:numPr>
        <w:numId w:val="7"/>
      </w:numPr>
      <w:spacing w:before="60"/>
    </w:pPr>
    <w:rPr>
      <w:rFonts w:ascii="Times New Roman" w:eastAsia="Times New Roman" w:hAnsi="Times New Roman"/>
      <w:snapToGrid w:val="0"/>
      <w:sz w:val="24"/>
    </w:rPr>
  </w:style>
  <w:style w:type="paragraph" w:styleId="NormalWeb">
    <w:name w:val="Normal (Web)"/>
    <w:basedOn w:val="Normal"/>
    <w:uiPriority w:val="99"/>
    <w:rsid w:val="00D8261C"/>
    <w:rPr>
      <w:rFonts w:ascii="Courier" w:eastAsia="Times New Roman" w:hAnsi="Courier"/>
      <w:sz w:val="20"/>
    </w:rPr>
  </w:style>
  <w:style w:type="character" w:customStyle="1" w:styleId="apple-converted-space">
    <w:name w:val="apple-converted-space"/>
    <w:rsid w:val="00D8261C"/>
  </w:style>
  <w:style w:type="character" w:customStyle="1" w:styleId="quoted21">
    <w:name w:val="quoted21"/>
    <w:rsid w:val="00D8261C"/>
    <w:rPr>
      <w:color w:val="007777"/>
    </w:rPr>
  </w:style>
  <w:style w:type="paragraph" w:styleId="BodyTextIndent3">
    <w:name w:val="Body Text Indent 3"/>
    <w:basedOn w:val="Normal"/>
    <w:link w:val="BodyTextIndent3Char"/>
    <w:rsid w:val="00D8261C"/>
    <w:pPr>
      <w:spacing w:after="120"/>
      <w:ind w:left="360"/>
    </w:pPr>
    <w:rPr>
      <w:rFonts w:ascii="Times New Roman" w:eastAsia="Times New Roman" w:hAnsi="Times New Roman"/>
      <w:sz w:val="16"/>
      <w:szCs w:val="16"/>
    </w:rPr>
  </w:style>
  <w:style w:type="character" w:customStyle="1" w:styleId="BodyTextIndent3Char">
    <w:name w:val="Body Text Indent 3 Char"/>
    <w:link w:val="BodyTextIndent3"/>
    <w:rsid w:val="00D8261C"/>
    <w:rPr>
      <w:sz w:val="16"/>
      <w:szCs w:val="16"/>
    </w:rPr>
  </w:style>
  <w:style w:type="table" w:styleId="TableGrid">
    <w:name w:val="Table Grid"/>
    <w:basedOn w:val="TableNormal"/>
    <w:uiPriority w:val="39"/>
    <w:rsid w:val="00D826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W-TableContents1">
    <w:name w:val="WW-Table Contents1"/>
    <w:basedOn w:val="BodyText"/>
    <w:rsid w:val="00D8261C"/>
    <w:pPr>
      <w:widowControl w:val="0"/>
      <w:suppressAutoHyphens/>
    </w:pPr>
    <w:rPr>
      <w:rFonts w:ascii="Bitstream Vera Serif" w:eastAsia="Bitstream Vera Sans" w:hAnsi="Bitstream Vera Serif"/>
      <w:sz w:val="24"/>
      <w:szCs w:val="24"/>
    </w:rPr>
  </w:style>
  <w:style w:type="paragraph" w:customStyle="1" w:styleId="FormFooterBorder">
    <w:name w:val="FormFooter/Border"/>
    <w:basedOn w:val="Footer"/>
    <w:rsid w:val="00D8261C"/>
    <w:pPr>
      <w:pBdr>
        <w:top w:val="single" w:sz="6" w:space="1" w:color="auto"/>
      </w:pBdr>
      <w:tabs>
        <w:tab w:val="clear" w:pos="4320"/>
        <w:tab w:val="clear" w:pos="8640"/>
        <w:tab w:val="center" w:pos="5400"/>
        <w:tab w:val="right" w:pos="10800"/>
      </w:tabs>
      <w:autoSpaceDE w:val="0"/>
      <w:autoSpaceDN w:val="0"/>
    </w:pPr>
    <w:rPr>
      <w:rFonts w:eastAsia="Times New Roman" w:cs="Arial"/>
      <w:sz w:val="16"/>
      <w:szCs w:val="16"/>
    </w:rPr>
  </w:style>
  <w:style w:type="paragraph" w:customStyle="1" w:styleId="PIHeader">
    <w:name w:val="PI Header"/>
    <w:basedOn w:val="Normal"/>
    <w:rsid w:val="00D8261C"/>
    <w:pPr>
      <w:autoSpaceDE w:val="0"/>
      <w:autoSpaceDN w:val="0"/>
      <w:spacing w:after="40"/>
      <w:ind w:left="864"/>
    </w:pPr>
    <w:rPr>
      <w:rFonts w:eastAsia="Times New Roman" w:cs="Arial"/>
      <w:noProof/>
      <w:sz w:val="16"/>
    </w:rPr>
  </w:style>
  <w:style w:type="paragraph" w:customStyle="1" w:styleId="Quick1">
    <w:name w:val="Quick 1."/>
    <w:basedOn w:val="Normal"/>
    <w:rsid w:val="00D8261C"/>
    <w:pPr>
      <w:widowControl w:val="0"/>
      <w:ind w:left="720" w:hanging="720"/>
    </w:pPr>
    <w:rPr>
      <w:rFonts w:ascii="Times New Roman" w:eastAsia="Times New Roman" w:hAnsi="Times New Roman"/>
      <w:snapToGrid w:val="0"/>
      <w:sz w:val="24"/>
    </w:rPr>
  </w:style>
  <w:style w:type="paragraph" w:customStyle="1" w:styleId="MTDisplayEquation">
    <w:name w:val="MTDisplayEquation"/>
    <w:basedOn w:val="Normal"/>
    <w:next w:val="Normal"/>
    <w:rsid w:val="00D8261C"/>
    <w:pPr>
      <w:tabs>
        <w:tab w:val="center" w:pos="4320"/>
        <w:tab w:val="right" w:pos="8640"/>
      </w:tabs>
    </w:pPr>
    <w:rPr>
      <w:rFonts w:ascii="Times New Roman" w:eastAsia="Times New Roman" w:hAnsi="Times New Roman"/>
      <w:szCs w:val="24"/>
    </w:rPr>
  </w:style>
  <w:style w:type="paragraph" w:styleId="List">
    <w:name w:val="List"/>
    <w:basedOn w:val="Normal"/>
    <w:rsid w:val="00D8261C"/>
    <w:pPr>
      <w:ind w:left="360" w:hanging="360"/>
    </w:pPr>
    <w:rPr>
      <w:rFonts w:ascii="Times New Roman" w:eastAsia="Times New Roman" w:hAnsi="Times New Roman"/>
      <w:sz w:val="24"/>
      <w:szCs w:val="24"/>
    </w:rPr>
  </w:style>
  <w:style w:type="paragraph" w:styleId="List2">
    <w:name w:val="List 2"/>
    <w:basedOn w:val="Normal"/>
    <w:rsid w:val="00D8261C"/>
    <w:pPr>
      <w:ind w:left="720" w:hanging="360"/>
    </w:pPr>
    <w:rPr>
      <w:rFonts w:ascii="Times New Roman" w:eastAsia="Times New Roman" w:hAnsi="Times New Roman"/>
      <w:sz w:val="24"/>
      <w:szCs w:val="24"/>
    </w:rPr>
  </w:style>
  <w:style w:type="paragraph" w:styleId="List3">
    <w:name w:val="List 3"/>
    <w:basedOn w:val="Normal"/>
    <w:rsid w:val="00D8261C"/>
    <w:pPr>
      <w:ind w:left="1080" w:hanging="360"/>
    </w:pPr>
    <w:rPr>
      <w:rFonts w:ascii="Times New Roman" w:eastAsia="Times New Roman" w:hAnsi="Times New Roman"/>
      <w:sz w:val="24"/>
      <w:szCs w:val="24"/>
    </w:rPr>
  </w:style>
  <w:style w:type="paragraph" w:styleId="List4">
    <w:name w:val="List 4"/>
    <w:basedOn w:val="Normal"/>
    <w:rsid w:val="00D8261C"/>
    <w:pPr>
      <w:ind w:left="1440" w:hanging="360"/>
    </w:pPr>
    <w:rPr>
      <w:rFonts w:ascii="Times New Roman" w:eastAsia="Times New Roman" w:hAnsi="Times New Roman"/>
      <w:sz w:val="24"/>
      <w:szCs w:val="24"/>
    </w:rPr>
  </w:style>
  <w:style w:type="paragraph" w:styleId="List5">
    <w:name w:val="List 5"/>
    <w:basedOn w:val="Normal"/>
    <w:rsid w:val="00D8261C"/>
    <w:pPr>
      <w:ind w:left="1800" w:hanging="360"/>
    </w:pPr>
    <w:rPr>
      <w:rFonts w:ascii="Times New Roman" w:eastAsia="Times New Roman" w:hAnsi="Times New Roman"/>
      <w:sz w:val="24"/>
      <w:szCs w:val="24"/>
    </w:rPr>
  </w:style>
  <w:style w:type="paragraph" w:styleId="ListBullet">
    <w:name w:val="List Bullet"/>
    <w:basedOn w:val="Normal"/>
    <w:rsid w:val="00D8261C"/>
    <w:pPr>
      <w:numPr>
        <w:numId w:val="8"/>
      </w:numPr>
    </w:pPr>
    <w:rPr>
      <w:rFonts w:ascii="Times New Roman" w:eastAsia="Times New Roman" w:hAnsi="Times New Roman"/>
      <w:sz w:val="24"/>
      <w:szCs w:val="24"/>
    </w:rPr>
  </w:style>
  <w:style w:type="paragraph" w:styleId="ListBullet2">
    <w:name w:val="List Bullet 2"/>
    <w:basedOn w:val="Normal"/>
    <w:rsid w:val="00D8261C"/>
    <w:pPr>
      <w:numPr>
        <w:numId w:val="9"/>
      </w:numPr>
    </w:pPr>
    <w:rPr>
      <w:rFonts w:ascii="Times New Roman" w:eastAsia="Times New Roman" w:hAnsi="Times New Roman"/>
      <w:sz w:val="24"/>
      <w:szCs w:val="24"/>
    </w:rPr>
  </w:style>
  <w:style w:type="paragraph" w:styleId="ListContinue">
    <w:name w:val="List Continue"/>
    <w:basedOn w:val="Normal"/>
    <w:rsid w:val="00D8261C"/>
    <w:pPr>
      <w:spacing w:after="120"/>
      <w:ind w:left="360"/>
    </w:pPr>
    <w:rPr>
      <w:rFonts w:ascii="Times New Roman" w:eastAsia="Times New Roman" w:hAnsi="Times New Roman"/>
      <w:sz w:val="24"/>
      <w:szCs w:val="24"/>
    </w:rPr>
  </w:style>
  <w:style w:type="paragraph" w:styleId="ListContinue3">
    <w:name w:val="List Continue 3"/>
    <w:basedOn w:val="Normal"/>
    <w:rsid w:val="00D8261C"/>
    <w:pPr>
      <w:spacing w:after="120"/>
      <w:ind w:left="1080"/>
    </w:pPr>
    <w:rPr>
      <w:rFonts w:ascii="Times New Roman" w:eastAsia="Times New Roman" w:hAnsi="Times New Roman"/>
      <w:sz w:val="24"/>
      <w:szCs w:val="24"/>
    </w:rPr>
  </w:style>
  <w:style w:type="paragraph" w:styleId="ListContinue4">
    <w:name w:val="List Continue 4"/>
    <w:basedOn w:val="Normal"/>
    <w:rsid w:val="00D8261C"/>
    <w:pPr>
      <w:spacing w:after="120"/>
      <w:ind w:left="1440"/>
    </w:pPr>
    <w:rPr>
      <w:rFonts w:ascii="Times New Roman" w:eastAsia="Times New Roman" w:hAnsi="Times New Roman"/>
      <w:sz w:val="24"/>
      <w:szCs w:val="24"/>
    </w:rPr>
  </w:style>
  <w:style w:type="paragraph" w:styleId="ListContinue5">
    <w:name w:val="List Continue 5"/>
    <w:basedOn w:val="Normal"/>
    <w:rsid w:val="00D8261C"/>
    <w:pPr>
      <w:spacing w:after="120"/>
      <w:ind w:left="1800"/>
    </w:pPr>
    <w:rPr>
      <w:rFonts w:ascii="Times New Roman" w:eastAsia="Times New Roman" w:hAnsi="Times New Roman"/>
      <w:sz w:val="24"/>
      <w:szCs w:val="24"/>
    </w:rPr>
  </w:style>
  <w:style w:type="paragraph" w:styleId="BlockText">
    <w:name w:val="Block Text"/>
    <w:basedOn w:val="Normal"/>
    <w:rsid w:val="00D8261C"/>
    <w:pPr>
      <w:spacing w:line="234" w:lineRule="exact"/>
      <w:ind w:left="-720" w:right="-720"/>
    </w:pPr>
    <w:rPr>
      <w:rFonts w:ascii="Times New Roman" w:eastAsia="Times New Roman" w:hAnsi="Times New Roman"/>
      <w:sz w:val="24"/>
      <w:szCs w:val="24"/>
    </w:rPr>
  </w:style>
  <w:style w:type="paragraph" w:customStyle="1" w:styleId="ColorfulList-Accent11">
    <w:name w:val="Colorful List - Accent 11"/>
    <w:basedOn w:val="Normal"/>
    <w:uiPriority w:val="34"/>
    <w:qFormat/>
    <w:rsid w:val="00D8261C"/>
    <w:pPr>
      <w:ind w:left="720"/>
    </w:pPr>
    <w:rPr>
      <w:rFonts w:ascii="Times New Roman" w:eastAsia="Times New Roman" w:hAnsi="Times New Roman"/>
      <w:sz w:val="24"/>
      <w:szCs w:val="24"/>
    </w:rPr>
  </w:style>
  <w:style w:type="character" w:customStyle="1" w:styleId="MediumGrid2Char">
    <w:name w:val="Medium Grid 2 Char"/>
    <w:link w:val="MediumGrid21"/>
    <w:uiPriority w:val="1"/>
    <w:locked/>
    <w:rsid w:val="00D8261C"/>
  </w:style>
  <w:style w:type="paragraph" w:customStyle="1" w:styleId="MediumGrid21">
    <w:name w:val="Medium Grid 21"/>
    <w:basedOn w:val="Normal"/>
    <w:link w:val="MediumGrid2Char"/>
    <w:uiPriority w:val="1"/>
    <w:qFormat/>
    <w:rsid w:val="00D8261C"/>
    <w:rPr>
      <w:rFonts w:ascii="Times New Roman" w:eastAsia="Times New Roman" w:hAnsi="Times New Roman"/>
      <w:sz w:val="20"/>
    </w:rPr>
  </w:style>
  <w:style w:type="paragraph" w:customStyle="1" w:styleId="ColorfulShading-Accent11">
    <w:name w:val="Colorful Shading - Accent 11"/>
    <w:hidden/>
    <w:uiPriority w:val="99"/>
    <w:semiHidden/>
    <w:rsid w:val="00D8261C"/>
    <w:rPr>
      <w:sz w:val="24"/>
      <w:szCs w:val="24"/>
    </w:rPr>
  </w:style>
  <w:style w:type="paragraph" w:customStyle="1" w:styleId="GridTable21">
    <w:name w:val="Grid Table 21"/>
    <w:basedOn w:val="Normal"/>
    <w:next w:val="Normal"/>
    <w:uiPriority w:val="37"/>
    <w:unhideWhenUsed/>
    <w:rsid w:val="00D8261C"/>
    <w:pPr>
      <w:tabs>
        <w:tab w:val="left" w:pos="500"/>
      </w:tabs>
      <w:spacing w:after="240"/>
      <w:ind w:left="504" w:hanging="504"/>
    </w:pPr>
    <w:rPr>
      <w:rFonts w:ascii="Times New Roman" w:eastAsia="Calibri" w:hAnsi="Times New Roman"/>
      <w:sz w:val="24"/>
      <w:szCs w:val="24"/>
    </w:rPr>
  </w:style>
  <w:style w:type="character" w:customStyle="1" w:styleId="element-citation">
    <w:name w:val="element-citation"/>
    <w:rsid w:val="00D8261C"/>
  </w:style>
  <w:style w:type="character" w:customStyle="1" w:styleId="ref-journal">
    <w:name w:val="ref-journal"/>
    <w:rsid w:val="00D8261C"/>
  </w:style>
  <w:style w:type="character" w:customStyle="1" w:styleId="ref-vol">
    <w:name w:val="ref-vol"/>
    <w:rsid w:val="00D8261C"/>
  </w:style>
  <w:style w:type="character" w:customStyle="1" w:styleId="doi1">
    <w:name w:val="doi1"/>
    <w:rsid w:val="00D8261C"/>
    <w:rPr>
      <w:color w:val="666666"/>
    </w:rPr>
  </w:style>
  <w:style w:type="table" w:customStyle="1" w:styleId="TableGrid1">
    <w:name w:val="Table Grid1"/>
    <w:basedOn w:val="TableNormal"/>
    <w:next w:val="TableGrid"/>
    <w:uiPriority w:val="39"/>
    <w:rsid w:val="00D8261C"/>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rsid w:val="00D8261C"/>
    <w:rPr>
      <w:i/>
      <w:iCs/>
    </w:rPr>
  </w:style>
  <w:style w:type="numbering" w:customStyle="1" w:styleId="NoList1">
    <w:name w:val="No List1"/>
    <w:next w:val="NoList"/>
    <w:uiPriority w:val="99"/>
    <w:semiHidden/>
    <w:unhideWhenUsed/>
    <w:rsid w:val="00D8261C"/>
  </w:style>
  <w:style w:type="paragraph" w:customStyle="1" w:styleId="EndNoteBibliographyTitle">
    <w:name w:val="EndNote Bibliography Title"/>
    <w:basedOn w:val="Normal"/>
    <w:link w:val="EndNoteBibliographyTitleChar"/>
    <w:rsid w:val="00D8261C"/>
    <w:pPr>
      <w:jc w:val="center"/>
    </w:pPr>
    <w:rPr>
      <w:rFonts w:eastAsia="Calibri" w:cs="Arial"/>
      <w:noProof/>
      <w:szCs w:val="22"/>
    </w:rPr>
  </w:style>
  <w:style w:type="character" w:customStyle="1" w:styleId="EndNoteBibliographyTitleChar">
    <w:name w:val="EndNote Bibliography Title Char"/>
    <w:link w:val="EndNoteBibliographyTitle"/>
    <w:rsid w:val="00D8261C"/>
    <w:rPr>
      <w:rFonts w:ascii="Arial" w:eastAsia="Calibri" w:hAnsi="Arial" w:cs="Arial"/>
      <w:noProof/>
      <w:sz w:val="22"/>
      <w:szCs w:val="22"/>
    </w:rPr>
  </w:style>
  <w:style w:type="paragraph" w:customStyle="1" w:styleId="EndNoteBibliography">
    <w:name w:val="EndNote Bibliography"/>
    <w:basedOn w:val="Normal"/>
    <w:link w:val="EndNoteBibliographyChar"/>
    <w:rsid w:val="00D8261C"/>
    <w:rPr>
      <w:rFonts w:eastAsia="Calibri" w:cs="Arial"/>
      <w:noProof/>
      <w:szCs w:val="22"/>
    </w:rPr>
  </w:style>
  <w:style w:type="character" w:customStyle="1" w:styleId="EndNoteBibliographyChar">
    <w:name w:val="EndNote Bibliography Char"/>
    <w:link w:val="EndNoteBibliography"/>
    <w:rsid w:val="00D8261C"/>
    <w:rPr>
      <w:rFonts w:ascii="Arial" w:eastAsia="Calibri" w:hAnsi="Arial" w:cs="Arial"/>
      <w:noProof/>
      <w:sz w:val="22"/>
      <w:szCs w:val="22"/>
    </w:rPr>
  </w:style>
  <w:style w:type="character" w:customStyle="1" w:styleId="nlmstring-name">
    <w:name w:val="nlm_string-name"/>
    <w:rsid w:val="00D8261C"/>
  </w:style>
  <w:style w:type="character" w:customStyle="1" w:styleId="nlmgiven-names">
    <w:name w:val="nlm_given-names"/>
    <w:rsid w:val="00D8261C"/>
  </w:style>
  <w:style w:type="character" w:customStyle="1" w:styleId="nlmarticle-title">
    <w:name w:val="nlm_article-title"/>
    <w:rsid w:val="00D8261C"/>
  </w:style>
  <w:style w:type="character" w:customStyle="1" w:styleId="nlmfpage">
    <w:name w:val="nlm_fpage"/>
    <w:rsid w:val="00D8261C"/>
  </w:style>
  <w:style w:type="character" w:customStyle="1" w:styleId="nlmlpage">
    <w:name w:val="nlm_lpage"/>
    <w:rsid w:val="00D8261C"/>
  </w:style>
  <w:style w:type="character" w:customStyle="1" w:styleId="nlmyear">
    <w:name w:val="nlm_year"/>
    <w:rsid w:val="00D8261C"/>
  </w:style>
  <w:style w:type="character" w:customStyle="1" w:styleId="offscreennoflow">
    <w:name w:val="offscreen_noflow"/>
    <w:rsid w:val="00D8261C"/>
  </w:style>
  <w:style w:type="character" w:customStyle="1" w:styleId="label">
    <w:name w:val="label"/>
    <w:rsid w:val="00D8261C"/>
  </w:style>
  <w:style w:type="character" w:customStyle="1" w:styleId="separator">
    <w:name w:val="separator"/>
    <w:rsid w:val="00D8261C"/>
  </w:style>
  <w:style w:type="character" w:customStyle="1" w:styleId="value">
    <w:name w:val="value"/>
    <w:rsid w:val="00D8261C"/>
  </w:style>
  <w:style w:type="character" w:customStyle="1" w:styleId="highlight">
    <w:name w:val="highlight"/>
    <w:rsid w:val="00D8261C"/>
  </w:style>
  <w:style w:type="paragraph" w:customStyle="1" w:styleId="Title1">
    <w:name w:val="Title1"/>
    <w:basedOn w:val="Normal"/>
    <w:rsid w:val="00D8261C"/>
    <w:pPr>
      <w:spacing w:before="100" w:beforeAutospacing="1" w:after="100" w:afterAutospacing="1"/>
    </w:pPr>
    <w:rPr>
      <w:rFonts w:ascii="Times New Roman" w:eastAsia="Times New Roman" w:hAnsi="Times New Roman"/>
      <w:sz w:val="24"/>
      <w:szCs w:val="24"/>
    </w:rPr>
  </w:style>
  <w:style w:type="paragraph" w:customStyle="1" w:styleId="desc">
    <w:name w:val="desc"/>
    <w:basedOn w:val="Normal"/>
    <w:rsid w:val="00D8261C"/>
    <w:pPr>
      <w:spacing w:before="100" w:beforeAutospacing="1" w:after="100" w:afterAutospacing="1"/>
    </w:pPr>
    <w:rPr>
      <w:rFonts w:ascii="Times New Roman" w:eastAsia="Times New Roman" w:hAnsi="Times New Roman"/>
      <w:sz w:val="24"/>
      <w:szCs w:val="24"/>
    </w:rPr>
  </w:style>
  <w:style w:type="paragraph" w:customStyle="1" w:styleId="details">
    <w:name w:val="details"/>
    <w:basedOn w:val="Normal"/>
    <w:rsid w:val="00D8261C"/>
    <w:pPr>
      <w:spacing w:before="100" w:beforeAutospacing="1" w:after="100" w:afterAutospacing="1"/>
    </w:pPr>
    <w:rPr>
      <w:rFonts w:ascii="Times New Roman" w:eastAsia="Times New Roman" w:hAnsi="Times New Roman"/>
      <w:sz w:val="24"/>
      <w:szCs w:val="24"/>
    </w:rPr>
  </w:style>
  <w:style w:type="character" w:customStyle="1" w:styleId="jrnl">
    <w:name w:val="jrnl"/>
    <w:rsid w:val="00D8261C"/>
  </w:style>
  <w:style w:type="paragraph" w:customStyle="1" w:styleId="links">
    <w:name w:val="links"/>
    <w:basedOn w:val="Normal"/>
    <w:rsid w:val="00D8261C"/>
    <w:pPr>
      <w:spacing w:before="100" w:beforeAutospacing="1" w:after="100" w:afterAutospacing="1"/>
    </w:pPr>
    <w:rPr>
      <w:rFonts w:ascii="Times New Roman" w:eastAsia="Times New Roman" w:hAnsi="Times New Roman"/>
      <w:sz w:val="24"/>
      <w:szCs w:val="24"/>
    </w:rPr>
  </w:style>
  <w:style w:type="paragraph" w:styleId="PlainText">
    <w:name w:val="Plain Text"/>
    <w:basedOn w:val="Normal"/>
    <w:link w:val="PlainTextChar"/>
    <w:uiPriority w:val="99"/>
    <w:unhideWhenUsed/>
    <w:rsid w:val="00D8261C"/>
    <w:rPr>
      <w:rFonts w:ascii="Calibri" w:eastAsia="Calibri" w:hAnsi="Calibri" w:cs="Consolas"/>
      <w:szCs w:val="21"/>
    </w:rPr>
  </w:style>
  <w:style w:type="character" w:customStyle="1" w:styleId="PlainTextChar">
    <w:name w:val="Plain Text Char"/>
    <w:link w:val="PlainText"/>
    <w:uiPriority w:val="99"/>
    <w:rsid w:val="00D8261C"/>
    <w:rPr>
      <w:rFonts w:ascii="Calibri" w:eastAsia="Calibri" w:hAnsi="Calibri" w:cs="Consolas"/>
      <w:sz w:val="22"/>
      <w:szCs w:val="21"/>
    </w:rPr>
  </w:style>
  <w:style w:type="paragraph" w:customStyle="1" w:styleId="Title2">
    <w:name w:val="Title2"/>
    <w:basedOn w:val="Normal"/>
    <w:rsid w:val="00D8261C"/>
    <w:pPr>
      <w:spacing w:before="100" w:beforeAutospacing="1" w:after="100" w:afterAutospacing="1"/>
    </w:pPr>
    <w:rPr>
      <w:rFonts w:ascii="Times New Roman" w:eastAsia="Times New Roman" w:hAnsi="Times New Roman"/>
      <w:sz w:val="24"/>
      <w:szCs w:val="24"/>
    </w:rPr>
  </w:style>
  <w:style w:type="paragraph" w:customStyle="1" w:styleId="Title3">
    <w:name w:val="Title3"/>
    <w:basedOn w:val="Normal"/>
    <w:rsid w:val="00D8261C"/>
    <w:pPr>
      <w:spacing w:before="100" w:beforeAutospacing="1" w:after="100" w:afterAutospacing="1"/>
    </w:pPr>
    <w:rPr>
      <w:rFonts w:ascii="Times New Roman" w:eastAsia="Times New Roman" w:hAnsi="Times New Roman"/>
      <w:sz w:val="24"/>
      <w:szCs w:val="24"/>
    </w:rPr>
  </w:style>
  <w:style w:type="character" w:customStyle="1" w:styleId="s1">
    <w:name w:val="s1"/>
    <w:rsid w:val="00D8261C"/>
  </w:style>
  <w:style w:type="character" w:customStyle="1" w:styleId="hlfld-contribauthor">
    <w:name w:val="hlfld-contribauthor"/>
    <w:rsid w:val="00D8261C"/>
  </w:style>
  <w:style w:type="paragraph" w:customStyle="1" w:styleId="title10">
    <w:name w:val="title1"/>
    <w:basedOn w:val="Normal"/>
    <w:rsid w:val="00D8261C"/>
    <w:rPr>
      <w:rFonts w:ascii="Times New Roman" w:eastAsia="Times New Roman" w:hAnsi="Times New Roman"/>
      <w:sz w:val="27"/>
      <w:szCs w:val="27"/>
    </w:rPr>
  </w:style>
  <w:style w:type="paragraph" w:customStyle="1" w:styleId="desc2">
    <w:name w:val="desc2"/>
    <w:basedOn w:val="Normal"/>
    <w:rsid w:val="00D8261C"/>
    <w:rPr>
      <w:rFonts w:ascii="Times New Roman" w:eastAsia="Times New Roman" w:hAnsi="Times New Roman"/>
      <w:sz w:val="26"/>
      <w:szCs w:val="26"/>
    </w:rPr>
  </w:style>
  <w:style w:type="paragraph" w:customStyle="1" w:styleId="details1">
    <w:name w:val="details1"/>
    <w:basedOn w:val="Normal"/>
    <w:rsid w:val="00D8261C"/>
    <w:rPr>
      <w:rFonts w:ascii="Times New Roman" w:eastAsia="Times New Roman" w:hAnsi="Times New Roman"/>
      <w:szCs w:val="22"/>
    </w:rPr>
  </w:style>
  <w:style w:type="character" w:customStyle="1" w:styleId="slug-doi">
    <w:name w:val="slug-doi"/>
    <w:rsid w:val="00D8261C"/>
  </w:style>
  <w:style w:type="paragraph" w:styleId="TOCHeading">
    <w:name w:val="TOC Heading"/>
    <w:basedOn w:val="Heading1"/>
    <w:next w:val="Normal"/>
    <w:uiPriority w:val="39"/>
    <w:unhideWhenUsed/>
    <w:qFormat/>
    <w:rsid w:val="00E51664"/>
    <w:pPr>
      <w:keepLines/>
      <w:numPr>
        <w:numId w:val="0"/>
      </w:numPr>
      <w:spacing w:before="240" w:line="259" w:lineRule="auto"/>
      <w:outlineLvl w:val="9"/>
    </w:pPr>
    <w:rPr>
      <w:rFonts w:asciiTheme="majorHAnsi" w:eastAsiaTheme="majorEastAsia" w:hAnsiTheme="majorHAnsi" w:cstheme="majorBidi"/>
      <w:b w:val="0"/>
      <w:color w:val="2E74B5" w:themeColor="accent1" w:themeShade="BF"/>
      <w:sz w:val="32"/>
      <w:szCs w:val="32"/>
    </w:rPr>
  </w:style>
  <w:style w:type="paragraph" w:styleId="TOC2">
    <w:name w:val="toc 2"/>
    <w:basedOn w:val="Normal"/>
    <w:next w:val="Normal"/>
    <w:autoRedefine/>
    <w:uiPriority w:val="39"/>
    <w:unhideWhenUsed/>
    <w:rsid w:val="00E51664"/>
    <w:pPr>
      <w:spacing w:after="100"/>
      <w:ind w:left="220"/>
    </w:pPr>
  </w:style>
  <w:style w:type="paragraph" w:styleId="Bibliography">
    <w:name w:val="Bibliography"/>
    <w:basedOn w:val="Normal"/>
    <w:next w:val="Normal"/>
    <w:uiPriority w:val="37"/>
    <w:unhideWhenUsed/>
    <w:rsid w:val="009F2513"/>
    <w:pPr>
      <w:tabs>
        <w:tab w:val="left" w:pos="504"/>
      </w:tabs>
      <w:spacing w:after="240"/>
      <w:ind w:left="504" w:hanging="504"/>
    </w:pPr>
  </w:style>
  <w:style w:type="paragraph" w:styleId="ListParagraph">
    <w:name w:val="List Paragraph"/>
    <w:basedOn w:val="Normal"/>
    <w:uiPriority w:val="34"/>
    <w:qFormat/>
    <w:rsid w:val="001F11CC"/>
    <w:pPr>
      <w:ind w:left="720"/>
      <w:contextualSpacing/>
    </w:pPr>
  </w:style>
  <w:style w:type="paragraph" w:styleId="Revision">
    <w:name w:val="Revision"/>
    <w:hidden/>
    <w:uiPriority w:val="99"/>
    <w:semiHidden/>
    <w:rsid w:val="00F36809"/>
    <w:rPr>
      <w:rFonts w:ascii="Arial" w:eastAsia="Times"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814313">
      <w:bodyDiv w:val="1"/>
      <w:marLeft w:val="0"/>
      <w:marRight w:val="0"/>
      <w:marTop w:val="0"/>
      <w:marBottom w:val="0"/>
      <w:divBdr>
        <w:top w:val="none" w:sz="0" w:space="0" w:color="auto"/>
        <w:left w:val="none" w:sz="0" w:space="0" w:color="auto"/>
        <w:bottom w:val="none" w:sz="0" w:space="0" w:color="auto"/>
        <w:right w:val="none" w:sz="0" w:space="0" w:color="auto"/>
      </w:divBdr>
    </w:div>
    <w:div w:id="43146428">
      <w:bodyDiv w:val="1"/>
      <w:marLeft w:val="0"/>
      <w:marRight w:val="0"/>
      <w:marTop w:val="0"/>
      <w:marBottom w:val="0"/>
      <w:divBdr>
        <w:top w:val="none" w:sz="0" w:space="0" w:color="auto"/>
        <w:left w:val="none" w:sz="0" w:space="0" w:color="auto"/>
        <w:bottom w:val="none" w:sz="0" w:space="0" w:color="auto"/>
        <w:right w:val="none" w:sz="0" w:space="0" w:color="auto"/>
      </w:divBdr>
      <w:divsChild>
        <w:div w:id="564341356">
          <w:marLeft w:val="1037"/>
          <w:marRight w:val="0"/>
          <w:marTop w:val="40"/>
          <w:marBottom w:val="40"/>
          <w:divBdr>
            <w:top w:val="none" w:sz="0" w:space="0" w:color="auto"/>
            <w:left w:val="none" w:sz="0" w:space="0" w:color="auto"/>
            <w:bottom w:val="none" w:sz="0" w:space="0" w:color="auto"/>
            <w:right w:val="none" w:sz="0" w:space="0" w:color="auto"/>
          </w:divBdr>
        </w:div>
      </w:divsChild>
    </w:div>
    <w:div w:id="80757338">
      <w:bodyDiv w:val="1"/>
      <w:marLeft w:val="0"/>
      <w:marRight w:val="0"/>
      <w:marTop w:val="0"/>
      <w:marBottom w:val="0"/>
      <w:divBdr>
        <w:top w:val="none" w:sz="0" w:space="0" w:color="auto"/>
        <w:left w:val="none" w:sz="0" w:space="0" w:color="auto"/>
        <w:bottom w:val="none" w:sz="0" w:space="0" w:color="auto"/>
        <w:right w:val="none" w:sz="0" w:space="0" w:color="auto"/>
      </w:divBdr>
    </w:div>
    <w:div w:id="103350994">
      <w:bodyDiv w:val="1"/>
      <w:marLeft w:val="0"/>
      <w:marRight w:val="0"/>
      <w:marTop w:val="0"/>
      <w:marBottom w:val="0"/>
      <w:divBdr>
        <w:top w:val="none" w:sz="0" w:space="0" w:color="auto"/>
        <w:left w:val="none" w:sz="0" w:space="0" w:color="auto"/>
        <w:bottom w:val="none" w:sz="0" w:space="0" w:color="auto"/>
        <w:right w:val="none" w:sz="0" w:space="0" w:color="auto"/>
      </w:divBdr>
    </w:div>
    <w:div w:id="199168508">
      <w:bodyDiv w:val="1"/>
      <w:marLeft w:val="0"/>
      <w:marRight w:val="0"/>
      <w:marTop w:val="0"/>
      <w:marBottom w:val="0"/>
      <w:divBdr>
        <w:top w:val="none" w:sz="0" w:space="0" w:color="auto"/>
        <w:left w:val="none" w:sz="0" w:space="0" w:color="auto"/>
        <w:bottom w:val="none" w:sz="0" w:space="0" w:color="auto"/>
        <w:right w:val="none" w:sz="0" w:space="0" w:color="auto"/>
      </w:divBdr>
    </w:div>
    <w:div w:id="309555295">
      <w:bodyDiv w:val="1"/>
      <w:marLeft w:val="0"/>
      <w:marRight w:val="0"/>
      <w:marTop w:val="0"/>
      <w:marBottom w:val="0"/>
      <w:divBdr>
        <w:top w:val="none" w:sz="0" w:space="0" w:color="auto"/>
        <w:left w:val="none" w:sz="0" w:space="0" w:color="auto"/>
        <w:bottom w:val="none" w:sz="0" w:space="0" w:color="auto"/>
        <w:right w:val="none" w:sz="0" w:space="0" w:color="auto"/>
      </w:divBdr>
    </w:div>
    <w:div w:id="397093381">
      <w:bodyDiv w:val="1"/>
      <w:marLeft w:val="0"/>
      <w:marRight w:val="0"/>
      <w:marTop w:val="0"/>
      <w:marBottom w:val="0"/>
      <w:divBdr>
        <w:top w:val="none" w:sz="0" w:space="0" w:color="auto"/>
        <w:left w:val="none" w:sz="0" w:space="0" w:color="auto"/>
        <w:bottom w:val="none" w:sz="0" w:space="0" w:color="auto"/>
        <w:right w:val="none" w:sz="0" w:space="0" w:color="auto"/>
      </w:divBdr>
    </w:div>
    <w:div w:id="473714522">
      <w:bodyDiv w:val="1"/>
      <w:marLeft w:val="0"/>
      <w:marRight w:val="0"/>
      <w:marTop w:val="0"/>
      <w:marBottom w:val="0"/>
      <w:divBdr>
        <w:top w:val="none" w:sz="0" w:space="0" w:color="auto"/>
        <w:left w:val="none" w:sz="0" w:space="0" w:color="auto"/>
        <w:bottom w:val="none" w:sz="0" w:space="0" w:color="auto"/>
        <w:right w:val="none" w:sz="0" w:space="0" w:color="auto"/>
      </w:divBdr>
      <w:divsChild>
        <w:div w:id="268045371">
          <w:marLeft w:val="1166"/>
          <w:marRight w:val="0"/>
          <w:marTop w:val="120"/>
          <w:marBottom w:val="0"/>
          <w:divBdr>
            <w:top w:val="none" w:sz="0" w:space="0" w:color="auto"/>
            <w:left w:val="none" w:sz="0" w:space="0" w:color="auto"/>
            <w:bottom w:val="none" w:sz="0" w:space="0" w:color="auto"/>
            <w:right w:val="none" w:sz="0" w:space="0" w:color="auto"/>
          </w:divBdr>
        </w:div>
        <w:div w:id="944192445">
          <w:marLeft w:val="1166"/>
          <w:marRight w:val="0"/>
          <w:marTop w:val="120"/>
          <w:marBottom w:val="0"/>
          <w:divBdr>
            <w:top w:val="none" w:sz="0" w:space="0" w:color="auto"/>
            <w:left w:val="none" w:sz="0" w:space="0" w:color="auto"/>
            <w:bottom w:val="none" w:sz="0" w:space="0" w:color="auto"/>
            <w:right w:val="none" w:sz="0" w:space="0" w:color="auto"/>
          </w:divBdr>
        </w:div>
        <w:div w:id="1224833573">
          <w:marLeft w:val="1166"/>
          <w:marRight w:val="0"/>
          <w:marTop w:val="120"/>
          <w:marBottom w:val="0"/>
          <w:divBdr>
            <w:top w:val="none" w:sz="0" w:space="0" w:color="auto"/>
            <w:left w:val="none" w:sz="0" w:space="0" w:color="auto"/>
            <w:bottom w:val="none" w:sz="0" w:space="0" w:color="auto"/>
            <w:right w:val="none" w:sz="0" w:space="0" w:color="auto"/>
          </w:divBdr>
        </w:div>
      </w:divsChild>
    </w:div>
    <w:div w:id="578442245">
      <w:bodyDiv w:val="1"/>
      <w:marLeft w:val="0"/>
      <w:marRight w:val="0"/>
      <w:marTop w:val="0"/>
      <w:marBottom w:val="0"/>
      <w:divBdr>
        <w:top w:val="none" w:sz="0" w:space="0" w:color="auto"/>
        <w:left w:val="none" w:sz="0" w:space="0" w:color="auto"/>
        <w:bottom w:val="none" w:sz="0" w:space="0" w:color="auto"/>
        <w:right w:val="none" w:sz="0" w:space="0" w:color="auto"/>
      </w:divBdr>
    </w:div>
    <w:div w:id="622536075">
      <w:bodyDiv w:val="1"/>
      <w:marLeft w:val="0"/>
      <w:marRight w:val="0"/>
      <w:marTop w:val="0"/>
      <w:marBottom w:val="0"/>
      <w:divBdr>
        <w:top w:val="none" w:sz="0" w:space="0" w:color="auto"/>
        <w:left w:val="none" w:sz="0" w:space="0" w:color="auto"/>
        <w:bottom w:val="none" w:sz="0" w:space="0" w:color="auto"/>
        <w:right w:val="none" w:sz="0" w:space="0" w:color="auto"/>
      </w:divBdr>
    </w:div>
    <w:div w:id="640966756">
      <w:bodyDiv w:val="1"/>
      <w:marLeft w:val="0"/>
      <w:marRight w:val="0"/>
      <w:marTop w:val="0"/>
      <w:marBottom w:val="0"/>
      <w:divBdr>
        <w:top w:val="none" w:sz="0" w:space="0" w:color="auto"/>
        <w:left w:val="none" w:sz="0" w:space="0" w:color="auto"/>
        <w:bottom w:val="none" w:sz="0" w:space="0" w:color="auto"/>
        <w:right w:val="none" w:sz="0" w:space="0" w:color="auto"/>
      </w:divBdr>
      <w:divsChild>
        <w:div w:id="907111913">
          <w:marLeft w:val="1166"/>
          <w:marRight w:val="0"/>
          <w:marTop w:val="120"/>
          <w:marBottom w:val="0"/>
          <w:divBdr>
            <w:top w:val="none" w:sz="0" w:space="0" w:color="auto"/>
            <w:left w:val="none" w:sz="0" w:space="0" w:color="auto"/>
            <w:bottom w:val="none" w:sz="0" w:space="0" w:color="auto"/>
            <w:right w:val="none" w:sz="0" w:space="0" w:color="auto"/>
          </w:divBdr>
        </w:div>
      </w:divsChild>
    </w:div>
    <w:div w:id="718092979">
      <w:bodyDiv w:val="1"/>
      <w:marLeft w:val="0"/>
      <w:marRight w:val="0"/>
      <w:marTop w:val="0"/>
      <w:marBottom w:val="0"/>
      <w:divBdr>
        <w:top w:val="none" w:sz="0" w:space="0" w:color="auto"/>
        <w:left w:val="none" w:sz="0" w:space="0" w:color="auto"/>
        <w:bottom w:val="none" w:sz="0" w:space="0" w:color="auto"/>
        <w:right w:val="none" w:sz="0" w:space="0" w:color="auto"/>
      </w:divBdr>
    </w:div>
    <w:div w:id="732317735">
      <w:bodyDiv w:val="1"/>
      <w:marLeft w:val="0"/>
      <w:marRight w:val="0"/>
      <w:marTop w:val="0"/>
      <w:marBottom w:val="0"/>
      <w:divBdr>
        <w:top w:val="none" w:sz="0" w:space="0" w:color="auto"/>
        <w:left w:val="none" w:sz="0" w:space="0" w:color="auto"/>
        <w:bottom w:val="none" w:sz="0" w:space="0" w:color="auto"/>
        <w:right w:val="none" w:sz="0" w:space="0" w:color="auto"/>
      </w:divBdr>
    </w:div>
    <w:div w:id="769937138">
      <w:bodyDiv w:val="1"/>
      <w:marLeft w:val="0"/>
      <w:marRight w:val="0"/>
      <w:marTop w:val="0"/>
      <w:marBottom w:val="0"/>
      <w:divBdr>
        <w:top w:val="none" w:sz="0" w:space="0" w:color="auto"/>
        <w:left w:val="none" w:sz="0" w:space="0" w:color="auto"/>
        <w:bottom w:val="none" w:sz="0" w:space="0" w:color="auto"/>
        <w:right w:val="none" w:sz="0" w:space="0" w:color="auto"/>
      </w:divBdr>
    </w:div>
    <w:div w:id="816801954">
      <w:bodyDiv w:val="1"/>
      <w:marLeft w:val="0"/>
      <w:marRight w:val="0"/>
      <w:marTop w:val="0"/>
      <w:marBottom w:val="0"/>
      <w:divBdr>
        <w:top w:val="none" w:sz="0" w:space="0" w:color="auto"/>
        <w:left w:val="none" w:sz="0" w:space="0" w:color="auto"/>
        <w:bottom w:val="none" w:sz="0" w:space="0" w:color="auto"/>
        <w:right w:val="none" w:sz="0" w:space="0" w:color="auto"/>
      </w:divBdr>
    </w:div>
    <w:div w:id="836388251">
      <w:bodyDiv w:val="1"/>
      <w:marLeft w:val="0"/>
      <w:marRight w:val="0"/>
      <w:marTop w:val="0"/>
      <w:marBottom w:val="0"/>
      <w:divBdr>
        <w:top w:val="none" w:sz="0" w:space="0" w:color="auto"/>
        <w:left w:val="none" w:sz="0" w:space="0" w:color="auto"/>
        <w:bottom w:val="none" w:sz="0" w:space="0" w:color="auto"/>
        <w:right w:val="none" w:sz="0" w:space="0" w:color="auto"/>
      </w:divBdr>
    </w:div>
    <w:div w:id="853030230">
      <w:bodyDiv w:val="1"/>
      <w:marLeft w:val="0"/>
      <w:marRight w:val="0"/>
      <w:marTop w:val="0"/>
      <w:marBottom w:val="0"/>
      <w:divBdr>
        <w:top w:val="none" w:sz="0" w:space="0" w:color="auto"/>
        <w:left w:val="none" w:sz="0" w:space="0" w:color="auto"/>
        <w:bottom w:val="none" w:sz="0" w:space="0" w:color="auto"/>
        <w:right w:val="none" w:sz="0" w:space="0" w:color="auto"/>
      </w:divBdr>
    </w:div>
    <w:div w:id="875318066">
      <w:bodyDiv w:val="1"/>
      <w:marLeft w:val="0"/>
      <w:marRight w:val="0"/>
      <w:marTop w:val="0"/>
      <w:marBottom w:val="0"/>
      <w:divBdr>
        <w:top w:val="none" w:sz="0" w:space="0" w:color="auto"/>
        <w:left w:val="none" w:sz="0" w:space="0" w:color="auto"/>
        <w:bottom w:val="none" w:sz="0" w:space="0" w:color="auto"/>
        <w:right w:val="none" w:sz="0" w:space="0" w:color="auto"/>
      </w:divBdr>
    </w:div>
    <w:div w:id="1059863594">
      <w:bodyDiv w:val="1"/>
      <w:marLeft w:val="0"/>
      <w:marRight w:val="0"/>
      <w:marTop w:val="0"/>
      <w:marBottom w:val="0"/>
      <w:divBdr>
        <w:top w:val="none" w:sz="0" w:space="0" w:color="auto"/>
        <w:left w:val="none" w:sz="0" w:space="0" w:color="auto"/>
        <w:bottom w:val="none" w:sz="0" w:space="0" w:color="auto"/>
        <w:right w:val="none" w:sz="0" w:space="0" w:color="auto"/>
      </w:divBdr>
    </w:div>
    <w:div w:id="1094861186">
      <w:bodyDiv w:val="1"/>
      <w:marLeft w:val="0"/>
      <w:marRight w:val="0"/>
      <w:marTop w:val="0"/>
      <w:marBottom w:val="0"/>
      <w:divBdr>
        <w:top w:val="none" w:sz="0" w:space="0" w:color="auto"/>
        <w:left w:val="none" w:sz="0" w:space="0" w:color="auto"/>
        <w:bottom w:val="none" w:sz="0" w:space="0" w:color="auto"/>
        <w:right w:val="none" w:sz="0" w:space="0" w:color="auto"/>
      </w:divBdr>
    </w:div>
    <w:div w:id="1135836411">
      <w:bodyDiv w:val="1"/>
      <w:marLeft w:val="0"/>
      <w:marRight w:val="0"/>
      <w:marTop w:val="0"/>
      <w:marBottom w:val="0"/>
      <w:divBdr>
        <w:top w:val="none" w:sz="0" w:space="0" w:color="auto"/>
        <w:left w:val="none" w:sz="0" w:space="0" w:color="auto"/>
        <w:bottom w:val="none" w:sz="0" w:space="0" w:color="auto"/>
        <w:right w:val="none" w:sz="0" w:space="0" w:color="auto"/>
      </w:divBdr>
    </w:div>
    <w:div w:id="1227646781">
      <w:bodyDiv w:val="1"/>
      <w:marLeft w:val="0"/>
      <w:marRight w:val="0"/>
      <w:marTop w:val="0"/>
      <w:marBottom w:val="0"/>
      <w:divBdr>
        <w:top w:val="none" w:sz="0" w:space="0" w:color="auto"/>
        <w:left w:val="none" w:sz="0" w:space="0" w:color="auto"/>
        <w:bottom w:val="none" w:sz="0" w:space="0" w:color="auto"/>
        <w:right w:val="none" w:sz="0" w:space="0" w:color="auto"/>
      </w:divBdr>
    </w:div>
    <w:div w:id="1333952325">
      <w:bodyDiv w:val="1"/>
      <w:marLeft w:val="0"/>
      <w:marRight w:val="0"/>
      <w:marTop w:val="0"/>
      <w:marBottom w:val="0"/>
      <w:divBdr>
        <w:top w:val="none" w:sz="0" w:space="0" w:color="auto"/>
        <w:left w:val="none" w:sz="0" w:space="0" w:color="auto"/>
        <w:bottom w:val="none" w:sz="0" w:space="0" w:color="auto"/>
        <w:right w:val="none" w:sz="0" w:space="0" w:color="auto"/>
      </w:divBdr>
      <w:divsChild>
        <w:div w:id="177697692">
          <w:marLeft w:val="1166"/>
          <w:marRight w:val="0"/>
          <w:marTop w:val="120"/>
          <w:marBottom w:val="0"/>
          <w:divBdr>
            <w:top w:val="none" w:sz="0" w:space="0" w:color="auto"/>
            <w:left w:val="none" w:sz="0" w:space="0" w:color="auto"/>
            <w:bottom w:val="none" w:sz="0" w:space="0" w:color="auto"/>
            <w:right w:val="none" w:sz="0" w:space="0" w:color="auto"/>
          </w:divBdr>
        </w:div>
        <w:div w:id="840201661">
          <w:marLeft w:val="1166"/>
          <w:marRight w:val="0"/>
          <w:marTop w:val="120"/>
          <w:marBottom w:val="0"/>
          <w:divBdr>
            <w:top w:val="none" w:sz="0" w:space="0" w:color="auto"/>
            <w:left w:val="none" w:sz="0" w:space="0" w:color="auto"/>
            <w:bottom w:val="none" w:sz="0" w:space="0" w:color="auto"/>
            <w:right w:val="none" w:sz="0" w:space="0" w:color="auto"/>
          </w:divBdr>
        </w:div>
        <w:div w:id="1150555420">
          <w:marLeft w:val="547"/>
          <w:marRight w:val="0"/>
          <w:marTop w:val="134"/>
          <w:marBottom w:val="0"/>
          <w:divBdr>
            <w:top w:val="none" w:sz="0" w:space="0" w:color="auto"/>
            <w:left w:val="none" w:sz="0" w:space="0" w:color="auto"/>
            <w:bottom w:val="none" w:sz="0" w:space="0" w:color="auto"/>
            <w:right w:val="none" w:sz="0" w:space="0" w:color="auto"/>
          </w:divBdr>
        </w:div>
        <w:div w:id="1193305660">
          <w:marLeft w:val="547"/>
          <w:marRight w:val="0"/>
          <w:marTop w:val="134"/>
          <w:marBottom w:val="0"/>
          <w:divBdr>
            <w:top w:val="none" w:sz="0" w:space="0" w:color="auto"/>
            <w:left w:val="none" w:sz="0" w:space="0" w:color="auto"/>
            <w:bottom w:val="none" w:sz="0" w:space="0" w:color="auto"/>
            <w:right w:val="none" w:sz="0" w:space="0" w:color="auto"/>
          </w:divBdr>
        </w:div>
        <w:div w:id="1668709050">
          <w:marLeft w:val="547"/>
          <w:marRight w:val="0"/>
          <w:marTop w:val="134"/>
          <w:marBottom w:val="0"/>
          <w:divBdr>
            <w:top w:val="none" w:sz="0" w:space="0" w:color="auto"/>
            <w:left w:val="none" w:sz="0" w:space="0" w:color="auto"/>
            <w:bottom w:val="none" w:sz="0" w:space="0" w:color="auto"/>
            <w:right w:val="none" w:sz="0" w:space="0" w:color="auto"/>
          </w:divBdr>
        </w:div>
        <w:div w:id="1690258852">
          <w:marLeft w:val="1166"/>
          <w:marRight w:val="0"/>
          <w:marTop w:val="120"/>
          <w:marBottom w:val="0"/>
          <w:divBdr>
            <w:top w:val="none" w:sz="0" w:space="0" w:color="auto"/>
            <w:left w:val="none" w:sz="0" w:space="0" w:color="auto"/>
            <w:bottom w:val="none" w:sz="0" w:space="0" w:color="auto"/>
            <w:right w:val="none" w:sz="0" w:space="0" w:color="auto"/>
          </w:divBdr>
        </w:div>
      </w:divsChild>
    </w:div>
    <w:div w:id="1343118443">
      <w:bodyDiv w:val="1"/>
      <w:marLeft w:val="0"/>
      <w:marRight w:val="0"/>
      <w:marTop w:val="0"/>
      <w:marBottom w:val="0"/>
      <w:divBdr>
        <w:top w:val="none" w:sz="0" w:space="0" w:color="auto"/>
        <w:left w:val="none" w:sz="0" w:space="0" w:color="auto"/>
        <w:bottom w:val="none" w:sz="0" w:space="0" w:color="auto"/>
        <w:right w:val="none" w:sz="0" w:space="0" w:color="auto"/>
      </w:divBdr>
    </w:div>
    <w:div w:id="1344238721">
      <w:bodyDiv w:val="1"/>
      <w:marLeft w:val="0"/>
      <w:marRight w:val="0"/>
      <w:marTop w:val="0"/>
      <w:marBottom w:val="0"/>
      <w:divBdr>
        <w:top w:val="none" w:sz="0" w:space="0" w:color="auto"/>
        <w:left w:val="none" w:sz="0" w:space="0" w:color="auto"/>
        <w:bottom w:val="none" w:sz="0" w:space="0" w:color="auto"/>
        <w:right w:val="none" w:sz="0" w:space="0" w:color="auto"/>
      </w:divBdr>
    </w:div>
    <w:div w:id="1357463213">
      <w:bodyDiv w:val="1"/>
      <w:marLeft w:val="0"/>
      <w:marRight w:val="0"/>
      <w:marTop w:val="0"/>
      <w:marBottom w:val="0"/>
      <w:divBdr>
        <w:top w:val="none" w:sz="0" w:space="0" w:color="auto"/>
        <w:left w:val="none" w:sz="0" w:space="0" w:color="auto"/>
        <w:bottom w:val="none" w:sz="0" w:space="0" w:color="auto"/>
        <w:right w:val="none" w:sz="0" w:space="0" w:color="auto"/>
      </w:divBdr>
    </w:div>
    <w:div w:id="1485664577">
      <w:bodyDiv w:val="1"/>
      <w:marLeft w:val="0"/>
      <w:marRight w:val="0"/>
      <w:marTop w:val="0"/>
      <w:marBottom w:val="0"/>
      <w:divBdr>
        <w:top w:val="none" w:sz="0" w:space="0" w:color="auto"/>
        <w:left w:val="none" w:sz="0" w:space="0" w:color="auto"/>
        <w:bottom w:val="none" w:sz="0" w:space="0" w:color="auto"/>
        <w:right w:val="none" w:sz="0" w:space="0" w:color="auto"/>
      </w:divBdr>
    </w:div>
    <w:div w:id="1510681196">
      <w:bodyDiv w:val="1"/>
      <w:marLeft w:val="0"/>
      <w:marRight w:val="0"/>
      <w:marTop w:val="0"/>
      <w:marBottom w:val="0"/>
      <w:divBdr>
        <w:top w:val="none" w:sz="0" w:space="0" w:color="auto"/>
        <w:left w:val="none" w:sz="0" w:space="0" w:color="auto"/>
        <w:bottom w:val="none" w:sz="0" w:space="0" w:color="auto"/>
        <w:right w:val="none" w:sz="0" w:space="0" w:color="auto"/>
      </w:divBdr>
      <w:divsChild>
        <w:div w:id="137696422">
          <w:marLeft w:val="0"/>
          <w:marRight w:val="0"/>
          <w:marTop w:val="0"/>
          <w:marBottom w:val="0"/>
          <w:divBdr>
            <w:top w:val="none" w:sz="0" w:space="0" w:color="auto"/>
            <w:left w:val="none" w:sz="0" w:space="0" w:color="auto"/>
            <w:bottom w:val="none" w:sz="0" w:space="0" w:color="auto"/>
            <w:right w:val="none" w:sz="0" w:space="0" w:color="auto"/>
          </w:divBdr>
        </w:div>
        <w:div w:id="794182856">
          <w:marLeft w:val="0"/>
          <w:marRight w:val="0"/>
          <w:marTop w:val="0"/>
          <w:marBottom w:val="0"/>
          <w:divBdr>
            <w:top w:val="none" w:sz="0" w:space="0" w:color="auto"/>
            <w:left w:val="none" w:sz="0" w:space="0" w:color="auto"/>
            <w:bottom w:val="none" w:sz="0" w:space="0" w:color="auto"/>
            <w:right w:val="none" w:sz="0" w:space="0" w:color="auto"/>
          </w:divBdr>
        </w:div>
        <w:div w:id="1603684464">
          <w:marLeft w:val="0"/>
          <w:marRight w:val="0"/>
          <w:marTop w:val="0"/>
          <w:marBottom w:val="0"/>
          <w:divBdr>
            <w:top w:val="none" w:sz="0" w:space="0" w:color="auto"/>
            <w:left w:val="none" w:sz="0" w:space="0" w:color="auto"/>
            <w:bottom w:val="none" w:sz="0" w:space="0" w:color="auto"/>
            <w:right w:val="none" w:sz="0" w:space="0" w:color="auto"/>
          </w:divBdr>
        </w:div>
      </w:divsChild>
    </w:div>
    <w:div w:id="1636522424">
      <w:bodyDiv w:val="1"/>
      <w:marLeft w:val="0"/>
      <w:marRight w:val="0"/>
      <w:marTop w:val="0"/>
      <w:marBottom w:val="0"/>
      <w:divBdr>
        <w:top w:val="none" w:sz="0" w:space="0" w:color="auto"/>
        <w:left w:val="none" w:sz="0" w:space="0" w:color="auto"/>
        <w:bottom w:val="none" w:sz="0" w:space="0" w:color="auto"/>
        <w:right w:val="none" w:sz="0" w:space="0" w:color="auto"/>
      </w:divBdr>
    </w:div>
    <w:div w:id="1659265010">
      <w:bodyDiv w:val="1"/>
      <w:marLeft w:val="0"/>
      <w:marRight w:val="0"/>
      <w:marTop w:val="0"/>
      <w:marBottom w:val="0"/>
      <w:divBdr>
        <w:top w:val="none" w:sz="0" w:space="0" w:color="auto"/>
        <w:left w:val="none" w:sz="0" w:space="0" w:color="auto"/>
        <w:bottom w:val="none" w:sz="0" w:space="0" w:color="auto"/>
        <w:right w:val="none" w:sz="0" w:space="0" w:color="auto"/>
      </w:divBdr>
    </w:div>
    <w:div w:id="1825319681">
      <w:bodyDiv w:val="1"/>
      <w:marLeft w:val="0"/>
      <w:marRight w:val="0"/>
      <w:marTop w:val="0"/>
      <w:marBottom w:val="0"/>
      <w:divBdr>
        <w:top w:val="none" w:sz="0" w:space="0" w:color="auto"/>
        <w:left w:val="none" w:sz="0" w:space="0" w:color="auto"/>
        <w:bottom w:val="none" w:sz="0" w:space="0" w:color="auto"/>
        <w:right w:val="none" w:sz="0" w:space="0" w:color="auto"/>
      </w:divBdr>
    </w:div>
    <w:div w:id="1847787983">
      <w:bodyDiv w:val="1"/>
      <w:marLeft w:val="0"/>
      <w:marRight w:val="0"/>
      <w:marTop w:val="0"/>
      <w:marBottom w:val="0"/>
      <w:divBdr>
        <w:top w:val="none" w:sz="0" w:space="0" w:color="auto"/>
        <w:left w:val="none" w:sz="0" w:space="0" w:color="auto"/>
        <w:bottom w:val="none" w:sz="0" w:space="0" w:color="auto"/>
        <w:right w:val="none" w:sz="0" w:space="0" w:color="auto"/>
      </w:divBdr>
      <w:divsChild>
        <w:div w:id="1164784399">
          <w:marLeft w:val="1037"/>
          <w:marRight w:val="0"/>
          <w:marTop w:val="40"/>
          <w:marBottom w:val="40"/>
          <w:divBdr>
            <w:top w:val="none" w:sz="0" w:space="0" w:color="auto"/>
            <w:left w:val="none" w:sz="0" w:space="0" w:color="auto"/>
            <w:bottom w:val="none" w:sz="0" w:space="0" w:color="auto"/>
            <w:right w:val="none" w:sz="0" w:space="0" w:color="auto"/>
          </w:divBdr>
        </w:div>
      </w:divsChild>
    </w:div>
    <w:div w:id="1857965305">
      <w:bodyDiv w:val="1"/>
      <w:marLeft w:val="0"/>
      <w:marRight w:val="0"/>
      <w:marTop w:val="0"/>
      <w:marBottom w:val="0"/>
      <w:divBdr>
        <w:top w:val="none" w:sz="0" w:space="0" w:color="auto"/>
        <w:left w:val="none" w:sz="0" w:space="0" w:color="auto"/>
        <w:bottom w:val="none" w:sz="0" w:space="0" w:color="auto"/>
        <w:right w:val="none" w:sz="0" w:space="0" w:color="auto"/>
      </w:divBdr>
    </w:div>
    <w:div w:id="1903519509">
      <w:bodyDiv w:val="1"/>
      <w:marLeft w:val="0"/>
      <w:marRight w:val="0"/>
      <w:marTop w:val="0"/>
      <w:marBottom w:val="0"/>
      <w:divBdr>
        <w:top w:val="none" w:sz="0" w:space="0" w:color="auto"/>
        <w:left w:val="none" w:sz="0" w:space="0" w:color="auto"/>
        <w:bottom w:val="none" w:sz="0" w:space="0" w:color="auto"/>
        <w:right w:val="none" w:sz="0" w:space="0" w:color="auto"/>
      </w:divBdr>
      <w:divsChild>
        <w:div w:id="170070961">
          <w:marLeft w:val="547"/>
          <w:marRight w:val="0"/>
          <w:marTop w:val="96"/>
          <w:marBottom w:val="0"/>
          <w:divBdr>
            <w:top w:val="none" w:sz="0" w:space="0" w:color="auto"/>
            <w:left w:val="none" w:sz="0" w:space="0" w:color="auto"/>
            <w:bottom w:val="none" w:sz="0" w:space="0" w:color="auto"/>
            <w:right w:val="none" w:sz="0" w:space="0" w:color="auto"/>
          </w:divBdr>
        </w:div>
      </w:divsChild>
    </w:div>
    <w:div w:id="1964463348">
      <w:bodyDiv w:val="1"/>
      <w:marLeft w:val="0"/>
      <w:marRight w:val="0"/>
      <w:marTop w:val="0"/>
      <w:marBottom w:val="0"/>
      <w:divBdr>
        <w:top w:val="none" w:sz="0" w:space="0" w:color="auto"/>
        <w:left w:val="none" w:sz="0" w:space="0" w:color="auto"/>
        <w:bottom w:val="none" w:sz="0" w:space="0" w:color="auto"/>
        <w:right w:val="none" w:sz="0" w:space="0" w:color="auto"/>
      </w:divBdr>
    </w:div>
    <w:div w:id="1964579739">
      <w:bodyDiv w:val="1"/>
      <w:marLeft w:val="0"/>
      <w:marRight w:val="0"/>
      <w:marTop w:val="0"/>
      <w:marBottom w:val="0"/>
      <w:divBdr>
        <w:top w:val="none" w:sz="0" w:space="0" w:color="auto"/>
        <w:left w:val="none" w:sz="0" w:space="0" w:color="auto"/>
        <w:bottom w:val="none" w:sz="0" w:space="0" w:color="auto"/>
        <w:right w:val="none" w:sz="0" w:space="0" w:color="auto"/>
      </w:divBdr>
    </w:div>
    <w:div w:id="1973754168">
      <w:bodyDiv w:val="1"/>
      <w:marLeft w:val="0"/>
      <w:marRight w:val="0"/>
      <w:marTop w:val="0"/>
      <w:marBottom w:val="0"/>
      <w:divBdr>
        <w:top w:val="none" w:sz="0" w:space="0" w:color="auto"/>
        <w:left w:val="none" w:sz="0" w:space="0" w:color="auto"/>
        <w:bottom w:val="none" w:sz="0" w:space="0" w:color="auto"/>
        <w:right w:val="none" w:sz="0" w:space="0" w:color="auto"/>
      </w:divBdr>
    </w:div>
    <w:div w:id="2118523201">
      <w:bodyDiv w:val="1"/>
      <w:marLeft w:val="0"/>
      <w:marRight w:val="0"/>
      <w:marTop w:val="0"/>
      <w:marBottom w:val="0"/>
      <w:divBdr>
        <w:top w:val="none" w:sz="0" w:space="0" w:color="auto"/>
        <w:left w:val="none" w:sz="0" w:space="0" w:color="auto"/>
        <w:bottom w:val="none" w:sz="0" w:space="0" w:color="auto"/>
        <w:right w:val="none" w:sz="0" w:space="0" w:color="auto"/>
      </w:divBdr>
    </w:div>
    <w:div w:id="2135128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3.png"/><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tableauImage8b8e0e66-51fd-4bf8-ac56-6a6b340a132b" TargetMode="Externa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image" Target="media/image1.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6FDBF0D-AC7A-4104-910A-BEF0EF767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18</Pages>
  <Words>30817</Words>
  <Characters>175660</Characters>
  <Application>Microsoft Office Word</Application>
  <DocSecurity>0</DocSecurity>
  <Lines>1463</Lines>
  <Paragraphs>412</Paragraphs>
  <ScaleCrop>false</ScaleCrop>
  <HeadingPairs>
    <vt:vector size="2" baseType="variant">
      <vt:variant>
        <vt:lpstr>Title</vt:lpstr>
      </vt:variant>
      <vt:variant>
        <vt:i4>1</vt:i4>
      </vt:variant>
    </vt:vector>
  </HeadingPairs>
  <TitlesOfParts>
    <vt:vector size="1" baseType="lpstr">
      <vt:lpstr>Application for Review of Human Research</vt:lpstr>
    </vt:vector>
  </TitlesOfParts>
  <Company>University of Pennsylvania</Company>
  <LinksUpToDate>false</LinksUpToDate>
  <CharactersWithSpaces>206065</CharactersWithSpaces>
  <SharedDoc>false</SharedDoc>
  <HLinks>
    <vt:vector size="18" baseType="variant">
      <vt:variant>
        <vt:i4>3014722</vt:i4>
      </vt:variant>
      <vt:variant>
        <vt:i4>6</vt:i4>
      </vt:variant>
      <vt:variant>
        <vt:i4>0</vt:i4>
      </vt:variant>
      <vt:variant>
        <vt:i4>5</vt:i4>
      </vt:variant>
      <vt:variant>
        <vt:lpwstr>mailto:mpatel@pennmedicine.upenn.edu</vt:lpwstr>
      </vt:variant>
      <vt:variant>
        <vt:lpwstr/>
      </vt:variant>
      <vt:variant>
        <vt:i4>6226033</vt:i4>
      </vt:variant>
      <vt:variant>
        <vt:i4>3</vt:i4>
      </vt:variant>
      <vt:variant>
        <vt:i4>0</vt:i4>
      </vt:variant>
      <vt:variant>
        <vt:i4>5</vt:i4>
      </vt:variant>
      <vt:variant>
        <vt:lpwstr>mailto:Justin.Bekelman@pennmedicine.upenn.edu</vt:lpwstr>
      </vt:variant>
      <vt:variant>
        <vt:lpwstr/>
      </vt:variant>
      <vt:variant>
        <vt:i4>1441829</vt:i4>
      </vt:variant>
      <vt:variant>
        <vt:i4>0</vt:i4>
      </vt:variant>
      <vt:variant>
        <vt:i4>0</vt:i4>
      </vt:variant>
      <vt:variant>
        <vt:i4>5</vt:i4>
      </vt:variant>
      <vt:variant>
        <vt:lpwstr>mailto:Samuel.Takvorian@pennmedicine.upenn.edu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Review of Human Research</dc:title>
  <dc:subject/>
  <dc:creator>yhiggins</dc:creator>
  <cp:keywords/>
  <cp:lastModifiedBy>Salam, Tasnim</cp:lastModifiedBy>
  <cp:revision>11</cp:revision>
  <cp:lastPrinted>2020-12-14T00:34:00Z</cp:lastPrinted>
  <dcterms:created xsi:type="dcterms:W3CDTF">2021-07-16T14:10:00Z</dcterms:created>
  <dcterms:modified xsi:type="dcterms:W3CDTF">2021-07-26T14:53:00Z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zotero-version="5.0.96.2"&gt;&lt;session id="POklQDpv"/&gt;&lt;style id="http://www.zotero.org/styles/american-medical-association" hasBibliography="1" bibliographyStyleHasBeenSet="1"/&gt;&lt;prefs&gt;&lt;pref name="fieldType" value="Field"/&gt;&lt;pref name="au</vt:lpwstr>
  </property>
  <property fmtid="{D5CDD505-2E9C-101B-9397-08002B2CF9AE}" pid="3" name="ZOTERO_PREF_2">
    <vt:lpwstr>tomaticJournalAbbreviations" value="true"/&gt;&lt;/prefs&gt;&lt;/data&gt;</vt:lpwstr>
  </property>
</Properties>
</file>