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D72B" w14:textId="5956FFFB" w:rsidR="00677830" w:rsidRPr="00453F8D" w:rsidRDefault="0092293A" w:rsidP="00453F8D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53F8D">
        <w:rPr>
          <w:rFonts w:ascii="Times New Roman" w:hAnsi="Times New Roman" w:cs="Times New Roman"/>
          <w:b/>
          <w:bCs/>
        </w:rPr>
        <w:t>SUPPORTING INFORMATION</w:t>
      </w:r>
    </w:p>
    <w:p w14:paraId="4FACBDA6" w14:textId="77777777" w:rsidR="00453F8D" w:rsidRDefault="00453F8D" w:rsidP="00453F8D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3B4C7E">
        <w:rPr>
          <w:rFonts w:ascii="Times New Roman" w:hAnsi="Times New Roman" w:cs="Times New Roman"/>
          <w:b/>
          <w:bCs/>
          <w:color w:val="000000" w:themeColor="text1"/>
        </w:rPr>
        <w:t>High-Resolution Imaging Dataset of Multiphase Fluid Dynamics for Geologic Carbon Sequestration</w:t>
      </w:r>
    </w:p>
    <w:p w14:paraId="30F46817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2B4A0B94" w14:textId="77777777" w:rsidR="00453F8D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  <w:vertAlign w:val="superscript"/>
        </w:rPr>
      </w:pPr>
      <w:r w:rsidRPr="003B4C7E">
        <w:rPr>
          <w:rFonts w:ascii="Times New Roman" w:hAnsi="Times New Roman" w:cs="Times New Roman"/>
          <w:color w:val="000000" w:themeColor="text1"/>
        </w:rPr>
        <w:t>Prakash Purswani</w:t>
      </w:r>
      <w:proofErr w:type="gramStart"/>
      <w:r w:rsidRPr="003B4C7E">
        <w:rPr>
          <w:rFonts w:ascii="Times New Roman" w:hAnsi="Times New Roman" w:cs="Times New Roman"/>
          <w:color w:val="000000" w:themeColor="text1"/>
          <w:vertAlign w:val="superscript"/>
        </w:rPr>
        <w:t>1,</w:t>
      </w:r>
      <w:r>
        <w:rPr>
          <w:rFonts w:ascii="Times New Roman" w:hAnsi="Times New Roman" w:cs="Times New Roman"/>
          <w:color w:val="000000" w:themeColor="text1"/>
          <w:vertAlign w:val="superscript"/>
        </w:rPr>
        <w:t>§</w:t>
      </w:r>
      <w:proofErr w:type="gramEnd"/>
      <w:r w:rsidRPr="003B4C7E">
        <w:rPr>
          <w:rFonts w:ascii="Times New Roman" w:hAnsi="Times New Roman" w:cs="Times New Roman"/>
          <w:color w:val="000000" w:themeColor="text1"/>
        </w:rPr>
        <w:t>; Anna Herring</w:t>
      </w:r>
      <w:r w:rsidRPr="7E22FF92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3B4C7E">
        <w:rPr>
          <w:rFonts w:ascii="Times New Roman" w:hAnsi="Times New Roman" w:cs="Times New Roman"/>
          <w:color w:val="000000" w:themeColor="text1"/>
        </w:rPr>
        <w:t>; Prabhav Borate</w:t>
      </w:r>
      <w:r w:rsidRPr="7E22FF92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3B4C7E">
        <w:rPr>
          <w:rFonts w:ascii="Times New Roman" w:hAnsi="Times New Roman" w:cs="Times New Roman"/>
          <w:color w:val="000000" w:themeColor="text1"/>
        </w:rPr>
        <w:t>; Parisa Shokouhi</w:t>
      </w:r>
      <w:r w:rsidRPr="7E22FF92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3B4C7E">
        <w:rPr>
          <w:rFonts w:ascii="Times New Roman" w:hAnsi="Times New Roman" w:cs="Times New Roman"/>
          <w:color w:val="000000" w:themeColor="text1"/>
        </w:rPr>
        <w:t>; Zuleima Karpyn</w:t>
      </w:r>
      <w:proofErr w:type="gramStart"/>
      <w:r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7E22FF92">
        <w:rPr>
          <w:rFonts w:ascii="Times New Roman" w:hAnsi="Times New Roman" w:cs="Times New Roman"/>
          <w:color w:val="000000" w:themeColor="text1"/>
          <w:vertAlign w:val="superscript"/>
        </w:rPr>
        <w:t>,</w:t>
      </w:r>
      <w:r w:rsidRPr="003B4C7E">
        <w:rPr>
          <w:rFonts w:ascii="Times New Roman" w:hAnsi="Times New Roman" w:cs="Times New Roman"/>
          <w:color w:val="000000" w:themeColor="text1"/>
        </w:rPr>
        <w:t>*</w:t>
      </w:r>
      <w:proofErr w:type="gramEnd"/>
    </w:p>
    <w:p w14:paraId="52AB02B5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  <w:vertAlign w:val="superscript"/>
        </w:rPr>
      </w:pPr>
    </w:p>
    <w:p w14:paraId="0593C0B6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3B4C7E">
        <w:rPr>
          <w:rFonts w:ascii="Times New Roman" w:hAnsi="Times New Roman" w:cs="Times New Roman"/>
          <w:color w:val="000000" w:themeColor="text1"/>
        </w:rPr>
        <w:t>John and Willie Leone Family Department of Energy and Mineral Engineering and the EMS Energy Institute, The Pennsylvania State University, University Park, PA 16802</w:t>
      </w:r>
      <w:r w:rsidRPr="7E22FF92">
        <w:rPr>
          <w:rFonts w:ascii="Times New Roman" w:hAnsi="Times New Roman" w:cs="Times New Roman"/>
          <w:color w:val="000000" w:themeColor="text1"/>
        </w:rPr>
        <w:t>, USA</w:t>
      </w:r>
    </w:p>
    <w:p w14:paraId="1054A943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7E22FF92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7E22FF92">
        <w:rPr>
          <w:rFonts w:ascii="Times New Roman" w:hAnsi="Times New Roman" w:cs="Times New Roman"/>
          <w:color w:val="000000" w:themeColor="text1"/>
        </w:rPr>
        <w:t>Department</w:t>
      </w:r>
      <w:r w:rsidRPr="003B4C7E">
        <w:rPr>
          <w:rFonts w:ascii="Times New Roman" w:hAnsi="Times New Roman" w:cs="Times New Roman"/>
          <w:color w:val="000000" w:themeColor="text1"/>
        </w:rPr>
        <w:t xml:space="preserve"> of Civil and Environmental Engineering, The University of Tennessee – Knoxville, TN 37996</w:t>
      </w:r>
      <w:r w:rsidRPr="7E22FF92">
        <w:rPr>
          <w:rFonts w:ascii="Times New Roman" w:hAnsi="Times New Roman" w:cs="Times New Roman"/>
          <w:color w:val="000000" w:themeColor="text1"/>
        </w:rPr>
        <w:t>, USA</w:t>
      </w:r>
    </w:p>
    <w:p w14:paraId="1AEE2A16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 w:rsidRPr="7E22FF92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7E22FF92">
        <w:rPr>
          <w:rFonts w:ascii="Times New Roman" w:hAnsi="Times New Roman" w:cs="Times New Roman"/>
          <w:color w:val="000000" w:themeColor="text1"/>
        </w:rPr>
        <w:t>Department</w:t>
      </w:r>
      <w:r w:rsidRPr="003B4C7E">
        <w:rPr>
          <w:rFonts w:ascii="Times New Roman" w:hAnsi="Times New Roman" w:cs="Times New Roman"/>
          <w:color w:val="000000" w:themeColor="text1"/>
        </w:rPr>
        <w:t xml:space="preserve"> of</w:t>
      </w:r>
      <w:r w:rsidRPr="003B4C7E">
        <w:rPr>
          <w:rFonts w:ascii="Times New Roman" w:eastAsia="MS Mincho" w:hAnsi="Times New Roman" w:cs="Times New Roman"/>
          <w:color w:val="000000" w:themeColor="text1"/>
        </w:rPr>
        <w:t xml:space="preserve"> Engineering Science and Mechanics</w:t>
      </w:r>
      <w:r w:rsidRPr="003B4C7E">
        <w:rPr>
          <w:rFonts w:ascii="Times New Roman" w:hAnsi="Times New Roman" w:cs="Times New Roman"/>
          <w:color w:val="000000" w:themeColor="text1"/>
        </w:rPr>
        <w:t>, The Pennsylvania State University, University Park, PA 16802</w:t>
      </w:r>
      <w:r w:rsidRPr="7E22FF92">
        <w:rPr>
          <w:rFonts w:ascii="Times New Roman" w:hAnsi="Times New Roman" w:cs="Times New Roman"/>
          <w:color w:val="000000" w:themeColor="text1"/>
        </w:rPr>
        <w:t>, USA</w:t>
      </w:r>
    </w:p>
    <w:p w14:paraId="3DD1510E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t>§</w:t>
      </w:r>
      <w:r w:rsidRPr="00B62351">
        <w:rPr>
          <w:rFonts w:ascii="Times New Roman" w:hAnsi="Times New Roman" w:cs="Times New Roman"/>
          <w:color w:val="000000" w:themeColor="text1"/>
        </w:rPr>
        <w:t>Curren</w:t>
      </w:r>
      <w:r>
        <w:rPr>
          <w:rFonts w:ascii="Times New Roman" w:hAnsi="Times New Roman" w:cs="Times New Roman"/>
          <w:color w:val="000000" w:themeColor="text1"/>
        </w:rPr>
        <w:t>tly at E</w:t>
      </w:r>
      <w:r w:rsidRPr="003B4C7E">
        <w:rPr>
          <w:rFonts w:ascii="Times New Roman" w:hAnsi="Times New Roman" w:cs="Times New Roman"/>
          <w:color w:val="000000" w:themeColor="text1"/>
        </w:rPr>
        <w:t>arth and Environmental Sciences Division, Los Alamos National Laboratory, NM 87545</w:t>
      </w:r>
      <w:r w:rsidRPr="7E22FF92">
        <w:rPr>
          <w:rFonts w:ascii="Times New Roman" w:hAnsi="Times New Roman" w:cs="Times New Roman"/>
          <w:color w:val="000000" w:themeColor="text1"/>
        </w:rPr>
        <w:t>, USA</w:t>
      </w:r>
    </w:p>
    <w:p w14:paraId="221F4F5E" w14:textId="77777777" w:rsidR="00453F8D" w:rsidRPr="003B4C7E" w:rsidRDefault="00453F8D" w:rsidP="00453F8D">
      <w:pPr>
        <w:spacing w:after="0" w:line="480" w:lineRule="auto"/>
        <w:rPr>
          <w:rFonts w:ascii="Times New Roman" w:hAnsi="Times New Roman" w:cs="Times New Roman"/>
          <w:color w:val="000000" w:themeColor="text1"/>
        </w:rPr>
      </w:pPr>
    </w:p>
    <w:p w14:paraId="50105C35" w14:textId="2634955A" w:rsidR="00EF5A05" w:rsidRPr="00453F8D" w:rsidRDefault="00453F8D" w:rsidP="00453F8D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3B4C7E">
        <w:rPr>
          <w:rFonts w:ascii="Times New Roman" w:hAnsi="Times New Roman" w:cs="Times New Roman"/>
          <w:color w:val="000000" w:themeColor="text1"/>
        </w:rPr>
        <w:t xml:space="preserve">*Corresponding author at: </w:t>
      </w:r>
      <w:hyperlink r:id="rId10" w:history="1">
        <w:r w:rsidRPr="00B62351">
          <w:rPr>
            <w:rStyle w:val="Hyperlink"/>
            <w:rFonts w:ascii="Times New Roman" w:hAnsi="Times New Roman" w:cs="Times New Roman"/>
          </w:rPr>
          <w:t>Z</w:t>
        </w:r>
        <w:r w:rsidRPr="000D6232">
          <w:rPr>
            <w:rStyle w:val="Hyperlink"/>
            <w:rFonts w:ascii="Times New Roman" w:hAnsi="Times New Roman" w:cs="Times New Roman"/>
          </w:rPr>
          <w:t>Karpyn@psu.edu</w:t>
        </w:r>
      </w:hyperlink>
    </w:p>
    <w:p w14:paraId="7F4F8A0F" w14:textId="4AFE1947" w:rsidR="00D00E7F" w:rsidRPr="00453F8D" w:rsidRDefault="00D00E7F" w:rsidP="00453F8D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453F8D">
        <w:rPr>
          <w:rFonts w:ascii="Times New Roman" w:hAnsi="Times New Roman" w:cs="Times New Roman"/>
          <w:color w:val="000000" w:themeColor="text1"/>
        </w:rPr>
        <w:br w:type="page"/>
      </w:r>
    </w:p>
    <w:p w14:paraId="0859EA7A" w14:textId="74724A8A" w:rsidR="002C0C87" w:rsidRPr="00453F8D" w:rsidRDefault="002C0C87" w:rsidP="00453F8D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53F8D">
        <w:rPr>
          <w:rFonts w:ascii="Times New Roman" w:hAnsi="Times New Roman" w:cs="Times New Roman"/>
          <w:b/>
          <w:bCs/>
          <w:color w:val="000000" w:themeColor="text1"/>
        </w:rPr>
        <w:lastRenderedPageBreak/>
        <w:t>S1. Permeability estimation</w:t>
      </w:r>
    </w:p>
    <w:p w14:paraId="111C933C" w14:textId="4114B1DF" w:rsidR="00CB7653" w:rsidRPr="00453F8D" w:rsidRDefault="00D00E7F" w:rsidP="00453F8D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3F8D">
        <w:rPr>
          <w:rFonts w:ascii="Times New Roman" w:hAnsi="Times New Roman" w:cs="Times New Roman"/>
          <w:color w:val="000000" w:themeColor="text1"/>
        </w:rPr>
        <w:t xml:space="preserve">Figure S1 shows the differential pressure measurements collected for </w:t>
      </w:r>
      <w:r w:rsidR="00831393" w:rsidRPr="00453F8D">
        <w:rPr>
          <w:rFonts w:ascii="Times New Roman" w:hAnsi="Times New Roman" w:cs="Times New Roman"/>
          <w:color w:val="000000" w:themeColor="text1"/>
        </w:rPr>
        <w:t xml:space="preserve">single phase </w:t>
      </w:r>
      <w:r w:rsidRPr="00453F8D">
        <w:rPr>
          <w:rFonts w:ascii="Times New Roman" w:hAnsi="Times New Roman" w:cs="Times New Roman"/>
          <w:color w:val="000000" w:themeColor="text1"/>
        </w:rPr>
        <w:t xml:space="preserve">brine permeability estimation. </w:t>
      </w:r>
      <w:r w:rsidR="00831393" w:rsidRPr="00453F8D">
        <w:rPr>
          <w:rFonts w:ascii="Times New Roman" w:hAnsi="Times New Roman" w:cs="Times New Roman"/>
          <w:color w:val="000000" w:themeColor="text1"/>
        </w:rPr>
        <w:t xml:space="preserve">This was completed during stage 5 of the experiment: Brine Flow for Permeability Estimation. </w:t>
      </w:r>
      <w:r w:rsidRPr="00453F8D">
        <w:rPr>
          <w:rFonts w:ascii="Times New Roman" w:hAnsi="Times New Roman" w:cs="Times New Roman"/>
          <w:color w:val="000000" w:themeColor="text1"/>
        </w:rPr>
        <w:t>Measurements were collected at different flow rates</w:t>
      </w:r>
      <w:r w:rsidR="00831393" w:rsidRPr="00453F8D">
        <w:rPr>
          <w:rFonts w:ascii="Times New Roman" w:hAnsi="Times New Roman" w:cs="Times New Roman"/>
          <w:color w:val="000000" w:themeColor="text1"/>
        </w:rPr>
        <w:t xml:space="preserve"> from 0.5 cc/min to 2 cc/min</w:t>
      </w:r>
      <w:r w:rsidRPr="00453F8D">
        <w:rPr>
          <w:rFonts w:ascii="Times New Roman" w:hAnsi="Times New Roman" w:cs="Times New Roman"/>
          <w:color w:val="000000" w:themeColor="text1"/>
        </w:rPr>
        <w:t xml:space="preserve">. Mean values for the differential pressures were used to estimate the brine permeability of the sample. </w:t>
      </w:r>
      <w:r w:rsidR="00831393" w:rsidRPr="00453F8D">
        <w:rPr>
          <w:rFonts w:ascii="Times New Roman" w:hAnsi="Times New Roman" w:cs="Times New Roman"/>
          <w:color w:val="000000" w:themeColor="text1"/>
        </w:rPr>
        <w:t>Sample permeability was</w:t>
      </w:r>
      <w:r w:rsidR="0005135B" w:rsidRPr="00453F8D">
        <w:rPr>
          <w:rFonts w:ascii="Times New Roman" w:hAnsi="Times New Roman" w:cs="Times New Roman"/>
          <w:color w:val="000000" w:themeColor="text1"/>
        </w:rPr>
        <w:t xml:space="preserve"> calculated</w:t>
      </w:r>
      <w:r w:rsidR="00831393" w:rsidRPr="00453F8D">
        <w:rPr>
          <w:rFonts w:ascii="Times New Roman" w:hAnsi="Times New Roman" w:cs="Times New Roman"/>
          <w:color w:val="000000" w:themeColor="text1"/>
        </w:rPr>
        <w:t xml:space="preserve"> from the slope of </w:t>
      </w:r>
      <w:r w:rsidR="00224788" w:rsidRPr="00453F8D">
        <w:rPr>
          <w:rFonts w:ascii="Times New Roman" w:hAnsi="Times New Roman" w:cs="Times New Roman"/>
          <w:color w:val="000000" w:themeColor="text1"/>
        </w:rPr>
        <w:t>the flow rate versus differential pressure plot</w:t>
      </w:r>
      <w:r w:rsidR="0005135B" w:rsidRPr="00453F8D">
        <w:rPr>
          <w:rFonts w:ascii="Times New Roman" w:hAnsi="Times New Roman" w:cs="Times New Roman"/>
          <w:color w:val="000000" w:themeColor="text1"/>
        </w:rPr>
        <w:t xml:space="preserve"> and was found to be ~98 </w:t>
      </w:r>
      <w:proofErr w:type="spellStart"/>
      <w:r w:rsidR="0005135B" w:rsidRPr="00453F8D">
        <w:rPr>
          <w:rFonts w:ascii="Times New Roman" w:hAnsi="Times New Roman" w:cs="Times New Roman"/>
          <w:color w:val="000000" w:themeColor="text1"/>
        </w:rPr>
        <w:t>mD</w:t>
      </w:r>
      <w:proofErr w:type="spellEnd"/>
      <w:r w:rsidR="00224788" w:rsidRPr="00453F8D">
        <w:rPr>
          <w:rFonts w:ascii="Times New Roman" w:hAnsi="Times New Roman" w:cs="Times New Roman"/>
          <w:color w:val="000000" w:themeColor="text1"/>
        </w:rPr>
        <w:t xml:space="preserve"> (Figure S2).</w:t>
      </w:r>
      <w:r w:rsidR="00831393" w:rsidRPr="00453F8D">
        <w:rPr>
          <w:rFonts w:ascii="Times New Roman" w:hAnsi="Times New Roman" w:cs="Times New Roman"/>
          <w:color w:val="000000" w:themeColor="text1"/>
        </w:rPr>
        <w:t xml:space="preserve"> </w:t>
      </w:r>
    </w:p>
    <w:p w14:paraId="504FB7F7" w14:textId="77777777" w:rsidR="00CB7653" w:rsidRPr="00453F8D" w:rsidRDefault="00CB7653" w:rsidP="00453F8D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453F8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6DCA79F4" wp14:editId="0BB58A7E">
            <wp:extent cx="5486400" cy="3237230"/>
            <wp:effectExtent l="0" t="0" r="0" b="1270"/>
            <wp:docPr id="445043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8364" w14:textId="2BAA55CF" w:rsidR="00AD180C" w:rsidRPr="00180AD3" w:rsidRDefault="00AD180C" w:rsidP="00180AD3">
      <w:p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Figure S</w:t>
      </w:r>
      <w:r w:rsidR="00DD5C2E"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1</w:t>
      </w:r>
      <w:r w:rsidR="00FD5862"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Pr="00180AD3">
        <w:rPr>
          <w:rFonts w:ascii="Calibri" w:hAnsi="Calibri" w:cs="Calibri"/>
          <w:color w:val="000000" w:themeColor="text1"/>
          <w:sz w:val="22"/>
          <w:szCs w:val="22"/>
        </w:rPr>
        <w:t xml:space="preserve"> Differential pressure over time for </w:t>
      </w:r>
      <w:r w:rsidR="00DD5C2E" w:rsidRPr="00180AD3">
        <w:rPr>
          <w:rFonts w:ascii="Calibri" w:hAnsi="Calibri" w:cs="Calibri"/>
          <w:color w:val="000000" w:themeColor="text1"/>
          <w:sz w:val="22"/>
          <w:szCs w:val="22"/>
        </w:rPr>
        <w:t xml:space="preserve">brine </w:t>
      </w:r>
      <w:r w:rsidRPr="00180AD3">
        <w:rPr>
          <w:rFonts w:ascii="Calibri" w:hAnsi="Calibri" w:cs="Calibri"/>
          <w:color w:val="000000" w:themeColor="text1"/>
          <w:sz w:val="22"/>
          <w:szCs w:val="22"/>
        </w:rPr>
        <w:t>permeability estimatio</w:t>
      </w:r>
      <w:r w:rsidR="00DD5C2E" w:rsidRPr="00180AD3">
        <w:rPr>
          <w:rFonts w:ascii="Calibri" w:hAnsi="Calibri" w:cs="Calibri"/>
          <w:color w:val="000000" w:themeColor="text1"/>
          <w:sz w:val="22"/>
          <w:szCs w:val="22"/>
        </w:rPr>
        <w:t>n</w:t>
      </w:r>
      <w:r w:rsidRPr="00180AD3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548E3A90" w14:textId="77777777" w:rsidR="00DD5C2E" w:rsidRPr="00453F8D" w:rsidRDefault="00DD5C2E" w:rsidP="00453F8D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453F8D">
        <w:rPr>
          <w:rFonts w:ascii="Times New Roman" w:hAnsi="Times New Roman" w:cs="Times New Roman"/>
          <w:noProof/>
          <w:color w:val="000000" w:themeColor="text1"/>
        </w:rPr>
        <w:lastRenderedPageBreak/>
        <w:drawing>
          <wp:inline distT="0" distB="0" distL="0" distR="0" wp14:anchorId="3CAB523F" wp14:editId="33B14DFA">
            <wp:extent cx="5244737" cy="3193393"/>
            <wp:effectExtent l="0" t="0" r="0" b="7620"/>
            <wp:docPr id="432575609" name="drawing" descr="A blue line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75609" name="drawing" descr="A blue line in the sky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6" r="1176" b="4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518" cy="3193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471D4" w14:textId="73FE6569" w:rsidR="00CB7653" w:rsidRPr="00180AD3" w:rsidRDefault="00DD5C2E" w:rsidP="00180AD3">
      <w:pPr>
        <w:spacing w:line="240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Figure S2</w:t>
      </w:r>
      <w:r w:rsidR="00FD5862"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Pr="00180AD3">
        <w:rPr>
          <w:rFonts w:ascii="Calibri" w:hAnsi="Calibri" w:cs="Calibri"/>
          <w:color w:val="000000" w:themeColor="text1"/>
          <w:sz w:val="22"/>
          <w:szCs w:val="22"/>
        </w:rPr>
        <w:t xml:space="preserve"> Average </w:t>
      </w:r>
      <w:r w:rsidR="00453F8D" w:rsidRPr="00180AD3">
        <w:rPr>
          <w:rFonts w:ascii="Calibri" w:hAnsi="Calibri" w:cs="Calibri"/>
          <w:color w:val="000000" w:themeColor="text1"/>
          <w:sz w:val="22"/>
          <w:szCs w:val="22"/>
        </w:rPr>
        <w:t>differential pressure</w:t>
      </w:r>
      <w:r w:rsidRPr="00180AD3">
        <w:rPr>
          <w:rFonts w:ascii="Calibri" w:hAnsi="Calibri" w:cs="Calibri"/>
          <w:color w:val="000000" w:themeColor="text1"/>
          <w:sz w:val="22"/>
          <w:szCs w:val="22"/>
        </w:rPr>
        <w:t xml:space="preserve"> versus flow rate for permeability estimation</w:t>
      </w:r>
    </w:p>
    <w:p w14:paraId="1C542235" w14:textId="77777777" w:rsidR="002C0C87" w:rsidRPr="00453F8D" w:rsidRDefault="002C0C87" w:rsidP="00453F8D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6016BD7" w14:textId="68002128" w:rsidR="002C0C87" w:rsidRPr="00453F8D" w:rsidRDefault="002C0C87" w:rsidP="00453F8D">
      <w:pPr>
        <w:spacing w:line="480" w:lineRule="auto"/>
        <w:jc w:val="both"/>
      </w:pPr>
      <w:r w:rsidRPr="32403925">
        <w:rPr>
          <w:rFonts w:ascii="Times New Roman" w:hAnsi="Times New Roman" w:cs="Times New Roman"/>
          <w:b/>
          <w:bCs/>
          <w:color w:val="000000" w:themeColor="text1"/>
        </w:rPr>
        <w:t>S2. Image processing</w:t>
      </w:r>
      <w:r w:rsidR="00BF0024" w:rsidRPr="32403925">
        <w:rPr>
          <w:rFonts w:ascii="Times New Roman" w:hAnsi="Times New Roman" w:cs="Times New Roman"/>
          <w:b/>
          <w:bCs/>
          <w:color w:val="000000" w:themeColor="text1"/>
        </w:rPr>
        <w:t xml:space="preserve"> attributes</w:t>
      </w:r>
    </w:p>
    <w:p w14:paraId="24EE4809" w14:textId="179BA75D" w:rsidR="2669F7F2" w:rsidRDefault="2669F7F2" w:rsidP="32403925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3240392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C428BC">
        <w:rPr>
          <w:rFonts w:ascii="Times New Roman" w:hAnsi="Times New Roman" w:cs="Times New Roman"/>
          <w:color w:val="000000" w:themeColor="text1"/>
        </w:rPr>
        <w:t>Parameters</w:t>
      </w:r>
      <w:r w:rsidRPr="32403925">
        <w:rPr>
          <w:rFonts w:ascii="Times New Roman" w:hAnsi="Times New Roman" w:cs="Times New Roman"/>
          <w:color w:val="000000" w:themeColor="text1"/>
        </w:rPr>
        <w:t xml:space="preserve"> to accomplish segmentation of all data sets are included in Table S1. </w:t>
      </w:r>
      <w:r w:rsidR="26A24504" w:rsidRPr="32403925">
        <w:rPr>
          <w:rFonts w:ascii="Times New Roman" w:hAnsi="Times New Roman" w:cs="Times New Roman"/>
          <w:color w:val="000000" w:themeColor="text1"/>
        </w:rPr>
        <w:t xml:space="preserve">The intensity thresholds indicate the range for which the </w:t>
      </w:r>
      <w:r w:rsidR="74513E69" w:rsidRPr="32403925">
        <w:rPr>
          <w:rFonts w:ascii="Times New Roman" w:hAnsi="Times New Roman" w:cs="Times New Roman"/>
          <w:color w:val="000000" w:themeColor="text1"/>
        </w:rPr>
        <w:t>“</w:t>
      </w:r>
      <w:r w:rsidR="191944E8" w:rsidRPr="32403925">
        <w:rPr>
          <w:rFonts w:ascii="Times New Roman" w:hAnsi="Times New Roman" w:cs="Times New Roman"/>
          <w:color w:val="000000" w:themeColor="text1"/>
        </w:rPr>
        <w:t>c</w:t>
      </w:r>
      <w:r w:rsidR="26A24504" w:rsidRPr="32403925">
        <w:rPr>
          <w:rFonts w:ascii="Times New Roman" w:hAnsi="Times New Roman" w:cs="Times New Roman"/>
          <w:color w:val="000000" w:themeColor="text1"/>
        </w:rPr>
        <w:t xml:space="preserve">onverging </w:t>
      </w:r>
      <w:r w:rsidR="39BB7BA7" w:rsidRPr="32403925">
        <w:rPr>
          <w:rFonts w:ascii="Times New Roman" w:hAnsi="Times New Roman" w:cs="Times New Roman"/>
          <w:color w:val="000000" w:themeColor="text1"/>
        </w:rPr>
        <w:t>a</w:t>
      </w:r>
      <w:r w:rsidR="26A24504" w:rsidRPr="32403925">
        <w:rPr>
          <w:rFonts w:ascii="Times New Roman" w:hAnsi="Times New Roman" w:cs="Times New Roman"/>
          <w:color w:val="000000" w:themeColor="text1"/>
        </w:rPr>
        <w:t xml:space="preserve">ctive </w:t>
      </w:r>
      <w:r w:rsidR="6897A188" w:rsidRPr="32403925">
        <w:rPr>
          <w:rFonts w:ascii="Times New Roman" w:hAnsi="Times New Roman" w:cs="Times New Roman"/>
          <w:color w:val="000000" w:themeColor="text1"/>
        </w:rPr>
        <w:t>c</w:t>
      </w:r>
      <w:r w:rsidR="26A24504" w:rsidRPr="32403925">
        <w:rPr>
          <w:rFonts w:ascii="Times New Roman" w:hAnsi="Times New Roman" w:cs="Times New Roman"/>
          <w:color w:val="000000" w:themeColor="text1"/>
        </w:rPr>
        <w:t>ontours</w:t>
      </w:r>
      <w:r w:rsidR="2115060F" w:rsidRPr="32403925">
        <w:rPr>
          <w:rFonts w:ascii="Times New Roman" w:hAnsi="Times New Roman" w:cs="Times New Roman"/>
          <w:color w:val="000000" w:themeColor="text1"/>
        </w:rPr>
        <w:t>”</w:t>
      </w:r>
      <w:r w:rsidR="26A24504" w:rsidRPr="32403925">
        <w:rPr>
          <w:rFonts w:ascii="Times New Roman" w:hAnsi="Times New Roman" w:cs="Times New Roman"/>
          <w:color w:val="000000" w:themeColor="text1"/>
        </w:rPr>
        <w:t xml:space="preserve"> (CAC) algorithm is </w:t>
      </w:r>
      <w:proofErr w:type="gramStart"/>
      <w:r w:rsidR="4F66C43C" w:rsidRPr="32403925">
        <w:rPr>
          <w:rFonts w:ascii="Times New Roman" w:hAnsi="Times New Roman" w:cs="Times New Roman"/>
          <w:color w:val="000000" w:themeColor="text1"/>
        </w:rPr>
        <w:t>applied</w:t>
      </w:r>
      <w:r w:rsidR="26A24504" w:rsidRPr="32403925">
        <w:rPr>
          <w:rFonts w:ascii="Times New Roman" w:hAnsi="Times New Roman" w:cs="Times New Roman"/>
          <w:color w:val="000000" w:themeColor="text1"/>
        </w:rPr>
        <w:t>;</w:t>
      </w:r>
      <w:proofErr w:type="gramEnd"/>
      <w:r w:rsidR="26A24504" w:rsidRPr="32403925">
        <w:rPr>
          <w:rFonts w:ascii="Times New Roman" w:hAnsi="Times New Roman" w:cs="Times New Roman"/>
          <w:color w:val="000000" w:themeColor="text1"/>
        </w:rPr>
        <w:t xml:space="preserve"> e.g., for the </w:t>
      </w:r>
      <w:r w:rsidR="26A24504" w:rsidRPr="00C428BC">
        <w:rPr>
          <w:rFonts w:ascii="Times New Roman" w:hAnsi="Times New Roman" w:cs="Times New Roman"/>
          <w:i/>
          <w:color w:val="000000" w:themeColor="text1"/>
        </w:rPr>
        <w:t>Vacuum</w:t>
      </w:r>
      <w:r w:rsidR="26A24504" w:rsidRPr="32403925">
        <w:rPr>
          <w:rFonts w:ascii="Times New Roman" w:hAnsi="Times New Roman" w:cs="Times New Roman"/>
          <w:color w:val="000000" w:themeColor="text1"/>
        </w:rPr>
        <w:t xml:space="preserve"> data set, </w:t>
      </w:r>
      <w:r w:rsidR="6410C81A" w:rsidRPr="32403925">
        <w:rPr>
          <w:rFonts w:ascii="Times New Roman" w:hAnsi="Times New Roman" w:cs="Times New Roman"/>
          <w:color w:val="000000" w:themeColor="text1"/>
        </w:rPr>
        <w:t>voxels with an intensity less than 35000 were</w:t>
      </w:r>
      <w:r w:rsidR="48AE0A5C" w:rsidRPr="32403925">
        <w:rPr>
          <w:rFonts w:ascii="Times New Roman" w:hAnsi="Times New Roman" w:cs="Times New Roman"/>
          <w:color w:val="000000" w:themeColor="text1"/>
        </w:rPr>
        <w:t xml:space="preserve"> </w:t>
      </w:r>
      <w:r w:rsidR="4FF98C1E" w:rsidRPr="32403925">
        <w:rPr>
          <w:rFonts w:ascii="Times New Roman" w:hAnsi="Times New Roman" w:cs="Times New Roman"/>
          <w:color w:val="000000" w:themeColor="text1"/>
        </w:rPr>
        <w:t>initially</w:t>
      </w:r>
      <w:r w:rsidR="6410C81A" w:rsidRPr="32403925">
        <w:rPr>
          <w:rFonts w:ascii="Times New Roman" w:hAnsi="Times New Roman" w:cs="Times New Roman"/>
          <w:color w:val="000000" w:themeColor="text1"/>
        </w:rPr>
        <w:t xml:space="preserve"> labeled as “void”; voxels with intensity greater than 42000 were label</w:t>
      </w:r>
      <w:r w:rsidR="246F9B06" w:rsidRPr="32403925">
        <w:rPr>
          <w:rFonts w:ascii="Times New Roman" w:hAnsi="Times New Roman" w:cs="Times New Roman"/>
          <w:color w:val="000000" w:themeColor="text1"/>
        </w:rPr>
        <w:t>e</w:t>
      </w:r>
      <w:r w:rsidR="6410C81A" w:rsidRPr="32403925">
        <w:rPr>
          <w:rFonts w:ascii="Times New Roman" w:hAnsi="Times New Roman" w:cs="Times New Roman"/>
          <w:color w:val="000000" w:themeColor="text1"/>
        </w:rPr>
        <w:t>d “solid”, and voxels between these limits were de</w:t>
      </w:r>
      <w:r w:rsidR="72DF09F4" w:rsidRPr="32403925">
        <w:rPr>
          <w:rFonts w:ascii="Times New Roman" w:hAnsi="Times New Roman" w:cs="Times New Roman"/>
          <w:color w:val="000000" w:themeColor="text1"/>
        </w:rPr>
        <w:t>termined</w:t>
      </w:r>
      <w:r w:rsidR="6410C81A" w:rsidRPr="32403925">
        <w:rPr>
          <w:rFonts w:ascii="Times New Roman" w:hAnsi="Times New Roman" w:cs="Times New Roman"/>
          <w:color w:val="000000" w:themeColor="text1"/>
        </w:rPr>
        <w:t xml:space="preserve"> </w:t>
      </w:r>
      <w:r w:rsidR="0BEE48BD" w:rsidRPr="32403925">
        <w:rPr>
          <w:rFonts w:ascii="Times New Roman" w:hAnsi="Times New Roman" w:cs="Times New Roman"/>
          <w:color w:val="000000" w:themeColor="text1"/>
        </w:rPr>
        <w:t>via</w:t>
      </w:r>
      <w:r w:rsidR="2E112DBC" w:rsidRPr="32403925">
        <w:rPr>
          <w:rFonts w:ascii="Times New Roman" w:hAnsi="Times New Roman" w:cs="Times New Roman"/>
          <w:color w:val="000000" w:themeColor="text1"/>
        </w:rPr>
        <w:t xml:space="preserve"> CAC</w:t>
      </w:r>
      <w:r w:rsidR="57966C24" w:rsidRPr="32403925">
        <w:rPr>
          <w:rFonts w:ascii="Times New Roman" w:hAnsi="Times New Roman" w:cs="Times New Roman"/>
          <w:color w:val="000000" w:themeColor="text1"/>
        </w:rPr>
        <w:t>. The region labeled “solid” in the Vacuum data set was applied as a mask to the subsequent partially-saturated data sets</w:t>
      </w:r>
      <w:r w:rsidR="64DB1690" w:rsidRPr="32403925">
        <w:rPr>
          <w:rFonts w:ascii="Times New Roman" w:hAnsi="Times New Roman" w:cs="Times New Roman"/>
          <w:color w:val="000000" w:themeColor="text1"/>
        </w:rPr>
        <w:t>, and the CAC algorithm applied again to delineate scCO</w:t>
      </w:r>
      <w:r w:rsidR="64DB1690" w:rsidRPr="00C428BC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64DB1690" w:rsidRPr="32403925">
        <w:rPr>
          <w:rFonts w:ascii="Times New Roman" w:hAnsi="Times New Roman" w:cs="Times New Roman"/>
          <w:color w:val="000000" w:themeColor="text1"/>
        </w:rPr>
        <w:t xml:space="preserve"> phase from brine phase; e.g.</w:t>
      </w:r>
      <w:r w:rsidR="3E96A184" w:rsidRPr="32403925">
        <w:rPr>
          <w:rFonts w:ascii="Times New Roman" w:hAnsi="Times New Roman" w:cs="Times New Roman"/>
          <w:color w:val="000000" w:themeColor="text1"/>
        </w:rPr>
        <w:t>,</w:t>
      </w:r>
      <w:r w:rsidR="64DB1690" w:rsidRPr="32403925">
        <w:rPr>
          <w:rFonts w:ascii="Times New Roman" w:hAnsi="Times New Roman" w:cs="Times New Roman"/>
          <w:color w:val="000000" w:themeColor="text1"/>
        </w:rPr>
        <w:t xml:space="preserve"> for </w:t>
      </w:r>
      <w:r w:rsidR="278644AE" w:rsidRPr="00C428BC">
        <w:rPr>
          <w:rFonts w:ascii="Times New Roman" w:hAnsi="Times New Roman" w:cs="Times New Roman"/>
          <w:i/>
          <w:color w:val="000000" w:themeColor="text1"/>
        </w:rPr>
        <w:t>Initial scCO</w:t>
      </w:r>
      <w:r w:rsidR="278644AE" w:rsidRPr="00C428BC">
        <w:rPr>
          <w:rFonts w:ascii="Times New Roman" w:hAnsi="Times New Roman" w:cs="Times New Roman"/>
          <w:i/>
          <w:color w:val="000000" w:themeColor="text1"/>
          <w:vertAlign w:val="subscript"/>
        </w:rPr>
        <w:t>2</w:t>
      </w:r>
      <w:r w:rsidR="278644AE" w:rsidRPr="00C428BC">
        <w:rPr>
          <w:rFonts w:ascii="Times New Roman" w:hAnsi="Times New Roman" w:cs="Times New Roman"/>
          <w:color w:val="000000" w:themeColor="text1"/>
        </w:rPr>
        <w:t>, all</w:t>
      </w:r>
      <w:r w:rsidR="278644AE" w:rsidRPr="32403925">
        <w:rPr>
          <w:rFonts w:ascii="Times New Roman" w:hAnsi="Times New Roman" w:cs="Times New Roman"/>
          <w:color w:val="000000" w:themeColor="text1"/>
        </w:rPr>
        <w:t xml:space="preserve"> voxels with intensity below 33000 were labeled as scCO</w:t>
      </w:r>
      <w:r w:rsidR="278644AE" w:rsidRPr="00C428BC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278644AE" w:rsidRPr="32403925">
        <w:rPr>
          <w:rFonts w:ascii="Times New Roman" w:hAnsi="Times New Roman" w:cs="Times New Roman"/>
          <w:color w:val="000000" w:themeColor="text1"/>
        </w:rPr>
        <w:t xml:space="preserve">, all voxels with intensities </w:t>
      </w:r>
      <w:r w:rsidR="775B9618" w:rsidRPr="32403925">
        <w:rPr>
          <w:rFonts w:ascii="Times New Roman" w:hAnsi="Times New Roman" w:cs="Times New Roman"/>
          <w:color w:val="000000" w:themeColor="text1"/>
        </w:rPr>
        <w:t>greater than 42000 were labeled as brine</w:t>
      </w:r>
      <w:r w:rsidR="57FA7CD4" w:rsidRPr="32403925">
        <w:rPr>
          <w:rFonts w:ascii="Times New Roman" w:hAnsi="Times New Roman" w:cs="Times New Roman"/>
          <w:color w:val="000000" w:themeColor="text1"/>
        </w:rPr>
        <w:t xml:space="preserve">, and CAC applied for the </w:t>
      </w:r>
      <w:r w:rsidR="223F1B62" w:rsidRPr="32403925">
        <w:rPr>
          <w:rFonts w:ascii="Times New Roman" w:hAnsi="Times New Roman" w:cs="Times New Roman"/>
          <w:color w:val="000000" w:themeColor="text1"/>
        </w:rPr>
        <w:t>voxels with intensities</w:t>
      </w:r>
      <w:r w:rsidR="57FA7CD4" w:rsidRPr="32403925">
        <w:rPr>
          <w:rFonts w:ascii="Times New Roman" w:hAnsi="Times New Roman" w:cs="Times New Roman"/>
          <w:color w:val="000000" w:themeColor="text1"/>
        </w:rPr>
        <w:t xml:space="preserve"> between these values. </w:t>
      </w:r>
      <w:r w:rsidR="3E10EF0A" w:rsidRPr="32403925">
        <w:rPr>
          <w:rFonts w:ascii="Times New Roman" w:hAnsi="Times New Roman" w:cs="Times New Roman"/>
          <w:color w:val="000000" w:themeColor="text1"/>
        </w:rPr>
        <w:t>Application of g</w:t>
      </w:r>
      <w:r w:rsidR="57FA7CD4" w:rsidRPr="32403925">
        <w:rPr>
          <w:rFonts w:ascii="Times New Roman" w:hAnsi="Times New Roman" w:cs="Times New Roman"/>
          <w:color w:val="000000" w:themeColor="text1"/>
        </w:rPr>
        <w:t>radient threshold</w:t>
      </w:r>
      <w:r w:rsidR="2E20795A" w:rsidRPr="32403925">
        <w:rPr>
          <w:rFonts w:ascii="Times New Roman" w:hAnsi="Times New Roman" w:cs="Times New Roman"/>
          <w:color w:val="000000" w:themeColor="text1"/>
        </w:rPr>
        <w:t>ing</w:t>
      </w:r>
      <w:r w:rsidR="57FA7CD4" w:rsidRPr="32403925">
        <w:rPr>
          <w:rFonts w:ascii="Times New Roman" w:hAnsi="Times New Roman" w:cs="Times New Roman"/>
          <w:color w:val="000000" w:themeColor="text1"/>
        </w:rPr>
        <w:t xml:space="preserve"> prevent</w:t>
      </w:r>
      <w:r w:rsidR="1B0392D2" w:rsidRPr="32403925">
        <w:rPr>
          <w:rFonts w:ascii="Times New Roman" w:hAnsi="Times New Roman" w:cs="Times New Roman"/>
          <w:color w:val="000000" w:themeColor="text1"/>
        </w:rPr>
        <w:t>s</w:t>
      </w:r>
      <w:r w:rsidR="57FA7CD4" w:rsidRPr="32403925">
        <w:rPr>
          <w:rFonts w:ascii="Times New Roman" w:hAnsi="Times New Roman" w:cs="Times New Roman"/>
          <w:color w:val="000000" w:themeColor="text1"/>
        </w:rPr>
        <w:t xml:space="preserve"> </w:t>
      </w:r>
      <w:r w:rsidR="1113D06F" w:rsidRPr="32403925">
        <w:rPr>
          <w:rFonts w:ascii="Times New Roman" w:hAnsi="Times New Roman" w:cs="Times New Roman"/>
          <w:color w:val="000000" w:themeColor="text1"/>
        </w:rPr>
        <w:t>mislabeling</w:t>
      </w:r>
      <w:r w:rsidR="508671CF" w:rsidRPr="32403925">
        <w:rPr>
          <w:rFonts w:ascii="Times New Roman" w:hAnsi="Times New Roman" w:cs="Times New Roman"/>
          <w:color w:val="000000" w:themeColor="text1"/>
        </w:rPr>
        <w:t xml:space="preserve"> a</w:t>
      </w:r>
      <w:r w:rsidR="4EFD506A" w:rsidRPr="32403925">
        <w:rPr>
          <w:rFonts w:ascii="Times New Roman" w:hAnsi="Times New Roman" w:cs="Times New Roman"/>
          <w:color w:val="000000" w:themeColor="text1"/>
        </w:rPr>
        <w:t>t phase boundaries</w:t>
      </w:r>
      <w:r w:rsidR="52893280" w:rsidRPr="32403925">
        <w:rPr>
          <w:rFonts w:ascii="Times New Roman" w:hAnsi="Times New Roman" w:cs="Times New Roman"/>
          <w:color w:val="000000" w:themeColor="text1"/>
        </w:rPr>
        <w:t>: voxels with very high intensity gradients</w:t>
      </w:r>
      <w:r w:rsidR="57FA7CD4" w:rsidRPr="32403925">
        <w:rPr>
          <w:rFonts w:ascii="Times New Roman" w:hAnsi="Times New Roman" w:cs="Times New Roman"/>
          <w:color w:val="000000" w:themeColor="text1"/>
        </w:rPr>
        <w:t xml:space="preserve"> </w:t>
      </w:r>
      <w:r w:rsidR="10E7DCAE" w:rsidRPr="32403925">
        <w:rPr>
          <w:rFonts w:ascii="Times New Roman" w:hAnsi="Times New Roman" w:cs="Times New Roman"/>
          <w:color w:val="000000" w:themeColor="text1"/>
        </w:rPr>
        <w:lastRenderedPageBreak/>
        <w:t xml:space="preserve">are indicative of voxels at the boundary between </w:t>
      </w:r>
      <w:r w:rsidR="10E7DCAE" w:rsidRPr="00C428BC">
        <w:rPr>
          <w:rFonts w:ascii="Times New Roman" w:hAnsi="Times New Roman" w:cs="Times New Roman"/>
          <w:color w:val="000000" w:themeColor="text1"/>
        </w:rPr>
        <w:t>void and solid</w:t>
      </w:r>
      <w:r w:rsidR="6152704E" w:rsidRPr="32403925">
        <w:rPr>
          <w:rFonts w:ascii="Times New Roman" w:hAnsi="Times New Roman" w:cs="Times New Roman"/>
          <w:color w:val="000000" w:themeColor="text1"/>
        </w:rPr>
        <w:t xml:space="preserve"> which are prone to partial volume effects. High gradient voxels</w:t>
      </w:r>
      <w:r w:rsidR="10E7DCAE" w:rsidRPr="32403925">
        <w:rPr>
          <w:rFonts w:ascii="Times New Roman" w:hAnsi="Times New Roman" w:cs="Times New Roman"/>
          <w:color w:val="000000" w:themeColor="text1"/>
        </w:rPr>
        <w:t xml:space="preserve"> are </w:t>
      </w:r>
      <w:r w:rsidR="487815C5" w:rsidRPr="32403925">
        <w:rPr>
          <w:rFonts w:ascii="Times New Roman" w:hAnsi="Times New Roman" w:cs="Times New Roman"/>
          <w:color w:val="000000" w:themeColor="text1"/>
        </w:rPr>
        <w:t xml:space="preserve">thus </w:t>
      </w:r>
      <w:r w:rsidR="10E7DCAE" w:rsidRPr="32403925">
        <w:rPr>
          <w:rFonts w:ascii="Times New Roman" w:hAnsi="Times New Roman" w:cs="Times New Roman"/>
          <w:color w:val="000000" w:themeColor="text1"/>
        </w:rPr>
        <w:t xml:space="preserve">set to be “unlabeled” </w:t>
      </w:r>
      <w:r w:rsidR="46183E05" w:rsidRPr="32403925">
        <w:rPr>
          <w:rFonts w:ascii="Times New Roman" w:hAnsi="Times New Roman" w:cs="Times New Roman"/>
          <w:color w:val="000000" w:themeColor="text1"/>
        </w:rPr>
        <w:t>a</w:t>
      </w:r>
      <w:r w:rsidR="1B901338" w:rsidRPr="32403925">
        <w:rPr>
          <w:rFonts w:ascii="Times New Roman" w:hAnsi="Times New Roman" w:cs="Times New Roman"/>
          <w:color w:val="000000" w:themeColor="text1"/>
        </w:rPr>
        <w:t>f</w:t>
      </w:r>
      <w:r w:rsidR="46183E05" w:rsidRPr="32403925">
        <w:rPr>
          <w:rFonts w:ascii="Times New Roman" w:hAnsi="Times New Roman" w:cs="Times New Roman"/>
          <w:color w:val="000000" w:themeColor="text1"/>
        </w:rPr>
        <w:t>t</w:t>
      </w:r>
      <w:r w:rsidR="10EF7D41" w:rsidRPr="32403925">
        <w:rPr>
          <w:rFonts w:ascii="Times New Roman" w:hAnsi="Times New Roman" w:cs="Times New Roman"/>
          <w:color w:val="000000" w:themeColor="text1"/>
        </w:rPr>
        <w:t>er</w:t>
      </w:r>
      <w:r w:rsidR="46183E05" w:rsidRPr="32403925">
        <w:rPr>
          <w:rFonts w:ascii="Times New Roman" w:hAnsi="Times New Roman" w:cs="Times New Roman"/>
          <w:color w:val="000000" w:themeColor="text1"/>
        </w:rPr>
        <w:t xml:space="preserve"> the initial labeling stage </w:t>
      </w:r>
      <w:r w:rsidR="13033B58" w:rsidRPr="32403925">
        <w:rPr>
          <w:rFonts w:ascii="Times New Roman" w:hAnsi="Times New Roman" w:cs="Times New Roman"/>
          <w:color w:val="000000" w:themeColor="text1"/>
        </w:rPr>
        <w:t>(</w:t>
      </w:r>
      <w:r w:rsidR="46183E05" w:rsidRPr="32403925">
        <w:rPr>
          <w:rFonts w:ascii="Times New Roman" w:hAnsi="Times New Roman" w:cs="Times New Roman"/>
          <w:color w:val="000000" w:themeColor="text1"/>
        </w:rPr>
        <w:t>even if the intensity value is beyond lower or upper intensity thresholds</w:t>
      </w:r>
      <w:r w:rsidR="0B46B3A8" w:rsidRPr="32403925">
        <w:rPr>
          <w:rFonts w:ascii="Times New Roman" w:hAnsi="Times New Roman" w:cs="Times New Roman"/>
          <w:color w:val="000000" w:themeColor="text1"/>
        </w:rPr>
        <w:t>)</w:t>
      </w:r>
      <w:r w:rsidR="7A5F6123" w:rsidRPr="32403925">
        <w:rPr>
          <w:rFonts w:ascii="Times New Roman" w:hAnsi="Times New Roman" w:cs="Times New Roman"/>
          <w:color w:val="000000" w:themeColor="text1"/>
        </w:rPr>
        <w:t>, enabling application of the CAC algorithm at these regions</w:t>
      </w:r>
      <w:r w:rsidR="2AFEE8AF" w:rsidRPr="32403925">
        <w:rPr>
          <w:rFonts w:ascii="Times New Roman" w:hAnsi="Times New Roman" w:cs="Times New Roman"/>
          <w:color w:val="000000" w:themeColor="text1"/>
        </w:rPr>
        <w:t xml:space="preserve"> and reducing the “halo effect” associated with partial volume effects</w:t>
      </w:r>
      <w:r w:rsidR="7A5F6123" w:rsidRPr="32403925">
        <w:rPr>
          <w:rFonts w:ascii="Times New Roman" w:hAnsi="Times New Roman" w:cs="Times New Roman"/>
          <w:color w:val="000000" w:themeColor="text1"/>
        </w:rPr>
        <w:t>. For these scans, a gradient threshold of 4000 was generally used.</w:t>
      </w:r>
    </w:p>
    <w:p w14:paraId="31ACB2C8" w14:textId="263ABD8F" w:rsidR="003C16AF" w:rsidRPr="00180AD3" w:rsidRDefault="003C16AF" w:rsidP="00180AD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Table </w:t>
      </w:r>
      <w:r w:rsidR="00FD5862"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S1</w:t>
      </w:r>
      <w:r w:rsidRPr="00180AD3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  <w:r w:rsidRPr="00180AD3">
        <w:rPr>
          <w:rFonts w:ascii="Calibri" w:hAnsi="Calibri" w:cs="Calibri"/>
          <w:color w:val="000000" w:themeColor="text1"/>
          <w:sz w:val="22"/>
          <w:szCs w:val="22"/>
        </w:rPr>
        <w:t xml:space="preserve"> User input parameters to the CAC segmentation algorithm applied to generate phase-labeled data from grayscale tomograms</w:t>
      </w:r>
    </w:p>
    <w:tbl>
      <w:tblPr>
        <w:tblW w:w="7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335"/>
        <w:gridCol w:w="1080"/>
        <w:gridCol w:w="1080"/>
        <w:gridCol w:w="1037"/>
        <w:gridCol w:w="1123"/>
        <w:gridCol w:w="1300"/>
      </w:tblGrid>
      <w:tr w:rsidR="00453F8D" w:rsidRPr="00453F8D" w14:paraId="1D7980EF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4C01EB54" w14:textId="77777777" w:rsidR="00453F8D" w:rsidRPr="00453F8D" w:rsidRDefault="00453F8D" w:rsidP="00453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60" w:type="dxa"/>
            <w:gridSpan w:val="2"/>
            <w:noWrap/>
            <w:vAlign w:val="bottom"/>
            <w:hideMark/>
          </w:tcPr>
          <w:p w14:paraId="00ADCB50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Intensity Thresholds</w:t>
            </w:r>
          </w:p>
        </w:tc>
        <w:tc>
          <w:tcPr>
            <w:tcW w:w="2160" w:type="dxa"/>
            <w:gridSpan w:val="2"/>
            <w:noWrap/>
            <w:vAlign w:val="bottom"/>
            <w:hideMark/>
          </w:tcPr>
          <w:p w14:paraId="265D6EB7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Gradient Thresholds</w:t>
            </w:r>
          </w:p>
        </w:tc>
        <w:tc>
          <w:tcPr>
            <w:tcW w:w="1300" w:type="dxa"/>
            <w:vMerge w:val="restart"/>
            <w:vAlign w:val="bottom"/>
            <w:hideMark/>
          </w:tcPr>
          <w:p w14:paraId="696D343A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proofErr w:type="gramStart"/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Void:Grain</w:t>
            </w:r>
            <w:proofErr w:type="spellEnd"/>
            <w:proofErr w:type="gramEnd"/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Speed</w:t>
            </w:r>
          </w:p>
        </w:tc>
      </w:tr>
      <w:tr w:rsidR="00453F8D" w:rsidRPr="00453F8D" w14:paraId="0A4FC174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5954032D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070AB197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lower</w:t>
            </w:r>
          </w:p>
        </w:tc>
        <w:tc>
          <w:tcPr>
            <w:tcW w:w="1080" w:type="dxa"/>
            <w:noWrap/>
            <w:vAlign w:val="bottom"/>
            <w:hideMark/>
          </w:tcPr>
          <w:p w14:paraId="404B91F9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upper</w:t>
            </w:r>
          </w:p>
        </w:tc>
        <w:tc>
          <w:tcPr>
            <w:tcW w:w="1037" w:type="dxa"/>
            <w:noWrap/>
            <w:vAlign w:val="bottom"/>
            <w:hideMark/>
          </w:tcPr>
          <w:p w14:paraId="2E2BC610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Void</w:t>
            </w:r>
          </w:p>
        </w:tc>
        <w:tc>
          <w:tcPr>
            <w:tcW w:w="1123" w:type="dxa"/>
            <w:noWrap/>
            <w:vAlign w:val="bottom"/>
            <w:hideMark/>
          </w:tcPr>
          <w:p w14:paraId="605A2E06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Grain</w:t>
            </w:r>
          </w:p>
        </w:tc>
        <w:tc>
          <w:tcPr>
            <w:tcW w:w="1300" w:type="dxa"/>
            <w:vMerge/>
            <w:vAlign w:val="center"/>
            <w:hideMark/>
          </w:tcPr>
          <w:p w14:paraId="7EA490B1" w14:textId="77777777" w:rsidR="00453F8D" w:rsidRPr="00453F8D" w:rsidRDefault="00453F8D" w:rsidP="00453F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53F8D" w:rsidRPr="00453F8D" w14:paraId="512345E7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30BD2907" w14:textId="77777777" w:rsidR="00453F8D" w:rsidRPr="00453F8D" w:rsidRDefault="00453F8D" w:rsidP="0045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Vacuum</w:t>
            </w:r>
          </w:p>
        </w:tc>
        <w:tc>
          <w:tcPr>
            <w:tcW w:w="1080" w:type="dxa"/>
            <w:noWrap/>
            <w:vAlign w:val="bottom"/>
            <w:hideMark/>
          </w:tcPr>
          <w:p w14:paraId="63DBB99F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35000</w:t>
            </w:r>
          </w:p>
        </w:tc>
        <w:tc>
          <w:tcPr>
            <w:tcW w:w="1080" w:type="dxa"/>
            <w:noWrap/>
            <w:vAlign w:val="bottom"/>
            <w:hideMark/>
          </w:tcPr>
          <w:p w14:paraId="7F6CFEEC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42000</w:t>
            </w:r>
          </w:p>
        </w:tc>
        <w:tc>
          <w:tcPr>
            <w:tcW w:w="1037" w:type="dxa"/>
            <w:noWrap/>
            <w:vAlign w:val="bottom"/>
            <w:hideMark/>
          </w:tcPr>
          <w:p w14:paraId="137C8EBC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  <w:proofErr w:type="spellEnd"/>
          </w:p>
        </w:tc>
        <w:tc>
          <w:tcPr>
            <w:tcW w:w="1123" w:type="dxa"/>
            <w:noWrap/>
            <w:vAlign w:val="bottom"/>
            <w:hideMark/>
          </w:tcPr>
          <w:p w14:paraId="2C7C8476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14:paraId="3FF26541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0.95</w:t>
            </w:r>
          </w:p>
        </w:tc>
      </w:tr>
      <w:tr w:rsidR="00453F8D" w:rsidRPr="00453F8D" w14:paraId="3B1BF39D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513DA035" w14:textId="77777777" w:rsidR="00453F8D" w:rsidRPr="00453F8D" w:rsidRDefault="00453F8D" w:rsidP="0045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scCO2 saturated brine</w:t>
            </w:r>
          </w:p>
        </w:tc>
        <w:tc>
          <w:tcPr>
            <w:tcW w:w="1080" w:type="dxa"/>
            <w:noWrap/>
            <w:vAlign w:val="bottom"/>
            <w:hideMark/>
          </w:tcPr>
          <w:p w14:paraId="443803AB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33000</w:t>
            </w:r>
          </w:p>
        </w:tc>
        <w:tc>
          <w:tcPr>
            <w:tcW w:w="1080" w:type="dxa"/>
            <w:noWrap/>
            <w:vAlign w:val="bottom"/>
            <w:hideMark/>
          </w:tcPr>
          <w:p w14:paraId="33F19EF9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42000</w:t>
            </w:r>
          </w:p>
        </w:tc>
        <w:tc>
          <w:tcPr>
            <w:tcW w:w="1037" w:type="dxa"/>
            <w:noWrap/>
            <w:vAlign w:val="bottom"/>
            <w:hideMark/>
          </w:tcPr>
          <w:p w14:paraId="576C86DB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123" w:type="dxa"/>
            <w:noWrap/>
            <w:vAlign w:val="bottom"/>
            <w:hideMark/>
          </w:tcPr>
          <w:p w14:paraId="797E5593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300" w:type="dxa"/>
            <w:noWrap/>
            <w:vAlign w:val="bottom"/>
            <w:hideMark/>
          </w:tcPr>
          <w:p w14:paraId="7EA5D652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53F8D" w:rsidRPr="00453F8D" w14:paraId="41241C2F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3A5D9033" w14:textId="77777777" w:rsidR="00453F8D" w:rsidRPr="00453F8D" w:rsidRDefault="00453F8D" w:rsidP="0045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Initial scCO2</w:t>
            </w:r>
          </w:p>
        </w:tc>
        <w:tc>
          <w:tcPr>
            <w:tcW w:w="1080" w:type="dxa"/>
            <w:noWrap/>
            <w:vAlign w:val="bottom"/>
            <w:hideMark/>
          </w:tcPr>
          <w:p w14:paraId="3271B6EA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33000</w:t>
            </w:r>
          </w:p>
        </w:tc>
        <w:tc>
          <w:tcPr>
            <w:tcW w:w="1080" w:type="dxa"/>
            <w:noWrap/>
            <w:vAlign w:val="bottom"/>
            <w:hideMark/>
          </w:tcPr>
          <w:p w14:paraId="4F83064C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42000</w:t>
            </w:r>
          </w:p>
        </w:tc>
        <w:tc>
          <w:tcPr>
            <w:tcW w:w="1037" w:type="dxa"/>
            <w:noWrap/>
            <w:vAlign w:val="bottom"/>
            <w:hideMark/>
          </w:tcPr>
          <w:p w14:paraId="709582E6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123" w:type="dxa"/>
            <w:noWrap/>
            <w:vAlign w:val="bottom"/>
            <w:hideMark/>
          </w:tcPr>
          <w:p w14:paraId="32CBA3F9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300" w:type="dxa"/>
            <w:noWrap/>
            <w:vAlign w:val="bottom"/>
            <w:hideMark/>
          </w:tcPr>
          <w:p w14:paraId="495E4905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53F8D" w:rsidRPr="00453F8D" w14:paraId="66573EB9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215A08F9" w14:textId="77777777" w:rsidR="00453F8D" w:rsidRPr="00453F8D" w:rsidRDefault="00453F8D" w:rsidP="0045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Final scCO2</w:t>
            </w:r>
          </w:p>
        </w:tc>
        <w:tc>
          <w:tcPr>
            <w:tcW w:w="1080" w:type="dxa"/>
            <w:noWrap/>
            <w:vAlign w:val="bottom"/>
            <w:hideMark/>
          </w:tcPr>
          <w:p w14:paraId="16170064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33000</w:t>
            </w:r>
          </w:p>
        </w:tc>
        <w:tc>
          <w:tcPr>
            <w:tcW w:w="1080" w:type="dxa"/>
            <w:noWrap/>
            <w:vAlign w:val="bottom"/>
            <w:hideMark/>
          </w:tcPr>
          <w:p w14:paraId="0B76BE32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42000</w:t>
            </w:r>
          </w:p>
        </w:tc>
        <w:tc>
          <w:tcPr>
            <w:tcW w:w="1037" w:type="dxa"/>
            <w:noWrap/>
            <w:vAlign w:val="bottom"/>
            <w:hideMark/>
          </w:tcPr>
          <w:p w14:paraId="656B2AAD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</w:t>
            </w:r>
            <w:proofErr w:type="spellEnd"/>
          </w:p>
        </w:tc>
        <w:tc>
          <w:tcPr>
            <w:tcW w:w="1123" w:type="dxa"/>
            <w:noWrap/>
            <w:vAlign w:val="bottom"/>
            <w:hideMark/>
          </w:tcPr>
          <w:p w14:paraId="5B51169F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300" w:type="dxa"/>
            <w:noWrap/>
            <w:vAlign w:val="bottom"/>
            <w:hideMark/>
          </w:tcPr>
          <w:p w14:paraId="50DDC18E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453F8D" w:rsidRPr="00453F8D" w14:paraId="031AA30B" w14:textId="77777777" w:rsidTr="00453F8D">
        <w:trPr>
          <w:trHeight w:val="300"/>
          <w:jc w:val="center"/>
        </w:trPr>
        <w:tc>
          <w:tcPr>
            <w:tcW w:w="2335" w:type="dxa"/>
            <w:noWrap/>
            <w:vAlign w:val="bottom"/>
            <w:hideMark/>
          </w:tcPr>
          <w:p w14:paraId="3C0E2CC1" w14:textId="77777777" w:rsidR="00453F8D" w:rsidRPr="00453F8D" w:rsidRDefault="00453F8D" w:rsidP="00453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Residual scCO2</w:t>
            </w:r>
          </w:p>
        </w:tc>
        <w:tc>
          <w:tcPr>
            <w:tcW w:w="1080" w:type="dxa"/>
            <w:noWrap/>
            <w:vAlign w:val="bottom"/>
            <w:hideMark/>
          </w:tcPr>
          <w:p w14:paraId="06D7B106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33000</w:t>
            </w:r>
          </w:p>
        </w:tc>
        <w:tc>
          <w:tcPr>
            <w:tcW w:w="1080" w:type="dxa"/>
            <w:noWrap/>
            <w:vAlign w:val="bottom"/>
            <w:hideMark/>
          </w:tcPr>
          <w:p w14:paraId="1BAEDC8B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42000</w:t>
            </w:r>
          </w:p>
        </w:tc>
        <w:tc>
          <w:tcPr>
            <w:tcW w:w="1037" w:type="dxa"/>
            <w:noWrap/>
            <w:vAlign w:val="bottom"/>
            <w:hideMark/>
          </w:tcPr>
          <w:p w14:paraId="1E4F7E2A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123" w:type="dxa"/>
            <w:noWrap/>
            <w:vAlign w:val="bottom"/>
            <w:hideMark/>
          </w:tcPr>
          <w:p w14:paraId="6AA7D78A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1300" w:type="dxa"/>
            <w:noWrap/>
            <w:vAlign w:val="bottom"/>
            <w:hideMark/>
          </w:tcPr>
          <w:p w14:paraId="4404B182" w14:textId="77777777" w:rsidR="00453F8D" w:rsidRPr="00453F8D" w:rsidRDefault="00453F8D" w:rsidP="00453F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53F8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</w:tbl>
    <w:p w14:paraId="49536D22" w14:textId="5F594FFB" w:rsidR="003C16AF" w:rsidRPr="00453F8D" w:rsidRDefault="003C16AF" w:rsidP="00453F8D">
      <w:pPr>
        <w:spacing w:after="0" w:line="480" w:lineRule="auto"/>
        <w:jc w:val="center"/>
        <w:rPr>
          <w:rFonts w:ascii="Times New Roman" w:hAnsi="Times New Roman" w:cs="Times New Roman"/>
        </w:rPr>
      </w:pPr>
    </w:p>
    <w:p w14:paraId="2E3039D6" w14:textId="63BCC2A0" w:rsidR="2D340963" w:rsidRPr="00C428BC" w:rsidRDefault="2D340963" w:rsidP="00C428BC">
      <w:pPr>
        <w:spacing w:line="48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428BC">
        <w:rPr>
          <w:rFonts w:ascii="Times New Roman" w:eastAsia="Times New Roman" w:hAnsi="Times New Roman" w:cs="Times New Roman"/>
          <w:sz w:val="22"/>
          <w:szCs w:val="22"/>
        </w:rPr>
        <w:t xml:space="preserve">Segmentation parameters were modified to assess the impact of user-input values on the resulting data quantification (Table S2). </w:t>
      </w:r>
      <w:r w:rsidR="5C4E1368" w:rsidRPr="00C428BC">
        <w:rPr>
          <w:rFonts w:ascii="Times New Roman" w:eastAsia="Times New Roman" w:hAnsi="Times New Roman" w:cs="Times New Roman"/>
          <w:sz w:val="22"/>
          <w:szCs w:val="22"/>
        </w:rPr>
        <w:t>T</w:t>
      </w:r>
      <w:r w:rsidRPr="00C428BC">
        <w:rPr>
          <w:rFonts w:ascii="Times New Roman" w:eastAsia="Times New Roman" w:hAnsi="Times New Roman" w:cs="Times New Roman"/>
          <w:sz w:val="22"/>
          <w:szCs w:val="22"/>
        </w:rPr>
        <w:t xml:space="preserve">he baseline </w:t>
      </w:r>
      <w:r w:rsidR="502AF3D6" w:rsidRPr="00C428BC">
        <w:rPr>
          <w:rFonts w:ascii="Times New Roman" w:eastAsia="Times New Roman" w:hAnsi="Times New Roman" w:cs="Times New Roman"/>
          <w:i/>
          <w:sz w:val="22"/>
          <w:szCs w:val="22"/>
        </w:rPr>
        <w:t>Vacuum</w:t>
      </w:r>
      <w:r w:rsidR="502AF3D6" w:rsidRPr="324039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8BBCB8B" w:rsidRPr="00C428BC">
        <w:rPr>
          <w:rFonts w:ascii="Times New Roman" w:eastAsia="Times New Roman" w:hAnsi="Times New Roman" w:cs="Times New Roman"/>
          <w:sz w:val="22"/>
          <w:szCs w:val="22"/>
        </w:rPr>
        <w:t>segm</w:t>
      </w:r>
      <w:r w:rsidR="0B164FAD" w:rsidRPr="00C428BC">
        <w:rPr>
          <w:rFonts w:ascii="Times New Roman" w:eastAsia="Times New Roman" w:hAnsi="Times New Roman" w:cs="Times New Roman"/>
          <w:sz w:val="22"/>
          <w:szCs w:val="22"/>
        </w:rPr>
        <w:t>en</w:t>
      </w:r>
      <w:r w:rsidR="28BBCB8B" w:rsidRPr="00C428BC">
        <w:rPr>
          <w:rFonts w:ascii="Times New Roman" w:eastAsia="Times New Roman" w:hAnsi="Times New Roman" w:cs="Times New Roman"/>
          <w:sz w:val="22"/>
          <w:szCs w:val="22"/>
        </w:rPr>
        <w:t>tation</w:t>
      </w:r>
      <w:r w:rsidR="330E0C1E" w:rsidRPr="00C428BC">
        <w:rPr>
          <w:rFonts w:ascii="Times New Roman" w:eastAsia="Times New Roman" w:hAnsi="Times New Roman" w:cs="Times New Roman"/>
          <w:sz w:val="22"/>
          <w:szCs w:val="22"/>
        </w:rPr>
        <w:t xml:space="preserve"> deployed the CAC algorithm </w:t>
      </w:r>
      <w:r w:rsidR="75C9F7AF" w:rsidRPr="00C428BC">
        <w:rPr>
          <w:rFonts w:ascii="Times New Roman" w:eastAsia="Times New Roman" w:hAnsi="Times New Roman" w:cs="Times New Roman"/>
          <w:sz w:val="22"/>
          <w:szCs w:val="22"/>
        </w:rPr>
        <w:t>on a span of 7000 intensity values (between 35000 and 42000), approx. 13% of the full grayscale range. Intensity threshold values were modified to widen</w:t>
      </w:r>
      <w:r w:rsidR="45BA05E0" w:rsidRPr="00C428BC">
        <w:rPr>
          <w:rFonts w:ascii="Times New Roman" w:eastAsia="Times New Roman" w:hAnsi="Times New Roman" w:cs="Times New Roman"/>
          <w:sz w:val="22"/>
          <w:szCs w:val="22"/>
        </w:rPr>
        <w:t>/narrow</w:t>
      </w:r>
      <w:r w:rsidR="75C9F7AF" w:rsidRPr="00C428BC">
        <w:rPr>
          <w:rFonts w:ascii="Times New Roman" w:eastAsia="Times New Roman" w:hAnsi="Times New Roman" w:cs="Times New Roman"/>
          <w:sz w:val="22"/>
          <w:szCs w:val="22"/>
        </w:rPr>
        <w:t xml:space="preserve"> this window</w:t>
      </w:r>
      <w:r w:rsidR="2F5C6942" w:rsidRPr="00C428BC">
        <w:rPr>
          <w:rFonts w:ascii="Times New Roman" w:eastAsia="Times New Roman" w:hAnsi="Times New Roman" w:cs="Times New Roman"/>
          <w:sz w:val="22"/>
          <w:szCs w:val="22"/>
        </w:rPr>
        <w:t xml:space="preserve"> by </w:t>
      </w:r>
      <w:proofErr w:type="gramStart"/>
      <w:r w:rsidR="2F5C6942" w:rsidRPr="00C428BC">
        <w:rPr>
          <w:rFonts w:ascii="Times New Roman" w:eastAsia="Times New Roman" w:hAnsi="Times New Roman" w:cs="Times New Roman"/>
          <w:sz w:val="22"/>
          <w:szCs w:val="22"/>
        </w:rPr>
        <w:t xml:space="preserve">10%, </w:t>
      </w:r>
      <w:r w:rsidR="060A43A3" w:rsidRPr="00C428BC">
        <w:rPr>
          <w:rFonts w:ascii="Times New Roman" w:eastAsia="Times New Roman" w:hAnsi="Times New Roman" w:cs="Times New Roman"/>
          <w:sz w:val="22"/>
          <w:szCs w:val="22"/>
        </w:rPr>
        <w:t>and</w:t>
      </w:r>
      <w:proofErr w:type="gramEnd"/>
      <w:r w:rsidR="060A43A3" w:rsidRPr="00C428BC">
        <w:rPr>
          <w:rFonts w:ascii="Times New Roman" w:eastAsia="Times New Roman" w:hAnsi="Times New Roman" w:cs="Times New Roman"/>
          <w:sz w:val="22"/>
          <w:szCs w:val="22"/>
        </w:rPr>
        <w:t xml:space="preserve"> shift it upwards and downwards by 10%. Widening and narrowing the thresholds has minimal impact to porosity and Euler number calculations, shi</w:t>
      </w:r>
      <w:r w:rsidR="2D1E93BD" w:rsidRPr="00C428BC">
        <w:rPr>
          <w:rFonts w:ascii="Times New Roman" w:eastAsia="Times New Roman" w:hAnsi="Times New Roman" w:cs="Times New Roman"/>
          <w:sz w:val="22"/>
          <w:szCs w:val="22"/>
        </w:rPr>
        <w:t>f</w:t>
      </w:r>
      <w:r w:rsidR="4ACC5D32" w:rsidRPr="00C428BC">
        <w:rPr>
          <w:rFonts w:ascii="Times New Roman" w:eastAsia="Times New Roman" w:hAnsi="Times New Roman" w:cs="Times New Roman"/>
          <w:sz w:val="22"/>
          <w:szCs w:val="22"/>
        </w:rPr>
        <w:t>ting the window produces more significant differences in measured quantities.</w:t>
      </w:r>
      <w:r w:rsidR="2D1E93BD" w:rsidRPr="00C428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BAFE742" w14:textId="5F2E292E" w:rsidR="003443F5" w:rsidRPr="00180AD3" w:rsidRDefault="003443F5" w:rsidP="00180AD3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32403925">
        <w:rPr>
          <w:rFonts w:ascii="Calibri" w:hAnsi="Calibri" w:cs="Calibri"/>
          <w:b/>
          <w:bCs/>
          <w:sz w:val="22"/>
          <w:szCs w:val="22"/>
        </w:rPr>
        <w:t xml:space="preserve">Table </w:t>
      </w:r>
      <w:r w:rsidR="009037BB" w:rsidRPr="32403925">
        <w:rPr>
          <w:rFonts w:ascii="Calibri" w:hAnsi="Calibri" w:cs="Calibri"/>
          <w:b/>
          <w:bCs/>
          <w:sz w:val="22"/>
          <w:szCs w:val="22"/>
        </w:rPr>
        <w:t>S2</w:t>
      </w:r>
      <w:r w:rsidRPr="32403925">
        <w:rPr>
          <w:rFonts w:ascii="Calibri" w:hAnsi="Calibri" w:cs="Calibri"/>
          <w:b/>
          <w:bCs/>
          <w:sz w:val="22"/>
          <w:szCs w:val="22"/>
        </w:rPr>
        <w:t>.</w:t>
      </w:r>
      <w:r w:rsidRPr="32403925">
        <w:rPr>
          <w:rFonts w:ascii="Calibri" w:hAnsi="Calibri" w:cs="Calibri"/>
          <w:sz w:val="22"/>
          <w:szCs w:val="22"/>
        </w:rPr>
        <w:t xml:space="preserve"> Sensitivity of quantitative metrics (phase volumes and void space topology) calculated from the </w:t>
      </w:r>
      <w:r w:rsidRPr="00C428BC">
        <w:rPr>
          <w:rFonts w:ascii="Calibri" w:hAnsi="Calibri" w:cs="Calibri"/>
          <w:i/>
          <w:sz w:val="22"/>
          <w:szCs w:val="22"/>
        </w:rPr>
        <w:t>Vacuum</w:t>
      </w:r>
      <w:r w:rsidRPr="32403925">
        <w:rPr>
          <w:rFonts w:ascii="Calibri" w:hAnsi="Calibri" w:cs="Calibri"/>
          <w:sz w:val="22"/>
          <w:szCs w:val="22"/>
        </w:rPr>
        <w:t xml:space="preserve"> data volume for different CAC segmentation intensity thresholds</w:t>
      </w:r>
    </w:p>
    <w:p w14:paraId="759B238E" w14:textId="3549CECF" w:rsidR="003443F5" w:rsidRPr="00453F8D" w:rsidRDefault="00180AD3" w:rsidP="00453F8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B19F942" wp14:editId="6EAEC1E1">
            <wp:extent cx="5943600" cy="871855"/>
            <wp:effectExtent l="0" t="0" r="0" b="4445"/>
            <wp:docPr id="357612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E4302" w14:textId="495954FB" w:rsidR="00CB2E13" w:rsidRPr="00C428BC" w:rsidRDefault="7237D371" w:rsidP="00C428BC">
      <w:pPr>
        <w:spacing w:after="0" w:line="48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428BC">
        <w:rPr>
          <w:rFonts w:ascii="Times New Roman" w:eastAsia="Times New Roman" w:hAnsi="Times New Roman" w:cs="Times New Roman"/>
        </w:rPr>
        <w:t>Noise removal required determination of cluster sizes representative of “real” scCO</w:t>
      </w:r>
      <w:r w:rsidRPr="00C428BC">
        <w:rPr>
          <w:rFonts w:ascii="Times New Roman" w:eastAsia="Times New Roman" w:hAnsi="Times New Roman" w:cs="Times New Roman"/>
          <w:vertAlign w:val="subscript"/>
        </w:rPr>
        <w:t>2</w:t>
      </w:r>
      <w:r w:rsidRPr="00C428BC">
        <w:rPr>
          <w:rFonts w:ascii="Times New Roman" w:eastAsia="Times New Roman" w:hAnsi="Times New Roman" w:cs="Times New Roman"/>
        </w:rPr>
        <w:t xml:space="preserve"> clusters vs </w:t>
      </w:r>
      <w:r w:rsidR="18D2584E" w:rsidRPr="00C428BC">
        <w:rPr>
          <w:rFonts w:ascii="Times New Roman" w:eastAsia="Times New Roman" w:hAnsi="Times New Roman" w:cs="Times New Roman"/>
        </w:rPr>
        <w:t xml:space="preserve">those indicative of </w:t>
      </w:r>
      <w:r w:rsidRPr="00C428BC">
        <w:rPr>
          <w:rFonts w:ascii="Times New Roman" w:eastAsia="Times New Roman" w:hAnsi="Times New Roman" w:cs="Times New Roman"/>
        </w:rPr>
        <w:t>speckle noise</w:t>
      </w:r>
      <w:r w:rsidR="235A7F6B" w:rsidRPr="00C428BC">
        <w:rPr>
          <w:rFonts w:ascii="Times New Roman" w:eastAsia="Times New Roman" w:hAnsi="Times New Roman" w:cs="Times New Roman"/>
        </w:rPr>
        <w:t xml:space="preserve">. Cluster size histograms were generated for the </w:t>
      </w:r>
      <w:r w:rsidR="235A7F6B" w:rsidRPr="00C428BC">
        <w:rPr>
          <w:rFonts w:ascii="Times New Roman" w:eastAsia="Times New Roman" w:hAnsi="Times New Roman" w:cs="Times New Roman"/>
          <w:i/>
        </w:rPr>
        <w:t>R</w:t>
      </w:r>
      <w:r w:rsidR="235A7F6B" w:rsidRPr="00C428BC">
        <w:rPr>
          <w:rFonts w:ascii="Times New Roman" w:eastAsia="Times New Roman" w:hAnsi="Times New Roman" w:cs="Times New Roman"/>
          <w:i/>
          <w:sz w:val="22"/>
          <w:szCs w:val="22"/>
        </w:rPr>
        <w:t>esidual scCO</w:t>
      </w:r>
      <w:r w:rsidR="235A7F6B" w:rsidRPr="00C428BC">
        <w:rPr>
          <w:rFonts w:ascii="Times New Roman" w:eastAsia="Times New Roman" w:hAnsi="Times New Roman" w:cs="Times New Roman"/>
          <w:i/>
          <w:sz w:val="22"/>
          <w:szCs w:val="22"/>
          <w:vertAlign w:val="subscript"/>
        </w:rPr>
        <w:t>2</w:t>
      </w:r>
      <w:r w:rsidR="235A7F6B" w:rsidRPr="00C428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35A7F6B" w:rsidRPr="00C428BC">
        <w:rPr>
          <w:rFonts w:ascii="Times New Roman" w:eastAsia="Times New Roman" w:hAnsi="Times New Roman" w:cs="Times New Roman"/>
          <w:sz w:val="22"/>
          <w:szCs w:val="22"/>
        </w:rPr>
        <w:lastRenderedPageBreak/>
        <w:t>scan (Figure S3). As s</w:t>
      </w:r>
      <w:r w:rsidR="78D76459" w:rsidRPr="00C428BC">
        <w:rPr>
          <w:rFonts w:ascii="Times New Roman" w:eastAsia="Times New Roman" w:hAnsi="Times New Roman" w:cs="Times New Roman"/>
          <w:sz w:val="22"/>
          <w:szCs w:val="22"/>
        </w:rPr>
        <w:t>hown, large numbers of very small clusters were present; but these have a relatively low contribution to the total scCO</w:t>
      </w:r>
      <w:r w:rsidR="78D76459" w:rsidRPr="00C428BC">
        <w:rPr>
          <w:rFonts w:ascii="Times New Roman" w:eastAsia="Times New Roman" w:hAnsi="Times New Roman" w:cs="Times New Roman"/>
          <w:sz w:val="22"/>
          <w:szCs w:val="22"/>
          <w:vertAlign w:val="subscript"/>
        </w:rPr>
        <w:t>2</w:t>
      </w:r>
      <w:r w:rsidR="78D76459" w:rsidRPr="00C428BC">
        <w:rPr>
          <w:rFonts w:ascii="Times New Roman" w:eastAsia="Times New Roman" w:hAnsi="Times New Roman" w:cs="Times New Roman"/>
          <w:sz w:val="22"/>
          <w:szCs w:val="22"/>
        </w:rPr>
        <w:t xml:space="preserve"> volume. </w:t>
      </w:r>
      <w:r w:rsidR="3897A8F0" w:rsidRPr="00C428BC">
        <w:rPr>
          <w:rFonts w:ascii="Times New Roman" w:eastAsia="Times New Roman" w:hAnsi="Times New Roman" w:cs="Times New Roman"/>
          <w:sz w:val="22"/>
          <w:szCs w:val="22"/>
        </w:rPr>
        <w:t>Assuming these very small clusters are dominantly noise,</w:t>
      </w:r>
      <w:r w:rsidR="78D76459" w:rsidRPr="00C428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7FFEA438" w:rsidRPr="00C428BC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="78D76459" w:rsidRPr="00C428BC">
        <w:rPr>
          <w:rFonts w:ascii="Times New Roman" w:eastAsia="Times New Roman" w:hAnsi="Times New Roman" w:cs="Times New Roman"/>
          <w:sz w:val="22"/>
          <w:szCs w:val="22"/>
        </w:rPr>
        <w:t>size threshold was applied to convert</w:t>
      </w:r>
      <w:r w:rsidR="756723B2" w:rsidRPr="00C428BC">
        <w:rPr>
          <w:rFonts w:ascii="Times New Roman" w:eastAsia="Times New Roman" w:hAnsi="Times New Roman" w:cs="Times New Roman"/>
          <w:sz w:val="22"/>
          <w:szCs w:val="22"/>
        </w:rPr>
        <w:t xml:space="preserve"> these small (&lt;375 voxels</w:t>
      </w:r>
      <w:r w:rsidR="0FAAC10F" w:rsidRPr="32403925">
        <w:rPr>
          <w:rFonts w:ascii="Times New Roman" w:eastAsia="Times New Roman" w:hAnsi="Times New Roman" w:cs="Times New Roman"/>
          <w:sz w:val="22"/>
          <w:szCs w:val="22"/>
        </w:rPr>
        <w:t>, red line in S3</w:t>
      </w:r>
      <w:r w:rsidR="756723B2" w:rsidRPr="00C428BC">
        <w:rPr>
          <w:rFonts w:ascii="Times New Roman" w:eastAsia="Times New Roman" w:hAnsi="Times New Roman" w:cs="Times New Roman"/>
          <w:sz w:val="22"/>
          <w:szCs w:val="22"/>
        </w:rPr>
        <w:t>) scCO</w:t>
      </w:r>
      <w:r w:rsidR="756723B2" w:rsidRPr="00C428BC">
        <w:rPr>
          <w:rFonts w:ascii="Times New Roman" w:eastAsia="Times New Roman" w:hAnsi="Times New Roman" w:cs="Times New Roman"/>
          <w:sz w:val="22"/>
          <w:szCs w:val="22"/>
          <w:vertAlign w:val="subscript"/>
        </w:rPr>
        <w:t>2</w:t>
      </w:r>
      <w:r w:rsidR="756723B2" w:rsidRPr="00C428BC">
        <w:rPr>
          <w:rFonts w:ascii="Times New Roman" w:eastAsia="Times New Roman" w:hAnsi="Times New Roman" w:cs="Times New Roman"/>
          <w:sz w:val="22"/>
          <w:szCs w:val="22"/>
        </w:rPr>
        <w:t>-labeled clusters</w:t>
      </w:r>
      <w:r w:rsidR="78D76459" w:rsidRPr="00C428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2E95E129" w:rsidRPr="00C428BC">
        <w:rPr>
          <w:rFonts w:ascii="Times New Roman" w:eastAsia="Times New Roman" w:hAnsi="Times New Roman" w:cs="Times New Roman"/>
          <w:sz w:val="22"/>
          <w:szCs w:val="22"/>
        </w:rPr>
        <w:t>to brine phase</w:t>
      </w:r>
      <w:r w:rsidR="2DBF8A34" w:rsidRPr="00C428B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4C16786" w14:textId="11F6CF5B" w:rsidR="00CB2E13" w:rsidRPr="00453F8D" w:rsidRDefault="00CB2E13" w:rsidP="00C428BC">
      <w:pPr>
        <w:spacing w:after="0" w:line="480" w:lineRule="auto"/>
        <w:jc w:val="center"/>
        <w:rPr>
          <w:rFonts w:ascii="Times New Roman" w:hAnsi="Times New Roman" w:cs="Times New Roman"/>
        </w:rPr>
      </w:pPr>
      <w:commentRangeStart w:id="0"/>
      <w:r>
        <w:rPr>
          <w:noProof/>
        </w:rPr>
        <w:drawing>
          <wp:inline distT="0" distB="0" distL="0" distR="0" wp14:anchorId="65E30569" wp14:editId="15373521">
            <wp:extent cx="4560203" cy="3279932"/>
            <wp:effectExtent l="0" t="0" r="0" b="0"/>
            <wp:docPr id="3736675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66752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203" cy="327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Pr="00453F8D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</w:p>
    <w:p w14:paraId="4D069035" w14:textId="167A7950" w:rsidR="003443F5" w:rsidRPr="00180AD3" w:rsidRDefault="00CB2E13" w:rsidP="00180AD3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180AD3">
        <w:rPr>
          <w:rFonts w:ascii="Calibri" w:hAnsi="Calibri" w:cs="Calibri"/>
          <w:b/>
          <w:bCs/>
          <w:sz w:val="22"/>
          <w:szCs w:val="22"/>
        </w:rPr>
        <w:t>Figure S3.</w:t>
      </w:r>
      <w:r w:rsidRPr="00180AD3">
        <w:rPr>
          <w:rFonts w:ascii="Calibri" w:hAnsi="Calibri" w:cs="Calibri"/>
          <w:sz w:val="22"/>
          <w:szCs w:val="22"/>
        </w:rPr>
        <w:t xml:space="preserve"> Cluster size distributions measured for scCO</w:t>
      </w:r>
      <w:r w:rsidRPr="00180AD3">
        <w:rPr>
          <w:rFonts w:ascii="Calibri" w:hAnsi="Calibri" w:cs="Calibri"/>
          <w:sz w:val="22"/>
          <w:szCs w:val="22"/>
          <w:vertAlign w:val="subscript"/>
        </w:rPr>
        <w:t>2</w:t>
      </w:r>
      <w:r w:rsidRPr="00180AD3">
        <w:rPr>
          <w:rFonts w:ascii="Calibri" w:hAnsi="Calibri" w:cs="Calibri"/>
          <w:sz w:val="22"/>
          <w:szCs w:val="22"/>
        </w:rPr>
        <w:t xml:space="preserve"> phase from the residual </w:t>
      </w:r>
      <w:r w:rsidRPr="00180AD3">
        <w:rPr>
          <w:rFonts w:ascii="Calibri" w:hAnsi="Calibri" w:cs="Calibri"/>
          <w:i/>
          <w:iCs/>
          <w:sz w:val="22"/>
          <w:szCs w:val="22"/>
        </w:rPr>
        <w:t>sc</w:t>
      </w:r>
      <w:r w:rsidRPr="00180AD3">
        <w:rPr>
          <w:rFonts w:ascii="Calibri" w:hAnsi="Calibri" w:cs="Calibri"/>
          <w:sz w:val="22"/>
          <w:szCs w:val="22"/>
        </w:rPr>
        <w:t>CO</w:t>
      </w:r>
      <w:r w:rsidRPr="00180AD3">
        <w:rPr>
          <w:rFonts w:ascii="Calibri" w:hAnsi="Calibri" w:cs="Calibri"/>
          <w:sz w:val="22"/>
          <w:szCs w:val="22"/>
          <w:vertAlign w:val="subscript"/>
        </w:rPr>
        <w:t>2</w:t>
      </w:r>
      <w:r w:rsidRPr="00180AD3">
        <w:rPr>
          <w:rFonts w:ascii="Calibri" w:hAnsi="Calibri" w:cs="Calibri"/>
          <w:sz w:val="22"/>
          <w:szCs w:val="22"/>
        </w:rPr>
        <w:t xml:space="preserve"> scan. Histograms for clusters exhibit a bimodal distribution on both number-normalized and volume-normalized bases. It was assumed that most clusters in the smaller group represent falsely labeled scCO</w:t>
      </w:r>
      <w:r w:rsidRPr="00180AD3">
        <w:rPr>
          <w:rFonts w:ascii="Calibri" w:hAnsi="Calibri" w:cs="Calibri"/>
          <w:sz w:val="22"/>
          <w:szCs w:val="22"/>
          <w:vertAlign w:val="subscript"/>
        </w:rPr>
        <w:t>2</w:t>
      </w:r>
      <w:r w:rsidRPr="00180AD3">
        <w:rPr>
          <w:rFonts w:ascii="Calibri" w:hAnsi="Calibri" w:cs="Calibri"/>
          <w:sz w:val="22"/>
          <w:szCs w:val="22"/>
        </w:rPr>
        <w:t xml:space="preserve"> phase (i.e. noise arising from the segmentation process); thus, clusters smaller than 375 voxels (0.0059 mm</w:t>
      </w:r>
      <w:r w:rsidRPr="00180AD3">
        <w:rPr>
          <w:rFonts w:ascii="Calibri" w:hAnsi="Calibri" w:cs="Calibri"/>
          <w:sz w:val="22"/>
          <w:szCs w:val="22"/>
          <w:vertAlign w:val="superscript"/>
        </w:rPr>
        <w:t>3</w:t>
      </w:r>
      <w:r w:rsidRPr="00180AD3">
        <w:rPr>
          <w:rFonts w:ascii="Calibri" w:hAnsi="Calibri" w:cs="Calibri"/>
          <w:sz w:val="22"/>
          <w:szCs w:val="22"/>
        </w:rPr>
        <w:t>) were re-labeled as brine phase in the final denoised segmentations.</w:t>
      </w:r>
    </w:p>
    <w:sectPr w:rsidR="003443F5" w:rsidRPr="00180AD3" w:rsidSect="00453F8D">
      <w:footerReference w:type="default" r:id="rId1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rring, Anna Lisa" w:date="2025-09-02T14:58:00Z" w:initials="HA">
    <w:p w14:paraId="0B45F952" w14:textId="77777777" w:rsidR="00CB2E13" w:rsidRDefault="00CB2E13" w:rsidP="00CB2E13">
      <w:pPr>
        <w:pStyle w:val="CommentText"/>
      </w:pPr>
      <w:r>
        <w:rPr>
          <w:rStyle w:val="CommentReference"/>
        </w:rPr>
        <w:annotationRef/>
      </w:r>
      <w:r w:rsidRPr="285B1DF3">
        <w:t>Updated figure following @Prakash suggestions. The excel sheet w/ plot is uploaded to teams - "noise removal.xlsx"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45F95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A10D8B" w16cex:dateUtc="2025-09-02T18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45F952" w16cid:durableId="36A10D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40AE" w14:textId="77777777" w:rsidR="00426038" w:rsidRDefault="00426038" w:rsidP="002A5F91">
      <w:pPr>
        <w:spacing w:after="0" w:line="240" w:lineRule="auto"/>
      </w:pPr>
      <w:r>
        <w:separator/>
      </w:r>
    </w:p>
  </w:endnote>
  <w:endnote w:type="continuationSeparator" w:id="0">
    <w:p w14:paraId="583B8821" w14:textId="77777777" w:rsidR="00426038" w:rsidRDefault="00426038" w:rsidP="002A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899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1C3D2" w14:textId="2F28F5A8" w:rsidR="002A5F91" w:rsidRDefault="002A5F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4266A" w14:textId="77777777" w:rsidR="002A5F91" w:rsidRDefault="002A5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7448" w14:textId="77777777" w:rsidR="00426038" w:rsidRDefault="00426038" w:rsidP="002A5F91">
      <w:pPr>
        <w:spacing w:after="0" w:line="240" w:lineRule="auto"/>
      </w:pPr>
      <w:r>
        <w:separator/>
      </w:r>
    </w:p>
  </w:footnote>
  <w:footnote w:type="continuationSeparator" w:id="0">
    <w:p w14:paraId="1AFCAD9F" w14:textId="77777777" w:rsidR="00426038" w:rsidRDefault="00426038" w:rsidP="002A5F9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rring, Anna Lisa">
    <w15:presenceInfo w15:providerId="AD" w15:userId="S::aherri18_utk.edu#ext#@pennstateoffice365.onmicrosoft.com::5b9e946a-95db-4e61-8c50-5fb98585ab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zMTExNjK3sDQ1MTNW0lEKTi0uzszPAykwqgUAE840SywAAAA="/>
  </w:docVars>
  <w:rsids>
    <w:rsidRoot w:val="00CB7653"/>
    <w:rsid w:val="00042AAC"/>
    <w:rsid w:val="0005135B"/>
    <w:rsid w:val="00180AD3"/>
    <w:rsid w:val="001E5FB6"/>
    <w:rsid w:val="00224788"/>
    <w:rsid w:val="002515F5"/>
    <w:rsid w:val="0026766C"/>
    <w:rsid w:val="002A5F91"/>
    <w:rsid w:val="002C0C87"/>
    <w:rsid w:val="002D3CD8"/>
    <w:rsid w:val="002D4051"/>
    <w:rsid w:val="002F7EA9"/>
    <w:rsid w:val="003443F5"/>
    <w:rsid w:val="003A3DC4"/>
    <w:rsid w:val="003C16AF"/>
    <w:rsid w:val="00426038"/>
    <w:rsid w:val="00453F8D"/>
    <w:rsid w:val="004C4D8B"/>
    <w:rsid w:val="005F34FA"/>
    <w:rsid w:val="0063178E"/>
    <w:rsid w:val="006325D4"/>
    <w:rsid w:val="00677830"/>
    <w:rsid w:val="006B424C"/>
    <w:rsid w:val="00742CA9"/>
    <w:rsid w:val="00774AA3"/>
    <w:rsid w:val="00831393"/>
    <w:rsid w:val="009037BB"/>
    <w:rsid w:val="0092293A"/>
    <w:rsid w:val="009B58B9"/>
    <w:rsid w:val="009C5048"/>
    <w:rsid w:val="009E177D"/>
    <w:rsid w:val="00A23802"/>
    <w:rsid w:val="00A54950"/>
    <w:rsid w:val="00AD180C"/>
    <w:rsid w:val="00BB58E3"/>
    <w:rsid w:val="00BF0024"/>
    <w:rsid w:val="00C428BC"/>
    <w:rsid w:val="00CB2E13"/>
    <w:rsid w:val="00CB7190"/>
    <w:rsid w:val="00CB7653"/>
    <w:rsid w:val="00D00E7F"/>
    <w:rsid w:val="00D36129"/>
    <w:rsid w:val="00D57D0B"/>
    <w:rsid w:val="00D82EDF"/>
    <w:rsid w:val="00DD5C2E"/>
    <w:rsid w:val="00DF52E6"/>
    <w:rsid w:val="00E72CB5"/>
    <w:rsid w:val="00ED094E"/>
    <w:rsid w:val="00ED184D"/>
    <w:rsid w:val="00EF5A05"/>
    <w:rsid w:val="00F25CDB"/>
    <w:rsid w:val="00F27330"/>
    <w:rsid w:val="00FD5862"/>
    <w:rsid w:val="00FF50D2"/>
    <w:rsid w:val="015B1C77"/>
    <w:rsid w:val="0324E746"/>
    <w:rsid w:val="039279EB"/>
    <w:rsid w:val="060A43A3"/>
    <w:rsid w:val="0798FD3F"/>
    <w:rsid w:val="09903FD6"/>
    <w:rsid w:val="0AE9D463"/>
    <w:rsid w:val="0B164FAD"/>
    <w:rsid w:val="0B46B3A8"/>
    <w:rsid w:val="0BEE48BD"/>
    <w:rsid w:val="0C0B2E2B"/>
    <w:rsid w:val="0CBDF488"/>
    <w:rsid w:val="0D738020"/>
    <w:rsid w:val="0FAAC10F"/>
    <w:rsid w:val="10E7DCAE"/>
    <w:rsid w:val="10EF7D41"/>
    <w:rsid w:val="1113D06F"/>
    <w:rsid w:val="13033B58"/>
    <w:rsid w:val="17A7DFB3"/>
    <w:rsid w:val="17CAAAF5"/>
    <w:rsid w:val="18D2584E"/>
    <w:rsid w:val="191944E8"/>
    <w:rsid w:val="1B0392D2"/>
    <w:rsid w:val="1B901338"/>
    <w:rsid w:val="2115060F"/>
    <w:rsid w:val="223F1B62"/>
    <w:rsid w:val="235A7F6B"/>
    <w:rsid w:val="246F9B06"/>
    <w:rsid w:val="259559DA"/>
    <w:rsid w:val="2669F7F2"/>
    <w:rsid w:val="26A24504"/>
    <w:rsid w:val="2703A765"/>
    <w:rsid w:val="278644AE"/>
    <w:rsid w:val="27C2139B"/>
    <w:rsid w:val="283F11D5"/>
    <w:rsid w:val="28BBCB8B"/>
    <w:rsid w:val="2AFEE8AF"/>
    <w:rsid w:val="2D1E93BD"/>
    <w:rsid w:val="2D340963"/>
    <w:rsid w:val="2DBF8A34"/>
    <w:rsid w:val="2E112DBC"/>
    <w:rsid w:val="2E20795A"/>
    <w:rsid w:val="2E95E129"/>
    <w:rsid w:val="2F5C6942"/>
    <w:rsid w:val="30F61D8E"/>
    <w:rsid w:val="32403925"/>
    <w:rsid w:val="330E0C1E"/>
    <w:rsid w:val="340CE871"/>
    <w:rsid w:val="3630B4DE"/>
    <w:rsid w:val="37108B1F"/>
    <w:rsid w:val="3897A8F0"/>
    <w:rsid w:val="39BB7BA7"/>
    <w:rsid w:val="3E10EF0A"/>
    <w:rsid w:val="3E96A184"/>
    <w:rsid w:val="3FFC0571"/>
    <w:rsid w:val="45A5CD2A"/>
    <w:rsid w:val="45BA05E0"/>
    <w:rsid w:val="46183E05"/>
    <w:rsid w:val="487815C5"/>
    <w:rsid w:val="48AE0A5C"/>
    <w:rsid w:val="4910D984"/>
    <w:rsid w:val="494D0570"/>
    <w:rsid w:val="4ACC5D32"/>
    <w:rsid w:val="4B2D9DB4"/>
    <w:rsid w:val="4B692880"/>
    <w:rsid w:val="4CA7755F"/>
    <w:rsid w:val="4CF2BA0B"/>
    <w:rsid w:val="4EFD506A"/>
    <w:rsid w:val="4F66C43C"/>
    <w:rsid w:val="4FF98C1E"/>
    <w:rsid w:val="502AF3D6"/>
    <w:rsid w:val="508671CF"/>
    <w:rsid w:val="50A92707"/>
    <w:rsid w:val="528408B4"/>
    <w:rsid w:val="52893280"/>
    <w:rsid w:val="535B69B5"/>
    <w:rsid w:val="54D14573"/>
    <w:rsid w:val="55DF328F"/>
    <w:rsid w:val="55EE8FF4"/>
    <w:rsid w:val="57966C24"/>
    <w:rsid w:val="57FA7CD4"/>
    <w:rsid w:val="59B9F906"/>
    <w:rsid w:val="5C4E1368"/>
    <w:rsid w:val="5D8E28E8"/>
    <w:rsid w:val="6152704E"/>
    <w:rsid w:val="6237EEFD"/>
    <w:rsid w:val="6410C81A"/>
    <w:rsid w:val="64DB1690"/>
    <w:rsid w:val="6897A188"/>
    <w:rsid w:val="6ACB522D"/>
    <w:rsid w:val="6B2B8297"/>
    <w:rsid w:val="6BCD875A"/>
    <w:rsid w:val="6C03EEA7"/>
    <w:rsid w:val="6FA54FDE"/>
    <w:rsid w:val="6FD1247F"/>
    <w:rsid w:val="72108F83"/>
    <w:rsid w:val="7237D371"/>
    <w:rsid w:val="72DF09F4"/>
    <w:rsid w:val="72F6DB9C"/>
    <w:rsid w:val="74430B8A"/>
    <w:rsid w:val="74513E69"/>
    <w:rsid w:val="756723B2"/>
    <w:rsid w:val="75AFA652"/>
    <w:rsid w:val="75C9F7AF"/>
    <w:rsid w:val="7642B7E3"/>
    <w:rsid w:val="775B9618"/>
    <w:rsid w:val="7843CF34"/>
    <w:rsid w:val="78D76459"/>
    <w:rsid w:val="796E4FE2"/>
    <w:rsid w:val="7A5F6123"/>
    <w:rsid w:val="7B381A54"/>
    <w:rsid w:val="7C495317"/>
    <w:rsid w:val="7D35BD54"/>
    <w:rsid w:val="7DE5A418"/>
    <w:rsid w:val="7E5DD522"/>
    <w:rsid w:val="7FFEA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93E9"/>
  <w15:chartTrackingRefBased/>
  <w15:docId w15:val="{9F946C0B-3D71-408D-9C72-08A8583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6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6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6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6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6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A05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3F5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3F5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F91"/>
  </w:style>
  <w:style w:type="paragraph" w:styleId="Footer">
    <w:name w:val="footer"/>
    <w:basedOn w:val="Normal"/>
    <w:link w:val="FooterChar"/>
    <w:uiPriority w:val="99"/>
    <w:unhideWhenUsed/>
    <w:rsid w:val="002A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F91"/>
  </w:style>
  <w:style w:type="character" w:styleId="LineNumber">
    <w:name w:val="line number"/>
    <w:basedOn w:val="DefaultParagraphFont"/>
    <w:uiPriority w:val="99"/>
    <w:semiHidden/>
    <w:unhideWhenUsed/>
    <w:rsid w:val="00453F8D"/>
  </w:style>
  <w:style w:type="paragraph" w:styleId="Revision">
    <w:name w:val="Revision"/>
    <w:hidden/>
    <w:uiPriority w:val="99"/>
    <w:semiHidden/>
    <w:rsid w:val="002676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comments" Target="comments.xml"/><Relationship Id="rId10" Type="http://schemas.openxmlformats.org/officeDocument/2006/relationships/hyperlink" Target="mailto:ZKarpyn@psu.edu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b294e3-a6a4-4ff7-be07-5e6eab2c84cd">
      <Terms xmlns="http://schemas.microsoft.com/office/infopath/2007/PartnerControls"/>
    </lcf76f155ced4ddcb4097134ff3c332f>
    <TaxCatchAll xmlns="da411390-2743-45a8-a4b3-f24d8edb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57C1EC8EE7447A9EECD10177E2773" ma:contentTypeVersion="19" ma:contentTypeDescription="Create a new document." ma:contentTypeScope="" ma:versionID="7144c959f27279cd88d63a4f78f75230">
  <xsd:schema xmlns:xsd="http://www.w3.org/2001/XMLSchema" xmlns:xs="http://www.w3.org/2001/XMLSchema" xmlns:p="http://schemas.microsoft.com/office/2006/metadata/properties" xmlns:ns2="40b294e3-a6a4-4ff7-be07-5e6eab2c84cd" xmlns:ns3="da411390-2743-45a8-a4b3-f24d8edb63f6" targetNamespace="http://schemas.microsoft.com/office/2006/metadata/properties" ma:root="true" ma:fieldsID="79d0902a1b47da6571b7d1ab972afea0" ns2:_="" ns3:_="">
    <xsd:import namespace="40b294e3-a6a4-4ff7-be07-5e6eab2c84cd"/>
    <xsd:import namespace="da411390-2743-45a8-a4b3-f24d8edb6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94e3-a6a4-4ff7-be07-5e6eab2c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11390-2743-45a8-a4b3-f24d8edb63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a1a28b-dc84-4a9d-ad3b-682887fb6c4d}" ma:internalName="TaxCatchAll" ma:showField="CatchAllData" ma:web="da411390-2743-45a8-a4b3-f24d8edb6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AB55B-3071-4A58-8C34-EA68CBB99E0B}">
  <ds:schemaRefs>
    <ds:schemaRef ds:uri="http://schemas.microsoft.com/office/2006/metadata/properties"/>
    <ds:schemaRef ds:uri="http://schemas.microsoft.com/office/infopath/2007/PartnerControls"/>
    <ds:schemaRef ds:uri="40b294e3-a6a4-4ff7-be07-5e6eab2c84cd"/>
    <ds:schemaRef ds:uri="da411390-2743-45a8-a4b3-f24d8edb63f6"/>
  </ds:schemaRefs>
</ds:datastoreItem>
</file>

<file path=customXml/itemProps2.xml><?xml version="1.0" encoding="utf-8"?>
<ds:datastoreItem xmlns:ds="http://schemas.openxmlformats.org/officeDocument/2006/customXml" ds:itemID="{08AC3DD0-E0CC-44D6-8DC2-9A0C897227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14F2D-EF7C-475D-864F-89B21AE4B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7DB578-610B-4F37-82B5-3C74B104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294e3-a6a4-4ff7-be07-5e6eab2c84cd"/>
    <ds:schemaRef ds:uri="da411390-2743-45a8-a4b3-f24d8edb6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732</Words>
  <Characters>4430</Characters>
  <Application>Microsoft Office Word</Application>
  <DocSecurity>0</DocSecurity>
  <Lines>86</Lines>
  <Paragraphs>29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Purswani</dc:creator>
  <cp:keywords/>
  <dc:description/>
  <cp:lastModifiedBy>Karpyn, Zuleima T</cp:lastModifiedBy>
  <cp:revision>35</cp:revision>
  <dcterms:created xsi:type="dcterms:W3CDTF">2025-08-23T20:56:00Z</dcterms:created>
  <dcterms:modified xsi:type="dcterms:W3CDTF">2025-12-12T20:45:00Z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0x0101004BD57C1EC8EE7447A9EECD10177E2773</vt:lpwstr>
  </property>
  <property fmtid="{D5CDD505-2E9C-101B-9397-08002B2CF9AE}" pid="3" name="MediaServiceImageTags">
    <vt:lpwstr/>
  </property>
</Properties>
</file>