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line="288" w:lineRule="auto"/>
        <w:jc w:val="both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Supplementary Material: Farmers’ actions towards sustainability: An evidence-based methodology for native forest ecosystems supporting low-carbon livestock in grazed dairy systems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line="288" w:lineRule="auto"/>
        <w:jc w:val="both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Efraín Duarte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vertAlign w:val="superscript"/>
          <w:rtl w:val="0"/>
        </w:rPr>
        <w:t xml:space="preserve">1, 2, 3,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*, Viviana Bustos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vertAlign w:val="superscript"/>
          <w:rtl w:val="0"/>
        </w:rPr>
        <w:t xml:space="preserve">3, 8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91439"/>
          <w:sz w:val="20"/>
          <w:szCs w:val="20"/>
          <w:rtl w:val="0"/>
        </w:rPr>
        <w:t xml:space="preserve">Elisavet Zoupanidou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, Patricio Barria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vertAlign w:val="super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, Claudia Garrido-Ruiz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vertAlign w:val="superscript"/>
          <w:rtl w:val="0"/>
        </w:rPr>
        <w:t xml:space="preserve">3,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vertAlign w:val="super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vertAlign w:val="super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Alexander Hernandez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, Jose I. Orellana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vertAlign w:val="superscript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, and Benjamín Glasner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vertAlign w:val="superscript"/>
          <w:rtl w:val="0"/>
        </w:rPr>
        <w:t xml:space="preserve">3, 8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="288" w:lineRule="auto"/>
        <w:ind w:left="311" w:hanging="198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Agricultural Research Service (ARS) Forage and Range Research Laboratory (FRR), United States Department of Agriculture (USDA), Logan, UT 84322, USA.</w:t>
      </w:r>
    </w:p>
    <w:p w:rsidR="00000000" w:rsidDel="00000000" w:rsidP="00000000" w:rsidRDefault="00000000" w:rsidRPr="00000000" w14:paraId="00000004">
      <w:pPr>
        <w:spacing w:after="200" w:line="288" w:lineRule="auto"/>
        <w:ind w:left="311" w:hanging="198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SCINet Program and ARS AI Center of Excellence, Office of National Programs, USDA Agricultural Research Service, Beltsville, MD 20705, USA.</w:t>
      </w:r>
    </w:p>
    <w:p w:rsidR="00000000" w:rsidDel="00000000" w:rsidP="00000000" w:rsidRDefault="00000000" w:rsidRPr="00000000" w14:paraId="00000005">
      <w:pPr>
        <w:spacing w:after="200" w:line="288" w:lineRule="auto"/>
        <w:ind w:left="311" w:hanging="198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3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Departamento de Acuicultura y Recursos Agroalimentarios, Universidad de Los Lagos, Avda. Fuchslocher 1305, Osorno 5290000, Los Lagos, Chile. </w:t>
      </w:r>
    </w:p>
    <w:p w:rsidR="00000000" w:rsidDel="00000000" w:rsidP="00000000" w:rsidRDefault="00000000" w:rsidRPr="00000000" w14:paraId="00000006">
      <w:pPr>
        <w:spacing w:after="200" w:line="288" w:lineRule="auto"/>
        <w:ind w:left="311" w:hanging="198"/>
        <w:rPr>
          <w:rFonts w:ascii="Times New Roman" w:cs="Times New Roman" w:eastAsia="Times New Roman" w:hAnsi="Times New Roman"/>
          <w:sz w:val="20"/>
          <w:szCs w:val="2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4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GEDT Institute/Hub, Université de Genève. 66 boulevard Carl-Vogt, 1205 Geneva, Switzerland.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88" w:lineRule="auto"/>
        <w:ind w:left="311" w:hanging="198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5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Consultora Sociedad Forestal Bosques de Paimún Ltda, Chacabuco 308, Of. 223, Valdivia, Chile.</w:t>
      </w:r>
    </w:p>
    <w:p w:rsidR="00000000" w:rsidDel="00000000" w:rsidP="00000000" w:rsidRDefault="00000000" w:rsidRPr="00000000" w14:paraId="00000008">
      <w:pPr>
        <w:spacing w:after="200" w:line="288" w:lineRule="auto"/>
        <w:ind w:left="311" w:hanging="198"/>
        <w:rPr>
          <w:rFonts w:ascii="Times New Roman" w:cs="Times New Roman" w:eastAsia="Times New Roman" w:hAnsi="Times New Roman"/>
          <w:sz w:val="20"/>
          <w:szCs w:val="20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6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Department of Plants, Soils and Climate, Utah State University, Logan, UT 84322, USA.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="288" w:lineRule="auto"/>
        <w:ind w:left="311" w:hanging="198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7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Instituto de Biología, Facultad de Ciencias, Pontificia Universidad Católica de Valparaíso, Valparaíso, Chile. </w:t>
      </w:r>
    </w:p>
    <w:p w:rsidR="00000000" w:rsidDel="00000000" w:rsidP="00000000" w:rsidRDefault="00000000" w:rsidRPr="00000000" w14:paraId="0000000A">
      <w:pPr>
        <w:spacing w:after="200" w:line="288" w:lineRule="auto"/>
        <w:ind w:left="311" w:hanging="198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8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Programa de Investigación Cero Huella, Vicerrectoría de Investigación y Post Grado, Universidad de Los Lagos, Avda. Fuchslocher 1305, Osorno 5290000, Los Lagos, Chile</w:t>
        <w:tab/>
        <w:t xml:space="preserve">.</w:t>
      </w:r>
    </w:p>
    <w:p w:rsidR="00000000" w:rsidDel="00000000" w:rsidP="00000000" w:rsidRDefault="00000000" w:rsidRPr="00000000" w14:paraId="0000000B">
      <w:pPr>
        <w:spacing w:after="200" w:line="288" w:lineRule="auto"/>
        <w:ind w:left="311" w:hanging="198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* Corresponding author: Viviana Bustos, Laboratorio de Carbono y Cambio Climático, Departamento de Acuicultura y Recursos Agroalimentarios, Universidad de Los Lagos, Av. Fuchslocher 1305, Casilla 933, Osorno, Chile. Tel.: +56 93393 4828, E-mail: viviana.bustos@ulagos.cl, ORCID: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0000-0002-4347-1107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="288" w:lineRule="auto"/>
        <w:ind w:left="311" w:hanging="198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* Corresponding author: Efrain Duarte, Agricultural Research Service (ARS) Forage and Range Research Laboratory (FRR), United States Department of Agriculture (USDA), Logan, UT 84322, USA. Tel.: +1 435 554-6839, E-mail: efrain.duarte@usda.gov, ORCID: 0000-0003-3977-1024.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480" w:lineRule="auto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Table S1. Overview of the six dairy farm study sites, including general characteristics, soil and physical features, chemical properties, climatic conditions, and dominant forest types.</w:t>
      </w:r>
      <w:r w:rsidDel="00000000" w:rsidR="00000000" w:rsidRPr="00000000">
        <w:rPr>
          <w:rtl w:val="0"/>
        </w:rPr>
      </w:r>
    </w:p>
    <w:tbl>
      <w:tblPr>
        <w:tblStyle w:val="Table1"/>
        <w:tblW w:w="9214.999999999998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124"/>
        <w:gridCol w:w="1420"/>
        <w:gridCol w:w="1134"/>
        <w:gridCol w:w="1134"/>
        <w:gridCol w:w="1134"/>
        <w:gridCol w:w="1134"/>
        <w:gridCol w:w="1135"/>
        <w:tblGridChange w:id="0">
          <w:tblGrid>
            <w:gridCol w:w="2124"/>
            <w:gridCol w:w="1420"/>
            <w:gridCol w:w="1134"/>
            <w:gridCol w:w="1134"/>
            <w:gridCol w:w="1134"/>
            <w:gridCol w:w="1134"/>
            <w:gridCol w:w="1135"/>
          </w:tblGrid>
        </w:tblGridChange>
      </w:tblGrid>
      <w:tr>
        <w:trPr>
          <w:cantSplit w:val="0"/>
          <w:trHeight w:val="271" w:hRule="atLeast"/>
          <w:tblHeader w:val="0"/>
        </w:trPr>
        <w:tc>
          <w:tcPr>
            <w:vMerge w:val="restart"/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12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Study sites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vMerge w:val="continue"/>
            <w:tcBorders>
              <w:top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Site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Site 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Site 3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Site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Site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Site 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General features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Region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Los Ríos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Los Ríos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Los Ríos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Los Lagos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Los Lagos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Los Lagos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Farm Name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Province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Pitriuco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Ranco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CDM</w:t>
            </w:r>
          </w:p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Valdivia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CDL</w:t>
            </w:r>
          </w:p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 Unión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Las Vertientes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Osorno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ind w:right="-112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 Querencia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Osorno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Amancayes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Llanquihue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Type of Dairy Farming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Year Round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Year Round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Year Round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Seasonal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ind w:right="-112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Year Round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Year Round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System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Pasture- based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Mixed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Stalls**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Pasture- based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Pasture- based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Pasture- based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Commune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Lago Ranco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Máfil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 Unión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Puyehue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Puyehue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Fresia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Latitude and Longitude (GCS-WGS84)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-72.62, -40.25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-72.84, -39.71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E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-72.83, -40.18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-72.81, -40.67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0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-72.59, -40.72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-73.43, -41.25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jc w:val="left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Soil features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5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Soil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Trumao – Red Clay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Trumao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C">
            <w:pPr>
              <w:ind w:left="-117" w:right="-112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Trumao – Red Clay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Trumao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ind w:left="650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Trumao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Red Clay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Slope (%)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1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2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0%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0%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Soil Texture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Clayey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Clayey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Clayey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Clayey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Clayey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E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Soil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F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Andisol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0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Andisol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1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Andisol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2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Andisol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Andisol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Ultisol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5">
            <w:pPr>
              <w:jc w:val="left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Physical Features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6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7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8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9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A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B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Organic matter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Medium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High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High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High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High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Medium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Drainage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Imperfect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Imperfect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6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Imperfect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8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Free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Free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A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Imperfect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B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Erosion risk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C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Medium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D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Low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E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Medium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F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High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High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1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Medium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2">
            <w:pPr>
              <w:jc w:val="left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Chemical Features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3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4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5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6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7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8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9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Acidity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A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Moderate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B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Moderate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Moderate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D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High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High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Moderate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0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Phosphorus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Low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Low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4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5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6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Very Low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Sulphur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8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9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Low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A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Low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B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C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D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Very Low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E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Potassium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F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Moderate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0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Moderate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1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Moderate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2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3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4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Low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5">
            <w:pPr>
              <w:jc w:val="left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Climate features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6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7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8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9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A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B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C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Winter mean Tº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D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E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7.1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F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7.7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0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1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2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7.5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3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Summer mean Tº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4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11.7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5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15.5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6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15.9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7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14.9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8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14.9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9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12.9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A">
            <w:pPr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Mean precipitation (mm)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B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1,544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C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1,571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D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1,040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E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1,420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F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1,420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0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2,307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E1">
            <w:pPr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Forest type*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E2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RO-RA-CO and Evergreen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E3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RO-RA-CO and Evergreen</w:t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E4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Evergreen</w:t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E5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Evergreen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E6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RO-RA-CO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E7">
            <w:pPr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RO-RA-CO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8">
      <w:pPr>
        <w:spacing w:after="200" w:line="480" w:lineRule="auto"/>
        <w:rPr>
          <w:rFonts w:ascii="Times New Roman" w:cs="Times New Roman" w:eastAsia="Times New Roman" w:hAnsi="Times New Roman"/>
          <w:i w:val="1"/>
          <w:iCs w:val="1"/>
          <w:sz w:val="20"/>
          <w:szCs w:val="20"/>
        </w:rPr>
      </w:pPr>
      <w:bookmarkStart w:colFirst="0" w:colLast="0" w:name="_1t3h5sf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*RORACO: Roble, Raulí Coigüe (Donoso et al., 1993; Santibáñez et al., 2016)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200" w:line="48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Table 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2: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Tree volume functions and basic wood density values used for the calculation of biomass per species (Data compiled by Drake et al., 2003).</w:t>
      </w:r>
      <w:r w:rsidDel="00000000" w:rsidR="00000000" w:rsidRPr="00000000">
        <w:rPr>
          <w:rtl w:val="0"/>
        </w:rPr>
      </w:r>
    </w:p>
    <w:tbl>
      <w:tblPr>
        <w:tblStyle w:val="Table2"/>
        <w:tblW w:w="8647.0" w:type="dxa"/>
        <w:jc w:val="center"/>
        <w:tblLayout w:type="fixed"/>
        <w:tblLook w:val="0400"/>
      </w:tblPr>
      <w:tblGrid>
        <w:gridCol w:w="1560"/>
        <w:gridCol w:w="5811"/>
        <w:gridCol w:w="1276"/>
        <w:tblGridChange w:id="0">
          <w:tblGrid>
            <w:gridCol w:w="1560"/>
            <w:gridCol w:w="5811"/>
            <w:gridCol w:w="1276"/>
          </w:tblGrid>
        </w:tblGridChange>
      </w:tblGrid>
      <w:tr>
        <w:trPr>
          <w:cantSplit w:val="0"/>
          <w:trHeight w:val="347" w:hRule="atLeast"/>
          <w:tblHeader w:val="0"/>
        </w:trPr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tabs>
                <w:tab w:val="left" w:leader="none" w:pos="2583"/>
              </w:tabs>
              <w:spacing w:line="480" w:lineRule="auto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Common Name (Abbreviation)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ED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Volume Functions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EE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Basic Density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(kg/m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F0">
            <w:pPr>
              <w:tabs>
                <w:tab w:val="left" w:leader="none" w:pos="2583"/>
              </w:tabs>
              <w:spacing w:line="480" w:lineRule="auto"/>
              <w:ind w:right="-74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Arrayan (LA)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1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V=0.0381+0.4731×(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D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100</m:t>
                  </m:r>
                </m:den>
              </m:f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)2×(-5.081÷0.7704×H)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2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799.1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F3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Avellano (GA)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4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V=0.000079+0.000033318×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D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H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5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506.7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F6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Canelo (DW)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7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V=0.17079+3.1379×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D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>×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H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100000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8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431.2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F9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Coigüe (ND)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A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V=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e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(-10.312929+0.991795×LN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cs="Cambria Math" w:eastAsia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cs="Cambria Math" w:eastAsia="Cambria Math" w:hAnsi="Cambria Math"/>
                              <w:sz w:val="20"/>
                              <w:szCs w:val="20"/>
                            </w:rPr>
                            <m:t xml:space="preserve">D</m:t>
                          </m:r>
                        </m:e>
                        <m:sup>
                          <m:r>
                            <w:rPr>
                              <w:rFonts w:ascii="Cambria Math" w:cs="Cambria Math" w:eastAsia="Cambria Math" w:hAnsi="Cambria Math"/>
                              <w:sz w:val="20"/>
                              <w:szCs w:val="20"/>
                            </w:rPr>
                            <m:t xml:space="preserve">2</m:t>
                          </m:r>
                        </m:sup>
                      </m:sSup>
                      <m: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  <m:t xml:space="preserve">H</m:t>
                      </m:r>
                    </m:e>
                  </m:d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)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B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504.2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FC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Espino Negro (RE)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D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V=0.000028×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D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H+7.0473×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10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-10</m:t>
                  </m:r>
                </m:sup>
              </m:sSup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×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D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H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-2.583×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10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-14 </m:t>
                  </m:r>
                </m:sup>
              </m:sSup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×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D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 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H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E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830*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FF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Laurel (LP)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0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False form factor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1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447.2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2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Lingue (PL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3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V=-0.041488+0.000448×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D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+0.003063×H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4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464.3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5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Luma (AL)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6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  <w:vertAlign w:val="superscript"/>
                </w:rPr>
                <m:t xml:space="preserve">V=</m:t>
              </m:r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0.000028 ×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D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H + 7.0473 ×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10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-10</m:t>
                  </m:r>
                </m:sup>
              </m:sSup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×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D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H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 - 2.583 ×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10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-14</m:t>
                  </m:r>
                </m:sup>
              </m:sSup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×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D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H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7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764.5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8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Maiten (MB)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9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False form factor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A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474.4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B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Maqui (AC)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C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V=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e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(-6.85116+1.6647×LN(D))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D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331.0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E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Meli (AM)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F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V=0.000025×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D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H+1.4085×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10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-10</m:t>
                  </m:r>
                </m:sup>
              </m:sSup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 ×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(D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 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H)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-1,28933×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10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-15</m:t>
                  </m:r>
                </m:sup>
              </m:sSup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 ×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(D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H)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3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0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799.1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1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EC (Notro)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2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False form factor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3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474.4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4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Olivillo (AP)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5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V=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e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(- 9.970339 + 2.4774308× LN (D) + 0,313590783 ×LN (H))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6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487.9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7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Palmilla (LF)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8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False form factor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9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**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A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Patagua (CP)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B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False form factor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C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**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D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Picha (MP)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E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False form factor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F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799.1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0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Radal (LH)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1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V=0.007019 + 0.00002229 ×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D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3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2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474.4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3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Roble (NO)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4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V=- 0,03695309 + 0,00075407 ×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D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5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461.4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6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Tepu o Temo (BC)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7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False form factor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8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799.1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9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Tiaca (CP)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A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False form factor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B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555.0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tcBorders>
              <w:bottom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12C">
            <w:pPr>
              <w:tabs>
                <w:tab w:val="left" w:leader="none" w:pos="2583"/>
              </w:tabs>
              <w:spacing w:line="480" w:lineRule="auto"/>
              <w:ind w:right="-76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Ulmo (EC)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12D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V=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e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(-8.666544 +2.149093× LN (D)+ 0.2508636 ×LN (H))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12E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546.9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F">
      <w:pPr>
        <w:spacing w:after="200" w:line="288" w:lineRule="auto"/>
        <w:rPr>
          <w:rFonts w:ascii="Calibri" w:cs="Calibri" w:eastAsia="Calibri" w:hAnsi="Calibri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240" w:before="24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Table 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3. Mean annual periodic increment (m³ ha⁻¹ year⁻¹) for the main native forest types of southern Chile, based on National Forest Inventory data</w:t>
      </w:r>
      <w:r w:rsidDel="00000000" w:rsidR="00000000" w:rsidRPr="00000000">
        <w:rPr>
          <w:rtl w:val="0"/>
        </w:rPr>
      </w:r>
    </w:p>
    <w:tbl>
      <w:tblPr>
        <w:tblStyle w:val="Table3"/>
        <w:tblW w:w="8364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670"/>
        <w:gridCol w:w="2694"/>
        <w:tblGridChange w:id="0">
          <w:tblGrid>
            <w:gridCol w:w="5670"/>
            <w:gridCol w:w="269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1">
            <w:pPr>
              <w:spacing w:line="480" w:lineRule="auto"/>
              <w:ind w:left="-258" w:firstLine="0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Forest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2">
            <w:pPr>
              <w:spacing w:line="480" w:lineRule="auto"/>
              <w:ind w:firstLine="7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Mean annual periodic increment (m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3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ha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-1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year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-1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)*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3">
            <w:pPr>
              <w:spacing w:line="480" w:lineRule="auto"/>
              <w:ind w:right="-118"/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Alerce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Fitzroya cupressoides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4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5">
            <w:pPr>
              <w:spacing w:line="480" w:lineRule="auto"/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Ciprés de Las Guaitecas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Pilgerodendron uviferum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6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7">
            <w:pPr>
              <w:spacing w:line="480" w:lineRule="auto"/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Ciprés de La Cordillera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Austrocedrus chilensis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8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9">
            <w:pPr>
              <w:spacing w:line="480" w:lineRule="auto"/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Lenga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Nothofagus pumilio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A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B">
            <w:pPr>
              <w:spacing w:line="480" w:lineRule="auto"/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Roble Hualo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Nothofagus obliqua and/or Nothofagus glauca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C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D">
            <w:pPr>
              <w:spacing w:line="480" w:lineRule="auto"/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Roble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Nothofagus obliqua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) – Raulí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Nothofagus alpina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) Coihue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Nothofagus dombeyi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E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6.6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F">
            <w:pPr>
              <w:spacing w:line="480" w:lineRule="auto"/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Coihue – Raulí – Tepa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Laureliopsis philippiana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0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41">
            <w:pPr>
              <w:spacing w:line="480" w:lineRule="auto"/>
              <w:ind w:right="-250"/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Esclerófilo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2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43">
            <w:pPr>
              <w:spacing w:line="480" w:lineRule="auto"/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Siempreverde (Evergreen)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44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6.0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5">
      <w:pPr>
        <w:spacing w:after="200" w:line="288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18"/>
          <w:szCs w:val="18"/>
          <w:rtl w:val="0"/>
        </w:rPr>
        <w:t xml:space="preserve">*Source: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(INFOR, 2015).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200" w:line="288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200" w:line="480" w:lineRule="auto"/>
        <w:rPr>
          <w:rFonts w:ascii="Times New Roman" w:cs="Times New Roman" w:eastAsia="Times New Roman" w:hAnsi="Times New Roman"/>
          <w:i w:val="1"/>
          <w:i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Table S4: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Summary of Sentinel 2 spectral bands and indices covariates used to model aboveground biomass (AGB) in this study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</w:t>
      </w:r>
      <w:r w:rsidDel="00000000" w:rsidR="00000000" w:rsidRPr="00000000">
        <w:rPr>
          <w:rtl w:val="0"/>
        </w:rPr>
      </w:r>
    </w:p>
    <w:tbl>
      <w:tblPr>
        <w:tblStyle w:val="Table4"/>
        <w:tblW w:w="8930.0" w:type="dxa"/>
        <w:jc w:val="center"/>
        <w:tblLayout w:type="fixed"/>
        <w:tblLook w:val="0400"/>
      </w:tblPr>
      <w:tblGrid>
        <w:gridCol w:w="1843"/>
        <w:gridCol w:w="992"/>
        <w:gridCol w:w="3791"/>
        <w:gridCol w:w="1029"/>
        <w:gridCol w:w="1275"/>
        <w:tblGridChange w:id="0">
          <w:tblGrid>
            <w:gridCol w:w="1843"/>
            <w:gridCol w:w="992"/>
            <w:gridCol w:w="3791"/>
            <w:gridCol w:w="1029"/>
            <w:gridCol w:w="1275"/>
          </w:tblGrid>
        </w:tblGridChange>
      </w:tblGrid>
      <w:tr>
        <w:trPr>
          <w:cantSplit w:val="0"/>
          <w:trHeight w:val="247" w:hRule="atLeast"/>
          <w:tblHeader w:val="0"/>
        </w:trPr>
        <w:tc>
          <w:tcPr>
            <w:tcBorders>
              <w:top w:color="000000" w:space="0" w:sz="12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0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Dataset (Covariates)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1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Abbr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2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Formula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3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Bands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4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Reference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5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Normalized Difference Vegetation Index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6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NDVI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7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NDVI=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fPr>
                <m:num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  <m:t xml:space="preserve">NIR-Red</m:t>
                      </m:r>
                    </m:e>
                  </m:d>
                </m:num>
                <m:den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  <m:t xml:space="preserve">NIR+Red</m:t>
                      </m:r>
                    </m:e>
                  </m:d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8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B8, B4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9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(Illarionova et al., 2024)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A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Enhanced Vegetation Index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B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C">
            <w:pPr>
              <w:rPr>
                <w:rFonts w:ascii="Cambria Math" w:cs="Cambria Math" w:eastAsia="Cambria Math" w:hAnsi="Cambria Math"/>
                <w:sz w:val="18"/>
                <w:szCs w:val="18"/>
              </w:rPr>
            </w:pPr>
            <m:oMath>
              <m:r>
                <w:rPr>
                  <w:rFonts w:ascii="Cambria Math" w:cs="Cambria Math" w:eastAsia="Cambria Math" w:hAnsi="Cambria Math"/>
                  <w:sz w:val="18"/>
                  <w:szCs w:val="18"/>
                </w:rPr>
                <m:t xml:space="preserve">EVI=2.5 * 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18"/>
                      <w:szCs w:val="18"/>
                    </w:rPr>
                  </m:ctrlPr>
                </m:fPr>
                <m:num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sz w:val="18"/>
                          <w:szCs w:val="18"/>
                        </w:rPr>
                        <m:t xml:space="preserve">NIR+Red</m:t>
                      </m:r>
                    </m:e>
                  </m:d>
                </m:num>
                <m:den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sz w:val="18"/>
                          <w:szCs w:val="18"/>
                        </w:rPr>
                        <m:t xml:space="preserve">NIR+6*Red-7.5*Blue+L</m:t>
                      </m:r>
                    </m:e>
                  </m:d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D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B8A, B4, B2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E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(A. Huete et al., 2002)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F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Soil Adjusted Vegetation Index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0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SAVI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1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SAVI=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fPr>
                <m:num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  <m:t xml:space="preserve">NIR-Red</m:t>
                      </m:r>
                    </m:e>
                  </m:d>
                </m:num>
                <m:den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  <m:t xml:space="preserve">NIR+Red+L</m:t>
                      </m:r>
                    </m:e>
                  </m:d>
                </m:den>
              </m:f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*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1+L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2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B8, B4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3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(A. R. Huete, 1988)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64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Index-Based built-up Index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5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IBI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6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IBI=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NDBI -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</m:ctrlPr>
                    </m:fPr>
                    <m:num>
                      <m:d>
                        <m:dPr>
                          <m:begChr m:val="("/>
                          <m:endChr m:val=")"/>
                          <m:ctrlPr>
                            <w:rPr>
                              <w:rFonts w:ascii="Cambria Math" w:cs="Cambria Math" w:eastAsia="Cambria Math" w:hAnsi="Cambria Math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cs="Cambria Math" w:eastAsia="Cambria Math" w:hAnsi="Cambria Math"/>
                              <w:sz w:val="20"/>
                              <w:szCs w:val="20"/>
                            </w:rPr>
                            <m:t xml:space="preserve">SAVI + MNDWI</m:t>
                          </m:r>
                        </m:e>
                      </m:d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  <m:t xml:space="preserve">2</m:t>
                      </m:r>
                    </m:den>
                  </m:f>
                </m:num>
                <m:den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NDBI +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</m:ctrlPr>
                    </m:fPr>
                    <m:num>
                      <m:d>
                        <m:dPr>
                          <m:begChr m:val="("/>
                          <m:endChr m:val=")"/>
                          <m:ctrlPr>
                            <w:rPr>
                              <w:rFonts w:ascii="Cambria Math" w:cs="Cambria Math" w:eastAsia="Cambria Math" w:hAnsi="Cambria Math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cs="Cambria Math" w:eastAsia="Cambria Math" w:hAnsi="Cambria Math"/>
                              <w:sz w:val="20"/>
                              <w:szCs w:val="20"/>
                            </w:rPr>
                            <m:t xml:space="preserve">SAVI + MNDWI</m:t>
                          </m:r>
                        </m:e>
                      </m:d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  <m:t xml:space="preserve">2</m:t>
                      </m:r>
                    </m:den>
                  </m:f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7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B11, B3, B8, B4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8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(Xu, 2008)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69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Bare Soil Index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A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B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BSI=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fPr>
                <m:num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  <m:t xml:space="preserve">SWIR1+Red</m:t>
                      </m:r>
                    </m:e>
                  </m:d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-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  <m:t xml:space="preserve">NIR+Blue</m:t>
                      </m:r>
                    </m:e>
                  </m:d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 </m:t>
                  </m:r>
                </m:num>
                <m:den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  <m:t xml:space="preserve">SWIR1+Red</m:t>
                      </m:r>
                    </m:e>
                  </m:d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+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  <m:t xml:space="preserve">NIR+Blue</m:t>
                      </m:r>
                    </m:e>
                  </m:d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C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B11, B4, B8, B2,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D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(Hill, 2013)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6E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Green Normalized Difference Vegetation Index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F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GNDVI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0">
            <w:pPr>
              <w:rPr>
                <w:rFonts w:ascii="Cambria Math" w:cs="Cambria Math" w:eastAsia="Cambria Math" w:hAnsi="Cambria Math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GNDVI=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fPr>
                <m:num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  <m:t xml:space="preserve">NIR-Green</m:t>
                      </m:r>
                    </m:e>
                  </m:d>
                </m:num>
                <m:den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  <m:t xml:space="preserve">NIR+Green</m:t>
                      </m:r>
                    </m:e>
                  </m:d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1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B8A, B3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2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(Gitelson et al., 1996)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73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Band 2 Blue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4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subscript"/>
                <w:rtl w:val="0"/>
              </w:rPr>
              <w:t xml:space="preserve">BLUE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5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Wavelength (nm) 490 - Bandwidth (nm) 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6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B2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77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(Drusch et al., 2012)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78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Band 3 Green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9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subscript"/>
                <w:rtl w:val="0"/>
              </w:rPr>
              <w:t xml:space="preserve">GREEN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A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Wavelength (nm) 560 - Bandwidth (nm) 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B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B3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7C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7D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Band 4 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E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subscript"/>
                <w:rtl w:val="0"/>
              </w:rPr>
              <w:t xml:space="preserve">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F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Wavelength (nm) 665 - Bandwidth (nm) 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0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B4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81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82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Band 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3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Red Edge1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4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Wavelength (nm) 705 - Bandwidth (nm) 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5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B5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86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87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Band 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8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Red Edge2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9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Wavelength (nm) 740 - Bandwidth (nm) 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A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B6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8B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8C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Band 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D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Red Edge3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E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Wavelength (nm) 783 - Bandwidth (nm) 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F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B7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90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91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Band 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2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NIR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subscript"/>
                <w:rtl w:val="0"/>
              </w:rPr>
              <w:t xml:space="preserve">wide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3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Wavelength (nm) 842 - Bandwidth (nm) 115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4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B8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95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96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Band 8A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7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NIR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subscript"/>
                <w:rtl w:val="0"/>
              </w:rPr>
              <w:t xml:space="preserve">narrow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8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Wavelength (nm) 865 - Bandwidth (nm) 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9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B8A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9A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9B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Band 11 Shortwave infrared-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C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SWIR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D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Wavelength (nm) 1,610 - Bandwidth (nm) 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E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B11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9F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" w:hRule="atLeast"/>
          <w:tblHeader w:val="0"/>
        </w:trPr>
        <w:tc>
          <w:tcPr>
            <w:tcBorders>
              <w:bottom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1A0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Band 12 Shortwave infrared-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1A1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SWIR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1A2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Wavelength (nm) 2,190 - Bandwidth (nm) 180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1A3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B12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A4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5">
      <w:pPr>
        <w:spacing w:after="200" w:line="288" w:lineRule="auto"/>
        <w:rPr>
          <w:rFonts w:ascii="Calibri" w:cs="Calibri" w:eastAsia="Calibri" w:hAnsi="Calibri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after="200" w:line="48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after="200"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Table 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5: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Main native species found in the carbon inventories of the six dairy farms of Los Ríos and Los Lagos Regions.</w:t>
      </w:r>
    </w:p>
    <w:tbl>
      <w:tblPr>
        <w:tblStyle w:val="Table5"/>
        <w:tblW w:w="8109.0" w:type="dxa"/>
        <w:jc w:val="center"/>
        <w:tblLayout w:type="fixed"/>
        <w:tblLook w:val="0400"/>
      </w:tblPr>
      <w:tblGrid>
        <w:gridCol w:w="1579"/>
        <w:gridCol w:w="2800"/>
        <w:gridCol w:w="1240"/>
        <w:gridCol w:w="2490"/>
        <w:tblGridChange w:id="0">
          <w:tblGrid>
            <w:gridCol w:w="1579"/>
            <w:gridCol w:w="2800"/>
            <w:gridCol w:w="1240"/>
            <w:gridCol w:w="2490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B5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Common Name</w:t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B6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Scientific name</w:t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B7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Abb</w:t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B8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IUCN Red List Categories*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B9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Arrayán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BA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Luma apiculata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BB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BC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LC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BD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Avellano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BE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Gevuina avellana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BF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0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LC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1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Canelo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2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Drimys winteri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3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4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LC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5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Coigüe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6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Nothofagus dombeyi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7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8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LC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9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Espino Negro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A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Rhaphithamnus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trike w:val="1"/>
                <w:sz w:val="20"/>
                <w:szCs w:val="20"/>
                <w:rtl w:val="0"/>
              </w:rPr>
              <w:t xml:space="preserve">e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spinosus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B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C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LC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D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Laurel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E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Laurelia sempervirens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F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D0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D1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Lingue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D2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Persea lingue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D3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D4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LC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D5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Luma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D6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Amomyrtus luma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D7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D8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NE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D9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Maitén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DA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Maytenus boaria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DB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DC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LC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DD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Maqui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DE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Aristotelia chilensis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DF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0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NE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1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Meli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2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Amomyrtus meli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3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4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LC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5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Notro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6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Embothrium coccineum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7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8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LC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9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Olivillo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A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Aextoxicon punctatum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B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C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LC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D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Palmilla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E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Lomatia ferruginea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F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F0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NE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F1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Patagua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F2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Crinodendron patagua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F3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F4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NE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F5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Picha o Pitra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F6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Myrceugenia planipes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F7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F8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NE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F9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Radal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FA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Lomatia hirsuta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FB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FC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LC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FD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Roble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FE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Nothofagus obliqua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FF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00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LC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01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Temu o Temo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02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Blepharocalyx cruckshanksii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03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04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05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Tiaca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06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Caldcluvia paniculata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07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08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NE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09">
            <w:pPr>
              <w:spacing w:line="48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Ulmo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0A">
            <w:pPr>
              <w:spacing w:line="480" w:lineRule="auto"/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0"/>
                <w:szCs w:val="20"/>
                <w:rtl w:val="0"/>
              </w:rPr>
              <w:t xml:space="preserve">Eucryphia cordifolia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0B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0C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NT</w:t>
            </w:r>
          </w:p>
        </w:tc>
      </w:tr>
    </w:tbl>
    <w:p w:rsidR="00000000" w:rsidDel="00000000" w:rsidP="00000000" w:rsidRDefault="00000000" w:rsidRPr="00000000" w14:paraId="0000020D">
      <w:pPr>
        <w:spacing w:after="200" w:line="288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* IUCN red list categories: Not Evaluated (NE), Data Deficient (DD), Least Concern (LC), Near Threatened (NT), Vulnerable (V), Endangered (E), Critically Endangered (CE), Extinct in the Wild (EW) and Extinct.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libri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 Mat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  <w:jc w:val="center"/>
    </w:pPr>
    <w:rPr>
      <w:rFonts w:ascii="Palatino Linotype" w:cs="Palatino Linotype" w:eastAsia="Palatino Linotype" w:hAnsi="Palatino Linotype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9e2f3" w:val="clear"/>
      <w:vAlign w:val="center"/>
    </w:tcPr>
  </w:style>
  <w:style w:type="table" w:styleId="Table2">
    <w:basedOn w:val="TableNormal"/>
    <w:pPr>
      <w:spacing w:after="0" w:line="240" w:lineRule="auto"/>
      <w:jc w:val="center"/>
    </w:pPr>
    <w:rPr>
      <w:rFonts w:ascii="Palatino Linotype" w:cs="Palatino Linotype" w:eastAsia="Palatino Linotype" w:hAnsi="Palatino Linotype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9e2f3" w:val="clear"/>
      <w:vAlign w:val="center"/>
    </w:tcPr>
  </w:style>
  <w:style w:type="table" w:styleId="Table3">
    <w:basedOn w:val="TableNormal"/>
    <w:pPr>
      <w:spacing w:after="0" w:line="240" w:lineRule="auto"/>
      <w:jc w:val="center"/>
    </w:pPr>
    <w:rPr>
      <w:rFonts w:ascii="Palatino Linotype" w:cs="Palatino Linotype" w:eastAsia="Palatino Linotype" w:hAnsi="Palatino Linotype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9e2f3" w:val="clear"/>
      <w:vAlign w:val="center"/>
    </w:tcPr>
  </w:style>
  <w:style w:type="table" w:styleId="Table4">
    <w:basedOn w:val="TableNormal"/>
    <w:pPr>
      <w:spacing w:after="0" w:line="240" w:lineRule="auto"/>
      <w:jc w:val="center"/>
    </w:pPr>
    <w:rPr>
      <w:rFonts w:ascii="Palatino Linotype" w:cs="Palatino Linotype" w:eastAsia="Palatino Linotype" w:hAnsi="Palatino Linotype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9e2f3" w:val="clear"/>
      <w:vAlign w:val="center"/>
    </w:tc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