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6E82" w14:textId="78763499" w:rsidR="00E16EA7" w:rsidRPr="0050026C" w:rsidRDefault="00E16EA7" w:rsidP="00BE14F8">
      <w:pPr>
        <w:rPr>
          <w:rFonts w:ascii="Times New Roman" w:hAnsi="Times New Roman" w:cs="Times New Roman"/>
          <w:b/>
          <w:bCs/>
          <w:sz w:val="24"/>
          <w:szCs w:val="24"/>
          <w:lang w:val="en-GB"/>
        </w:rPr>
      </w:pPr>
      <w:r w:rsidRPr="0050026C">
        <w:rPr>
          <w:rFonts w:ascii="Times New Roman" w:hAnsi="Times New Roman" w:cs="Times New Roman"/>
          <w:b/>
          <w:bCs/>
          <w:sz w:val="24"/>
          <w:szCs w:val="24"/>
          <w:lang w:val="en-GB"/>
        </w:rPr>
        <w:t>SUPPLEMENTARY METHODS</w:t>
      </w:r>
    </w:p>
    <w:p w14:paraId="0514BD46" w14:textId="77777777"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This supplementary document outlines the methodology for cleaning data related to healthcare resource use (HCRU), sick leaves, and associated costs. Data was sourced from the SIDIAP dataset between January 1, 2021, and December 31, 2023.</w:t>
      </w:r>
    </w:p>
    <w:p w14:paraId="2ABEDAFA" w14:textId="77777777" w:rsidR="008E56E2" w:rsidRPr="0050026C" w:rsidRDefault="008E56E2" w:rsidP="009C0854">
      <w:pPr>
        <w:rPr>
          <w:rFonts w:ascii="Times New Roman" w:hAnsi="Times New Roman" w:cs="Times New Roman"/>
          <w:b/>
          <w:bCs/>
          <w:sz w:val="24"/>
          <w:szCs w:val="24"/>
          <w:lang w:val="en-GB"/>
        </w:rPr>
      </w:pPr>
    </w:p>
    <w:p w14:paraId="323D1A16" w14:textId="54F088D9" w:rsidR="009C0854" w:rsidRPr="0050026C" w:rsidRDefault="009C0854" w:rsidP="009C0854">
      <w:pPr>
        <w:rPr>
          <w:rFonts w:ascii="Times New Roman" w:hAnsi="Times New Roman" w:cs="Times New Roman"/>
          <w:b/>
          <w:bCs/>
          <w:sz w:val="24"/>
          <w:szCs w:val="24"/>
          <w:lang w:val="en-GB"/>
        </w:rPr>
      </w:pPr>
      <w:r w:rsidRPr="0050026C">
        <w:rPr>
          <w:rFonts w:ascii="Times New Roman" w:hAnsi="Times New Roman" w:cs="Times New Roman"/>
          <w:b/>
          <w:bCs/>
          <w:sz w:val="24"/>
          <w:szCs w:val="24"/>
          <w:lang w:val="en-GB"/>
        </w:rPr>
        <w:t>Healthcare Resource Use</w:t>
      </w:r>
    </w:p>
    <w:p w14:paraId="47271568" w14:textId="77777777"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Each patient’s healthcare resource use was assessed for the year before and after the index prescription.</w:t>
      </w:r>
    </w:p>
    <w:p w14:paraId="124B5C9B" w14:textId="77777777" w:rsidR="009C0854" w:rsidRPr="0050026C" w:rsidRDefault="009C0854" w:rsidP="009C0854">
      <w:pPr>
        <w:ind w:firstLine="708"/>
        <w:rPr>
          <w:rFonts w:ascii="Times New Roman" w:hAnsi="Times New Roman" w:cs="Times New Roman"/>
          <w:i/>
          <w:iCs/>
          <w:sz w:val="24"/>
          <w:szCs w:val="24"/>
          <w:lang w:val="en-GB"/>
        </w:rPr>
      </w:pPr>
      <w:r w:rsidRPr="0050026C">
        <w:rPr>
          <w:rFonts w:ascii="Times New Roman" w:hAnsi="Times New Roman" w:cs="Times New Roman"/>
          <w:i/>
          <w:iCs/>
          <w:sz w:val="24"/>
          <w:szCs w:val="24"/>
          <w:lang w:val="en-GB"/>
        </w:rPr>
        <w:t>Primary Care (PC)</w:t>
      </w:r>
    </w:p>
    <w:p w14:paraId="3010605B" w14:textId="68AAC705"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 xml:space="preserve">PC visits encompass interactions with general practitioners (GPs), </w:t>
      </w:r>
      <w:r w:rsidR="0050026C" w:rsidRPr="0050026C">
        <w:rPr>
          <w:rFonts w:ascii="Times New Roman" w:hAnsi="Times New Roman" w:cs="Times New Roman"/>
          <w:sz w:val="24"/>
          <w:szCs w:val="24"/>
          <w:lang w:val="en-GB"/>
        </w:rPr>
        <w:t>paediatricians</w:t>
      </w:r>
      <w:r w:rsidRPr="0050026C">
        <w:rPr>
          <w:rFonts w:ascii="Times New Roman" w:hAnsi="Times New Roman" w:cs="Times New Roman"/>
          <w:sz w:val="24"/>
          <w:szCs w:val="24"/>
          <w:lang w:val="en-GB"/>
        </w:rPr>
        <w:t xml:space="preserve">, resident physicians, nurses, midwives, PC assistants, and social workers. Additionally, psychologist visits, optometry referrals, laboratory tests, physical rehabilitation, speech therapy, and podiatry visits, which are usually provided in PC </w:t>
      </w:r>
      <w:r w:rsidR="0050026C" w:rsidRPr="0050026C">
        <w:rPr>
          <w:rFonts w:ascii="Times New Roman" w:hAnsi="Times New Roman" w:cs="Times New Roman"/>
          <w:sz w:val="24"/>
          <w:szCs w:val="24"/>
          <w:lang w:val="en-GB"/>
        </w:rPr>
        <w:t>centres</w:t>
      </w:r>
      <w:r w:rsidRPr="0050026C">
        <w:rPr>
          <w:rFonts w:ascii="Times New Roman" w:hAnsi="Times New Roman" w:cs="Times New Roman"/>
          <w:sz w:val="24"/>
          <w:szCs w:val="24"/>
          <w:lang w:val="en-GB"/>
        </w:rPr>
        <w:t>, were included.</w:t>
      </w:r>
    </w:p>
    <w:p w14:paraId="4DED5674" w14:textId="4121BE2D"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Twelve percent of patients had no recorded visits with a GP during the follow-up period. To account for this, a GP visit was added to each patient’s records.</w:t>
      </w:r>
    </w:p>
    <w:p w14:paraId="3AC473B2" w14:textId="77777777" w:rsidR="009C0854" w:rsidRPr="0050026C" w:rsidRDefault="009C0854" w:rsidP="009C0854">
      <w:pPr>
        <w:ind w:firstLine="708"/>
        <w:rPr>
          <w:rFonts w:ascii="Times New Roman" w:hAnsi="Times New Roman" w:cs="Times New Roman"/>
          <w:i/>
          <w:iCs/>
          <w:sz w:val="24"/>
          <w:szCs w:val="24"/>
          <w:lang w:val="en-GB"/>
        </w:rPr>
      </w:pPr>
      <w:r w:rsidRPr="0050026C">
        <w:rPr>
          <w:rFonts w:ascii="Times New Roman" w:hAnsi="Times New Roman" w:cs="Times New Roman"/>
          <w:i/>
          <w:iCs/>
          <w:sz w:val="24"/>
          <w:szCs w:val="24"/>
          <w:lang w:val="en-GB"/>
        </w:rPr>
        <w:t>Specialized Care (SC)</w:t>
      </w:r>
    </w:p>
    <w:p w14:paraId="4F0C907A" w14:textId="54640E2C"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 xml:space="preserve">Specialized healthcare services, including surgery, psychology, psychiatry, obstetrics and </w:t>
      </w:r>
      <w:r w:rsidR="0050026C" w:rsidRPr="0050026C">
        <w:rPr>
          <w:rFonts w:ascii="Times New Roman" w:hAnsi="Times New Roman" w:cs="Times New Roman"/>
          <w:sz w:val="24"/>
          <w:szCs w:val="24"/>
          <w:lang w:val="en-GB"/>
        </w:rPr>
        <w:t>gynaecology</w:t>
      </w:r>
      <w:r w:rsidRPr="0050026C">
        <w:rPr>
          <w:rFonts w:ascii="Times New Roman" w:hAnsi="Times New Roman" w:cs="Times New Roman"/>
          <w:sz w:val="24"/>
          <w:szCs w:val="24"/>
          <w:lang w:val="en-GB"/>
        </w:rPr>
        <w:t xml:space="preserve">, traumatology, oncology, dentistry, </w:t>
      </w:r>
      <w:r w:rsidR="0050026C" w:rsidRPr="0050026C">
        <w:rPr>
          <w:rFonts w:ascii="Times New Roman" w:hAnsi="Times New Roman" w:cs="Times New Roman"/>
          <w:sz w:val="24"/>
          <w:szCs w:val="24"/>
          <w:lang w:val="en-GB"/>
        </w:rPr>
        <w:t>haematology</w:t>
      </w:r>
      <w:r w:rsidRPr="0050026C">
        <w:rPr>
          <w:rFonts w:ascii="Times New Roman" w:hAnsi="Times New Roman" w:cs="Times New Roman"/>
          <w:sz w:val="24"/>
          <w:szCs w:val="24"/>
          <w:lang w:val="en-GB"/>
        </w:rPr>
        <w:t>, internal medicine, neurology, gastroenterology, and pulmonology, were recorded in the dataset as referrals and/or visits. The SIDIAP database records referrals and visits to SC; however, for certain services, referrals cannot be directly linked to visits. This disconnect arises because some SC services, although covered by the National Health System, are provided by entities outside the Catalan Health Institute (CHI), the main provider of the system.</w:t>
      </w:r>
    </w:p>
    <w:p w14:paraId="5BF47C8E" w14:textId="77777777"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To ensure data integrity and accurate representation of service utilization, discrepancies between visit and referral records were addressed as follows:</w:t>
      </w:r>
    </w:p>
    <w:p w14:paraId="41B334B0" w14:textId="77777777" w:rsidR="009C0854" w:rsidRPr="0050026C" w:rsidRDefault="009C0854" w:rsidP="009C0854">
      <w:pPr>
        <w:pStyle w:val="Prrafodelista"/>
        <w:numPr>
          <w:ilvl w:val="0"/>
          <w:numId w:val="4"/>
        </w:numPr>
        <w:rPr>
          <w:rFonts w:ascii="Times New Roman" w:hAnsi="Times New Roman" w:cs="Times New Roman"/>
          <w:sz w:val="24"/>
          <w:szCs w:val="24"/>
          <w:lang w:val="en-GB"/>
        </w:rPr>
      </w:pPr>
      <w:r w:rsidRPr="0050026C">
        <w:rPr>
          <w:rFonts w:ascii="Times New Roman" w:hAnsi="Times New Roman" w:cs="Times New Roman"/>
          <w:sz w:val="24"/>
          <w:szCs w:val="24"/>
          <w:lang w:val="en-GB"/>
        </w:rPr>
        <w:t>When both visits and referrals were recorded, only the registered visits were counted to accurately reflect actual service utilization.</w:t>
      </w:r>
    </w:p>
    <w:p w14:paraId="4CE6C30A" w14:textId="3082EA8F" w:rsidR="009C0854" w:rsidRPr="0050026C" w:rsidRDefault="009C0854" w:rsidP="009C0854">
      <w:pPr>
        <w:pStyle w:val="Prrafodelista"/>
        <w:numPr>
          <w:ilvl w:val="0"/>
          <w:numId w:val="4"/>
        </w:numPr>
        <w:rPr>
          <w:rFonts w:ascii="Times New Roman" w:hAnsi="Times New Roman" w:cs="Times New Roman"/>
          <w:sz w:val="24"/>
          <w:szCs w:val="24"/>
          <w:lang w:val="en-GB"/>
        </w:rPr>
      </w:pPr>
      <w:r w:rsidRPr="0050026C">
        <w:rPr>
          <w:rFonts w:ascii="Times New Roman" w:hAnsi="Times New Roman" w:cs="Times New Roman"/>
          <w:sz w:val="24"/>
          <w:szCs w:val="24"/>
          <w:lang w:val="en-GB"/>
        </w:rPr>
        <w:t xml:space="preserve">When referrals were present without corresponding visit records, it was assumed that such visits took place in non-CHI </w:t>
      </w:r>
      <w:r w:rsidR="0050026C" w:rsidRPr="0050026C">
        <w:rPr>
          <w:rFonts w:ascii="Times New Roman" w:hAnsi="Times New Roman" w:cs="Times New Roman"/>
          <w:sz w:val="24"/>
          <w:szCs w:val="24"/>
          <w:lang w:val="en-GB"/>
        </w:rPr>
        <w:t>centres</w:t>
      </w:r>
      <w:r w:rsidRPr="0050026C">
        <w:rPr>
          <w:rFonts w:ascii="Times New Roman" w:hAnsi="Times New Roman" w:cs="Times New Roman"/>
          <w:sz w:val="24"/>
          <w:szCs w:val="24"/>
          <w:lang w:val="en-GB"/>
        </w:rPr>
        <w:t xml:space="preserve"> or private facilities. Each referral was considered equivalent to a visit for costing purposes.</w:t>
      </w:r>
    </w:p>
    <w:p w14:paraId="46898C5B" w14:textId="4BD52263" w:rsidR="009C0854" w:rsidRPr="0050026C" w:rsidRDefault="009C0854" w:rsidP="009C0854">
      <w:pPr>
        <w:pStyle w:val="Prrafodelista"/>
        <w:numPr>
          <w:ilvl w:val="0"/>
          <w:numId w:val="4"/>
        </w:numPr>
        <w:rPr>
          <w:rFonts w:ascii="Times New Roman" w:hAnsi="Times New Roman" w:cs="Times New Roman"/>
          <w:sz w:val="24"/>
          <w:szCs w:val="24"/>
          <w:lang w:val="en-GB"/>
        </w:rPr>
      </w:pPr>
      <w:r w:rsidRPr="0050026C">
        <w:rPr>
          <w:rFonts w:ascii="Times New Roman" w:hAnsi="Times New Roman" w:cs="Times New Roman"/>
          <w:sz w:val="24"/>
          <w:szCs w:val="24"/>
          <w:lang w:val="en-GB"/>
        </w:rPr>
        <w:t>When visits were recorded without accompanying referrals, each visit was counted individually.</w:t>
      </w:r>
    </w:p>
    <w:p w14:paraId="6A4AB4EE" w14:textId="77777777" w:rsidR="009C0854" w:rsidRPr="0050026C" w:rsidRDefault="009C0854" w:rsidP="009C0854">
      <w:pPr>
        <w:ind w:left="360"/>
        <w:rPr>
          <w:rFonts w:ascii="Times New Roman" w:hAnsi="Times New Roman" w:cs="Times New Roman"/>
          <w:i/>
          <w:iCs/>
          <w:sz w:val="24"/>
          <w:szCs w:val="24"/>
          <w:lang w:val="en-GB"/>
        </w:rPr>
      </w:pPr>
      <w:r w:rsidRPr="0050026C">
        <w:rPr>
          <w:rFonts w:ascii="Times New Roman" w:hAnsi="Times New Roman" w:cs="Times New Roman"/>
          <w:i/>
          <w:iCs/>
          <w:sz w:val="24"/>
          <w:szCs w:val="24"/>
          <w:lang w:val="en-GB"/>
        </w:rPr>
        <w:t>Emergency Care</w:t>
      </w:r>
    </w:p>
    <w:p w14:paraId="1BFA7C45" w14:textId="2EABA7E7"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Emergency visits were categorized based on the location, namely PC or hospitals.</w:t>
      </w:r>
    </w:p>
    <w:p w14:paraId="4AD6FA44" w14:textId="4B058844" w:rsidR="009C0854" w:rsidRPr="0050026C" w:rsidRDefault="009C0854" w:rsidP="009C0854">
      <w:pPr>
        <w:ind w:left="360"/>
        <w:rPr>
          <w:rFonts w:ascii="Times New Roman" w:hAnsi="Times New Roman" w:cs="Times New Roman"/>
          <w:i/>
          <w:iCs/>
          <w:sz w:val="24"/>
          <w:szCs w:val="24"/>
          <w:lang w:val="en-GB"/>
        </w:rPr>
      </w:pPr>
      <w:r w:rsidRPr="0050026C">
        <w:rPr>
          <w:rFonts w:ascii="Times New Roman" w:hAnsi="Times New Roman" w:cs="Times New Roman"/>
          <w:i/>
          <w:iCs/>
          <w:sz w:val="24"/>
          <w:szCs w:val="24"/>
          <w:lang w:val="en-GB"/>
        </w:rPr>
        <w:t>Hospital Stays</w:t>
      </w:r>
    </w:p>
    <w:p w14:paraId="344BE3BC" w14:textId="2FCECBD9"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 xml:space="preserve">Hospital stays were classified according to the type of </w:t>
      </w:r>
      <w:r w:rsidR="0050026C" w:rsidRPr="0050026C">
        <w:rPr>
          <w:rFonts w:ascii="Times New Roman" w:hAnsi="Times New Roman" w:cs="Times New Roman"/>
          <w:sz w:val="24"/>
          <w:szCs w:val="24"/>
          <w:lang w:val="en-GB"/>
        </w:rPr>
        <w:t>centre</w:t>
      </w:r>
      <w:r w:rsidRPr="0050026C">
        <w:rPr>
          <w:rFonts w:ascii="Times New Roman" w:hAnsi="Times New Roman" w:cs="Times New Roman"/>
          <w:sz w:val="24"/>
          <w:szCs w:val="24"/>
          <w:lang w:val="en-GB"/>
        </w:rPr>
        <w:t xml:space="preserve"> or care received, including inpatient stays in mental health </w:t>
      </w:r>
      <w:r w:rsidR="0050026C" w:rsidRPr="0050026C">
        <w:rPr>
          <w:rFonts w:ascii="Times New Roman" w:hAnsi="Times New Roman" w:cs="Times New Roman"/>
          <w:sz w:val="24"/>
          <w:szCs w:val="24"/>
          <w:lang w:val="en-GB"/>
        </w:rPr>
        <w:t>centres</w:t>
      </w:r>
      <w:r w:rsidRPr="0050026C">
        <w:rPr>
          <w:rFonts w:ascii="Times New Roman" w:hAnsi="Times New Roman" w:cs="Times New Roman"/>
          <w:sz w:val="24"/>
          <w:szCs w:val="24"/>
          <w:lang w:val="en-GB"/>
        </w:rPr>
        <w:t xml:space="preserve">, day surgery, day hospital stays, stays in intermediate care facilities, intensive care unit stays, and general ward admissions. The </w:t>
      </w:r>
      <w:r w:rsidRPr="0050026C">
        <w:rPr>
          <w:rFonts w:ascii="Times New Roman" w:hAnsi="Times New Roman" w:cs="Times New Roman"/>
          <w:sz w:val="24"/>
          <w:szCs w:val="24"/>
          <w:lang w:val="en-GB"/>
        </w:rPr>
        <w:lastRenderedPageBreak/>
        <w:t>total number of days patients were admitted during the year before and after the index date was recorded and categorized.</w:t>
      </w:r>
    </w:p>
    <w:p w14:paraId="5E6C85C0" w14:textId="77777777" w:rsidR="009C0854" w:rsidRPr="0050026C" w:rsidRDefault="009C0854" w:rsidP="009C0854">
      <w:pPr>
        <w:ind w:left="360"/>
        <w:rPr>
          <w:rFonts w:ascii="Times New Roman" w:hAnsi="Times New Roman" w:cs="Times New Roman"/>
          <w:i/>
          <w:iCs/>
          <w:sz w:val="24"/>
          <w:szCs w:val="24"/>
          <w:lang w:val="en-GB"/>
        </w:rPr>
      </w:pPr>
    </w:p>
    <w:p w14:paraId="04540A85" w14:textId="77777777" w:rsidR="009C0854" w:rsidRPr="0050026C" w:rsidRDefault="009C0854" w:rsidP="009C0854">
      <w:pPr>
        <w:ind w:left="360"/>
        <w:rPr>
          <w:rFonts w:ascii="Times New Roman" w:hAnsi="Times New Roman" w:cs="Times New Roman"/>
          <w:i/>
          <w:iCs/>
          <w:sz w:val="24"/>
          <w:szCs w:val="24"/>
          <w:lang w:val="en-GB"/>
        </w:rPr>
      </w:pPr>
      <w:r w:rsidRPr="0050026C">
        <w:rPr>
          <w:rFonts w:ascii="Times New Roman" w:hAnsi="Times New Roman" w:cs="Times New Roman"/>
          <w:i/>
          <w:iCs/>
          <w:sz w:val="24"/>
          <w:szCs w:val="24"/>
          <w:lang w:val="en-GB"/>
        </w:rPr>
        <w:t>Medical Tests</w:t>
      </w:r>
    </w:p>
    <w:p w14:paraId="0E933A64" w14:textId="20A4ABF5"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The total number of medical tests per patient was calculated for the year before and after the index date.</w:t>
      </w:r>
    </w:p>
    <w:p w14:paraId="5339AE16" w14:textId="77777777" w:rsidR="008E56E2" w:rsidRPr="0050026C" w:rsidRDefault="008E56E2" w:rsidP="00A93CEF">
      <w:pPr>
        <w:rPr>
          <w:rFonts w:ascii="Times New Roman" w:hAnsi="Times New Roman" w:cs="Times New Roman"/>
          <w:b/>
          <w:bCs/>
          <w:sz w:val="24"/>
          <w:szCs w:val="24"/>
          <w:lang w:val="en-GB"/>
        </w:rPr>
      </w:pPr>
    </w:p>
    <w:p w14:paraId="7F913CB7" w14:textId="1F4FCB5F" w:rsidR="00755B76" w:rsidRPr="0050026C" w:rsidRDefault="00755B76" w:rsidP="00A93CEF">
      <w:pPr>
        <w:rPr>
          <w:rFonts w:ascii="Times New Roman" w:hAnsi="Times New Roman" w:cs="Times New Roman"/>
          <w:b/>
          <w:bCs/>
          <w:sz w:val="24"/>
          <w:szCs w:val="24"/>
          <w:lang w:val="en-GB"/>
        </w:rPr>
      </w:pPr>
      <w:r w:rsidRPr="0050026C">
        <w:rPr>
          <w:rFonts w:ascii="Times New Roman" w:hAnsi="Times New Roman" w:cs="Times New Roman"/>
          <w:b/>
          <w:bCs/>
          <w:sz w:val="24"/>
          <w:szCs w:val="24"/>
          <w:lang w:val="en-GB"/>
        </w:rPr>
        <w:t>Costs</w:t>
      </w:r>
    </w:p>
    <w:p w14:paraId="6730FEE2" w14:textId="3718DCD2" w:rsidR="009C0854" w:rsidRPr="0050026C" w:rsidRDefault="009C0854" w:rsidP="009C0854">
      <w:pPr>
        <w:rPr>
          <w:rFonts w:ascii="Times New Roman" w:hAnsi="Times New Roman" w:cs="Times New Roman"/>
          <w:bCs/>
          <w:sz w:val="24"/>
          <w:szCs w:val="24"/>
          <w:lang w:val="en-GB"/>
        </w:rPr>
      </w:pPr>
      <w:r w:rsidRPr="0050026C">
        <w:rPr>
          <w:rFonts w:ascii="Times New Roman" w:hAnsi="Times New Roman" w:cs="Times New Roman"/>
          <w:bCs/>
          <w:sz w:val="24"/>
          <w:szCs w:val="24"/>
          <w:lang w:val="en-GB"/>
        </w:rPr>
        <w:t>Published tariffs in the Official Bulletin of Catalonia were used for costing HCRU. If the tariffs were not published for 2024, they were updated using the Consumer Price Index to 2024.</w:t>
      </w:r>
    </w:p>
    <w:p w14:paraId="212DABBD" w14:textId="77777777" w:rsidR="009C0854" w:rsidRPr="0050026C" w:rsidRDefault="009C0854" w:rsidP="009C0854">
      <w:pPr>
        <w:ind w:left="360"/>
        <w:rPr>
          <w:rFonts w:ascii="Times New Roman" w:hAnsi="Times New Roman" w:cs="Times New Roman"/>
          <w:i/>
          <w:iCs/>
          <w:sz w:val="24"/>
          <w:szCs w:val="24"/>
          <w:lang w:val="en-GB"/>
        </w:rPr>
      </w:pPr>
      <w:r w:rsidRPr="0050026C">
        <w:rPr>
          <w:rFonts w:ascii="Times New Roman" w:hAnsi="Times New Roman" w:cs="Times New Roman"/>
          <w:i/>
          <w:iCs/>
          <w:sz w:val="24"/>
          <w:szCs w:val="24"/>
          <w:lang w:val="en-GB"/>
        </w:rPr>
        <w:t>Primary Care</w:t>
      </w:r>
    </w:p>
    <w:p w14:paraId="2ECEC965" w14:textId="3CBB4BAD"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bCs/>
          <w:sz w:val="24"/>
          <w:szCs w:val="24"/>
          <w:lang w:val="en-GB"/>
        </w:rPr>
        <w:t>Tariffs for PC services were published in RESOLUCIÓ SLT/4326/2023</w:t>
      </w:r>
      <w:r w:rsidR="005B1DBA" w:rsidRPr="0050026C">
        <w:rPr>
          <w:rFonts w:ascii="Times New Roman" w:hAnsi="Times New Roman" w:cs="Times New Roman"/>
          <w:sz w:val="24"/>
          <w:szCs w:val="24"/>
          <w:lang w:val="en-GB"/>
        </w:rPr>
        <w:fldChar w:fldCharType="begin" w:fldLock="1"/>
      </w:r>
      <w:r w:rsidR="005B1DBA" w:rsidRPr="0050026C">
        <w:rPr>
          <w:rFonts w:ascii="Times New Roman" w:hAnsi="Times New Roman" w:cs="Times New Roman"/>
          <w:sz w:val="24"/>
          <w:szCs w:val="24"/>
          <w:lang w:val="en-GB"/>
        </w:rPr>
        <w:instrText>ADDIN CSL_CITATION { "citationItems" : [ { "id" : "ITEM-1", "itemData" : { "ISSN" : "1988-298X", "abstract" : "Mitjan\u00e7ant l'Ordre SLT/71/2020, de 2 de juny, per la qual es regulen els sup\u00f2sits i conceptes facturables i s'aproven els preus p\u00fablics corresponents als serveis que presta l'Institut Catal\u00e0 de la Salut (DOGC n\u00fam. 8153, de 12.6.2022) i les posteriors resolucions SLT/474/2022 (DOGC n\u00fam. 8617 de 2.3.2022) i SLT/3911/2022 (DOGC n\u00fam. 8816, de 20.12.2022) es van aprovar els preus p\u00fablics dels serveis sanitaris prestats per l'Institut Catal\u00e0 de la Salut a les persones usu\u00e0ries no cobertes pel sistema sanitari p\u00fablic, per a quan hi hagu\u00e9s una entitat obligada al pagament de les despeses pr\u00f2pies de la seva atenci\u00f3 sanit\u00e0ria i per a quan hi hagu\u00e9s, d'acord amb l'ordenament jur\u00eddic vigent, qualsevol altra persona f\u00edsica o jur\u00eddica obligada a aquest pagament. L'article 5 i la disposici\u00f3 addicional \u00fanica de l'Ordre de 2 de juny de 2020 estableixen que els preus establerts en aquesta Ordre podran ser revisats per resoluci\u00f3 de la persona titular de la Direcci\u00f3 Ger\u00e8ncia de l'Institut Catal\u00e0 de la Salut i que en cas que durant la vig\u00e8ncia d'aquesta Ordre aparegui una nova prestaci\u00f3 sanit\u00e0ria, una nova prova diagn\u00f2stica o un nou tractament, o b\u00e9 si es realitza alguna prestaci\u00f3 no inclosa en les relacions que figuren en l'annex II, s'ha d'aplicar com a preu el d'una prestaci\u00f3 an\u00e0loga que figuri en l'esmentat annex II. En cas que no es pugui establir cap analogia, el preu s'ha de determinar a partir de l'estimaci\u00f3 del seu cost per al conjunt de centres de l'Institut Catal\u00e0 de la Salut, o b\u00e9 s'ha d'emprar un altre preu p\u00fablic de refer\u00e8ncia i que els nous preus han de ser aprovats per l'\u00f2rgan competent de l'Institut Catal\u00e0 de la Salut. El director gerent de l'Institut Catal\u00e0 de la Salut \u00e9s l'\u00f2rgan de direcci\u00f3 de l'Institut competent a determinar el previst en el par\u00e0graf segon d'aquesta Ordre d'acord amb l'article 10 de la Llei 8/2007, de 30 de juliol, de l'Institut Catal\u00e0 de la Salut (DOGC n\u00fam. 4940, de 3.8.2007). Ateses tant l'evoluci\u00f3 de les despeses en la prestaci\u00f3 dels seus serveis sanitaris p\u00fablics, com l'aparici\u00f3 de noves prestacions sanit\u00e0ries no previstes en l'Ordre de 2 de juny de 2020, es fa necess\u00e0ria la seva actualitzaci\u00f3.", "author" : [ { "dropping-particle" : "", "family" : "Departament de Salut", "given" : "", "non-dropping-particle" : "", "parse-names" : false, "suffix" : "" } ], "container-title" : "Diari Oficial de la Generalitat de Catalunya", "id" : "ITEM-1", "issued" : { "date-parts" : [ [ "2023" ] ] }, "page" : "1-199", "title" : "RESOLUCI\u00d3 SLT/4326/2023, de 20 de desembre, sobre la revisi\u00f3 de preus p\u00fablics corresponents als serveis sanitaris que presta l'Institut Catal\u00e0 de la Salut.", "type" : "article-journal", "volume" : "9067" }, "uris" : [ "http://www.mendeley.com/documents/?uuid=665e8748-5d66-40d7-aa6a-eeec5ced2afc" ] } ], "mendeley" : { "formattedCitation" : "&lt;sup&gt;1&lt;/sup&gt;", "plainTextFormattedCitation" : "1", "previouslyFormattedCitation" : "&lt;sup&gt;1&lt;/sup&gt;" }, "properties" : {  }, "schema" : "https://github.com/citation-style-language/schema/raw/master/csl-citation.json" }</w:instrText>
      </w:r>
      <w:r w:rsidR="005B1DBA" w:rsidRPr="0050026C">
        <w:rPr>
          <w:rFonts w:ascii="Times New Roman" w:hAnsi="Times New Roman" w:cs="Times New Roman"/>
          <w:sz w:val="24"/>
          <w:szCs w:val="24"/>
          <w:lang w:val="en-GB"/>
        </w:rPr>
        <w:fldChar w:fldCharType="separate"/>
      </w:r>
      <w:r w:rsidR="005B1DBA" w:rsidRPr="0050026C">
        <w:rPr>
          <w:rFonts w:ascii="Times New Roman" w:hAnsi="Times New Roman" w:cs="Times New Roman"/>
          <w:noProof/>
          <w:sz w:val="24"/>
          <w:szCs w:val="24"/>
          <w:vertAlign w:val="superscript"/>
          <w:lang w:val="en-GB"/>
        </w:rPr>
        <w:t>1</w:t>
      </w:r>
      <w:r w:rsidR="005B1DBA" w:rsidRPr="0050026C">
        <w:rPr>
          <w:rFonts w:ascii="Times New Roman" w:hAnsi="Times New Roman" w:cs="Times New Roman"/>
          <w:sz w:val="24"/>
          <w:szCs w:val="24"/>
          <w:lang w:val="en-GB"/>
        </w:rPr>
        <w:fldChar w:fldCharType="end"/>
      </w:r>
      <w:r w:rsidRPr="0050026C">
        <w:rPr>
          <w:rFonts w:ascii="Times New Roman" w:hAnsi="Times New Roman" w:cs="Times New Roman"/>
          <w:sz w:val="24"/>
          <w:szCs w:val="24"/>
          <w:lang w:val="en-GB"/>
        </w:rPr>
        <w:t>.</w:t>
      </w:r>
      <w:r w:rsidR="005B1DBA" w:rsidRPr="0050026C">
        <w:rPr>
          <w:rFonts w:ascii="Times New Roman" w:hAnsi="Times New Roman" w:cs="Times New Roman"/>
          <w:sz w:val="24"/>
          <w:szCs w:val="24"/>
          <w:lang w:val="en-GB"/>
        </w:rPr>
        <w:t xml:space="preserve"> </w:t>
      </w:r>
    </w:p>
    <w:p w14:paraId="5FD85501" w14:textId="6ED55913"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 xml:space="preserve">GP and nurse visit costs varied based on location (PC </w:t>
      </w:r>
      <w:r w:rsidR="0050026C" w:rsidRPr="0050026C">
        <w:rPr>
          <w:rFonts w:ascii="Times New Roman" w:hAnsi="Times New Roman" w:cs="Times New Roman"/>
          <w:sz w:val="24"/>
          <w:szCs w:val="24"/>
          <w:lang w:val="en-GB"/>
        </w:rPr>
        <w:t>centres</w:t>
      </w:r>
      <w:r w:rsidRPr="0050026C">
        <w:rPr>
          <w:rFonts w:ascii="Times New Roman" w:hAnsi="Times New Roman" w:cs="Times New Roman"/>
          <w:sz w:val="24"/>
          <w:szCs w:val="24"/>
          <w:lang w:val="en-GB"/>
        </w:rPr>
        <w:t xml:space="preserve"> vs. home visits) and whether the visit was scheduled or urgent. </w:t>
      </w:r>
      <w:r w:rsidR="0050026C" w:rsidRPr="0050026C">
        <w:rPr>
          <w:rFonts w:ascii="Times New Roman" w:hAnsi="Times New Roman" w:cs="Times New Roman"/>
          <w:sz w:val="24"/>
          <w:szCs w:val="24"/>
          <w:lang w:val="en-GB"/>
        </w:rPr>
        <w:t>Paediatricians</w:t>
      </w:r>
      <w:r w:rsidRPr="0050026C">
        <w:rPr>
          <w:rFonts w:ascii="Times New Roman" w:hAnsi="Times New Roman" w:cs="Times New Roman"/>
          <w:sz w:val="24"/>
          <w:szCs w:val="24"/>
          <w:lang w:val="en-GB"/>
        </w:rPr>
        <w:t xml:space="preserve"> and resident physicians were classified under GP tariffs, while nurse and midwife visits fell under nurse tariffs.</w:t>
      </w:r>
    </w:p>
    <w:p w14:paraId="430CAFA9" w14:textId="77777777"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Speech therapy tariffs were based on visit complexity, with separate rates for in-person and hybrid sessions. Since no in-person visits were recorded, the average cost of hybrid therapy across all three complexity levels was applied.</w:t>
      </w:r>
    </w:p>
    <w:p w14:paraId="36D8C350" w14:textId="77777777"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Physical rehabilitation had three separate tariffs depending on the setting: PC, hospital, or home care.</w:t>
      </w:r>
    </w:p>
    <w:p w14:paraId="37804FD5" w14:textId="77777777"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A general PC service tariff was applied to psychology, podiatry, PC assistant, and social worker visits.</w:t>
      </w:r>
    </w:p>
    <w:p w14:paraId="5EAD8DC1" w14:textId="77777777"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The cost of optical biometry was used as a proxy for optometry visits, as it is the most frequently performed test in these cases.</w:t>
      </w:r>
    </w:p>
    <w:p w14:paraId="5B6AF519" w14:textId="77777777"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Laboratory test costs included both blood extraction and analysis tariffs.</w:t>
      </w:r>
    </w:p>
    <w:p w14:paraId="7237E6A9" w14:textId="77777777" w:rsidR="009C0854" w:rsidRPr="0050026C" w:rsidRDefault="009C0854" w:rsidP="008E56E2">
      <w:pPr>
        <w:ind w:firstLine="708"/>
        <w:rPr>
          <w:rFonts w:ascii="Times New Roman" w:hAnsi="Times New Roman" w:cs="Times New Roman"/>
          <w:i/>
          <w:iCs/>
          <w:sz w:val="24"/>
          <w:szCs w:val="24"/>
          <w:lang w:val="en-GB"/>
        </w:rPr>
      </w:pPr>
      <w:r w:rsidRPr="0050026C">
        <w:rPr>
          <w:rFonts w:ascii="Times New Roman" w:hAnsi="Times New Roman" w:cs="Times New Roman"/>
          <w:i/>
          <w:iCs/>
          <w:sz w:val="24"/>
          <w:szCs w:val="24"/>
          <w:lang w:val="en-GB"/>
        </w:rPr>
        <w:t>Specialized Care</w:t>
      </w:r>
    </w:p>
    <w:p w14:paraId="30F1ABEC" w14:textId="5CE645E5"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For the costing of SC visits, two tariffs were applied—one for the initial visit and another for follow-up visits—following the tariffs published in RESOLUCIÓ SLT/4326/2023</w:t>
      </w:r>
      <w:r w:rsidR="008E56E2" w:rsidRPr="0050026C">
        <w:rPr>
          <w:rFonts w:ascii="Times New Roman" w:hAnsi="Times New Roman" w:cs="Times New Roman"/>
          <w:sz w:val="24"/>
          <w:szCs w:val="24"/>
          <w:lang w:val="en-GB"/>
        </w:rPr>
        <w:fldChar w:fldCharType="begin" w:fldLock="1"/>
      </w:r>
      <w:r w:rsidR="008E56E2" w:rsidRPr="0050026C">
        <w:rPr>
          <w:rFonts w:ascii="Times New Roman" w:hAnsi="Times New Roman" w:cs="Times New Roman"/>
          <w:sz w:val="24"/>
          <w:szCs w:val="24"/>
          <w:lang w:val="en-GB"/>
        </w:rPr>
        <w:instrText>ADDIN CSL_CITATION { "citationItems" : [ { "id" : "ITEM-1", "itemData" : { "ISSN" : "1988-298X", "abstract" : "Mitjan\u00e7ant l'Ordre SLT/71/2020, de 2 de juny, per la qual es regulen els sup\u00f2sits i conceptes facturables i s'aproven els preus p\u00fablics corresponents als serveis que presta l'Institut Catal\u00e0 de la Salut (DOGC n\u00fam. 8153, de 12.6.2022) i les posteriors resolucions SLT/474/2022 (DOGC n\u00fam. 8617 de 2.3.2022) i SLT/3911/2022 (DOGC n\u00fam. 8816, de 20.12.2022) es van aprovar els preus p\u00fablics dels serveis sanitaris prestats per l'Institut Catal\u00e0 de la Salut a les persones usu\u00e0ries no cobertes pel sistema sanitari p\u00fablic, per a quan hi hagu\u00e9s una entitat obligada al pagament de les despeses pr\u00f2pies de la seva atenci\u00f3 sanit\u00e0ria i per a quan hi hagu\u00e9s, d'acord amb l'ordenament jur\u00eddic vigent, qualsevol altra persona f\u00edsica o jur\u00eddica obligada a aquest pagament. L'article 5 i la disposici\u00f3 addicional \u00fanica de l'Ordre de 2 de juny de 2020 estableixen que els preus establerts en aquesta Ordre podran ser revisats per resoluci\u00f3 de la persona titular de la Direcci\u00f3 Ger\u00e8ncia de l'Institut Catal\u00e0 de la Salut i que en cas que durant la vig\u00e8ncia d'aquesta Ordre aparegui una nova prestaci\u00f3 sanit\u00e0ria, una nova prova diagn\u00f2stica o un nou tractament, o b\u00e9 si es realitza alguna prestaci\u00f3 no inclosa en les relacions que figuren en l'annex II, s'ha d'aplicar com a preu el d'una prestaci\u00f3 an\u00e0loga que figuri en l'esmentat annex II. En cas que no es pugui establir cap analogia, el preu s'ha de determinar a partir de l'estimaci\u00f3 del seu cost per al conjunt de centres de l'Institut Catal\u00e0 de la Salut, o b\u00e9 s'ha d'emprar un altre preu p\u00fablic de refer\u00e8ncia i que els nous preus han de ser aprovats per l'\u00f2rgan competent de l'Institut Catal\u00e0 de la Salut. El director gerent de l'Institut Catal\u00e0 de la Salut \u00e9s l'\u00f2rgan de direcci\u00f3 de l'Institut competent a determinar el previst en el par\u00e0graf segon d'aquesta Ordre d'acord amb l'article 10 de la Llei 8/2007, de 30 de juliol, de l'Institut Catal\u00e0 de la Salut (DOGC n\u00fam. 4940, de 3.8.2007). Ateses tant l'evoluci\u00f3 de les despeses en la prestaci\u00f3 dels seus serveis sanitaris p\u00fablics, com l'aparici\u00f3 de noves prestacions sanit\u00e0ries no previstes en l'Ordre de 2 de juny de 2020, es fa necess\u00e0ria la seva actualitzaci\u00f3.", "author" : [ { "dropping-particle" : "", "family" : "Departament de Salut", "given" : "", "non-dropping-particle" : "", "parse-names" : false, "suffix" : "" } ], "container-title" : "Diari Oficial de la Generalitat de Catalunya", "id" : "ITEM-1", "issued" : { "date-parts" : [ [ "2023" ] ] }, "page" : "1-199", "title" : "RESOLUCI\u00d3 SLT/4326/2023, de 20 de desembre, sobre la revisi\u00f3 de preus p\u00fablics corresponents als serveis sanitaris que presta l'Institut Catal\u00e0 de la Salut.", "type" : "article-journal", "volume" : "9067" }, "uris" : [ "http://www.mendeley.com/documents/?uuid=665e8748-5d66-40d7-aa6a-eeec5ced2afc" ] } ], "mendeley" : { "formattedCitation" : "&lt;sup&gt;1&lt;/sup&gt;", "plainTextFormattedCitation" : "1", "previouslyFormattedCitation" : "&lt;sup&gt;1&lt;/sup&gt;" }, "properties" : {  }, "schema" : "https://github.com/citation-style-language/schema/raw/master/csl-citation.json" }</w:instrText>
      </w:r>
      <w:r w:rsidR="008E56E2" w:rsidRPr="0050026C">
        <w:rPr>
          <w:rFonts w:ascii="Times New Roman" w:hAnsi="Times New Roman" w:cs="Times New Roman"/>
          <w:sz w:val="24"/>
          <w:szCs w:val="24"/>
          <w:lang w:val="en-GB"/>
        </w:rPr>
        <w:fldChar w:fldCharType="separate"/>
      </w:r>
      <w:r w:rsidR="008E56E2" w:rsidRPr="0050026C">
        <w:rPr>
          <w:rFonts w:ascii="Times New Roman" w:hAnsi="Times New Roman" w:cs="Times New Roman"/>
          <w:noProof/>
          <w:sz w:val="24"/>
          <w:szCs w:val="24"/>
          <w:vertAlign w:val="superscript"/>
          <w:lang w:val="en-GB"/>
        </w:rPr>
        <w:t>1</w:t>
      </w:r>
      <w:r w:rsidR="008E56E2" w:rsidRPr="0050026C">
        <w:rPr>
          <w:rFonts w:ascii="Times New Roman" w:hAnsi="Times New Roman" w:cs="Times New Roman"/>
          <w:sz w:val="24"/>
          <w:szCs w:val="24"/>
          <w:lang w:val="en-GB"/>
        </w:rPr>
        <w:fldChar w:fldCharType="end"/>
      </w:r>
      <w:r w:rsidRPr="0050026C">
        <w:rPr>
          <w:rFonts w:ascii="Times New Roman" w:hAnsi="Times New Roman" w:cs="Times New Roman"/>
          <w:sz w:val="24"/>
          <w:szCs w:val="24"/>
          <w:lang w:val="en-GB"/>
        </w:rPr>
        <w:t>. The application of these tariffs was aligned with the data scenarios:</w:t>
      </w:r>
    </w:p>
    <w:p w14:paraId="10174ADD" w14:textId="77777777" w:rsidR="009C0854" w:rsidRPr="0050026C" w:rsidRDefault="009C0854" w:rsidP="008E56E2">
      <w:pPr>
        <w:pStyle w:val="Prrafodelista"/>
        <w:numPr>
          <w:ilvl w:val="0"/>
          <w:numId w:val="6"/>
        </w:numPr>
        <w:rPr>
          <w:rFonts w:ascii="Times New Roman" w:hAnsi="Times New Roman" w:cs="Times New Roman"/>
          <w:sz w:val="24"/>
          <w:szCs w:val="24"/>
          <w:lang w:val="en-GB"/>
        </w:rPr>
      </w:pPr>
      <w:r w:rsidRPr="0050026C">
        <w:rPr>
          <w:rFonts w:ascii="Times New Roman" w:hAnsi="Times New Roman" w:cs="Times New Roman"/>
          <w:sz w:val="24"/>
          <w:szCs w:val="24"/>
          <w:lang w:val="en-GB"/>
        </w:rPr>
        <w:t>When both visits and referrals were recorded, the tariffs for first visits matched the number of referrals, and any excess visits registered beyond the referrals were costed as follow-up visits.</w:t>
      </w:r>
    </w:p>
    <w:p w14:paraId="542FD572" w14:textId="77777777" w:rsidR="009C0854" w:rsidRPr="0050026C" w:rsidRDefault="009C0854" w:rsidP="008E56E2">
      <w:pPr>
        <w:pStyle w:val="Prrafodelista"/>
        <w:numPr>
          <w:ilvl w:val="0"/>
          <w:numId w:val="6"/>
        </w:numPr>
        <w:rPr>
          <w:rFonts w:ascii="Times New Roman" w:hAnsi="Times New Roman" w:cs="Times New Roman"/>
          <w:sz w:val="24"/>
          <w:szCs w:val="24"/>
          <w:lang w:val="en-GB"/>
        </w:rPr>
      </w:pPr>
      <w:r w:rsidRPr="0050026C">
        <w:rPr>
          <w:rFonts w:ascii="Times New Roman" w:hAnsi="Times New Roman" w:cs="Times New Roman"/>
          <w:sz w:val="24"/>
          <w:szCs w:val="24"/>
          <w:lang w:val="en-GB"/>
        </w:rPr>
        <w:t>When referrals were present without corresponding visit records, these were considered first visits, and the appropriate tariff was applied.</w:t>
      </w:r>
    </w:p>
    <w:p w14:paraId="3F251269" w14:textId="77777777" w:rsidR="009C0854" w:rsidRPr="0050026C" w:rsidRDefault="009C0854" w:rsidP="008E56E2">
      <w:pPr>
        <w:pStyle w:val="Prrafodelista"/>
        <w:numPr>
          <w:ilvl w:val="0"/>
          <w:numId w:val="6"/>
        </w:numPr>
        <w:rPr>
          <w:rFonts w:ascii="Times New Roman" w:hAnsi="Times New Roman" w:cs="Times New Roman"/>
          <w:sz w:val="24"/>
          <w:szCs w:val="24"/>
          <w:lang w:val="en-GB"/>
        </w:rPr>
      </w:pPr>
      <w:r w:rsidRPr="0050026C">
        <w:rPr>
          <w:rFonts w:ascii="Times New Roman" w:hAnsi="Times New Roman" w:cs="Times New Roman"/>
          <w:sz w:val="24"/>
          <w:szCs w:val="24"/>
          <w:lang w:val="en-GB"/>
        </w:rPr>
        <w:lastRenderedPageBreak/>
        <w:t>When visits were recorded without accompanying referrals, if multiple visits were registered for a service, one visit was costed as a first visit and the remaining as follow-up visits.</w:t>
      </w:r>
    </w:p>
    <w:p w14:paraId="11714B3C" w14:textId="5BB32FB6"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 xml:space="preserve">Different tariffs were used for dentistry and obstetrics &amp; </w:t>
      </w:r>
      <w:r w:rsidR="0050026C" w:rsidRPr="0050026C">
        <w:rPr>
          <w:rFonts w:ascii="Times New Roman" w:hAnsi="Times New Roman" w:cs="Times New Roman"/>
          <w:sz w:val="24"/>
          <w:szCs w:val="24"/>
          <w:lang w:val="en-GB"/>
        </w:rPr>
        <w:t>gynaecology</w:t>
      </w:r>
      <w:r w:rsidRPr="0050026C">
        <w:rPr>
          <w:rFonts w:ascii="Times New Roman" w:hAnsi="Times New Roman" w:cs="Times New Roman"/>
          <w:sz w:val="24"/>
          <w:szCs w:val="24"/>
          <w:lang w:val="en-GB"/>
        </w:rPr>
        <w:t xml:space="preserve"> services provided in PC. If a referral existed without a corresponding visit record, one first visit and two follow-up visits were imputed, based on the observed pattern that, on average, patients using these services had two visits registered.</w:t>
      </w:r>
    </w:p>
    <w:p w14:paraId="4D3204FB" w14:textId="63E5BF9B" w:rsidR="009C0854" w:rsidRPr="0050026C" w:rsidRDefault="009C0854" w:rsidP="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t>Referrals to child and adolescent care teams, including neurology and psychiatry services, were accounted for using the same approach. Likewise, visits by the community palliative care team, which include several specialists, were costed using the tariff published in ORDER SLT/63/2020</w:t>
      </w:r>
      <w:r w:rsidR="008E56E2" w:rsidRPr="0050026C">
        <w:rPr>
          <w:rFonts w:ascii="Times New Roman" w:hAnsi="Times New Roman" w:cs="Times New Roman"/>
          <w:sz w:val="24"/>
          <w:szCs w:val="24"/>
          <w:lang w:val="en-GB"/>
        </w:rPr>
        <w:fldChar w:fldCharType="begin" w:fldLock="1"/>
      </w:r>
      <w:r w:rsidR="008E56E2" w:rsidRPr="0050026C">
        <w:rPr>
          <w:rFonts w:ascii="Times New Roman" w:hAnsi="Times New Roman" w:cs="Times New Roman"/>
          <w:sz w:val="24"/>
          <w:szCs w:val="24"/>
          <w:lang w:val="en-GB"/>
        </w:rPr>
        <w:instrText>ADDIN CSL_CITATION { "citationItems" : [ { "id" : "ITEM-1", "itemData" : { "abstract" : "ORDRE SLT/63/2020, de 8 de mar\u00e7, per la qual s'aproven els preus p\u00fablics del Servei Catal\u00e0 de la Salut. L'article 83 de la Llei general de sanitat estableix que no s'ha de finan\u00e7ar amb c\u00e0rrec a fons p\u00fablics del Sistema Nacional de Salut l'assist\u00e8ncia sanit\u00e0ria en els sup\u00f2sits d'assegurances obligat\u00f2ries especials i en tots els sup\u00f2sits, assegurats o no, en els quals aparegui un tercer obligat al pagament, i afegeix que les administracions que hagin at\u00e8s sanit\u00e0riament aquests usuaris tindran dret a reclamar al tercer responsable el cost dels serveis prestats. D'acord amb aix\u00f2, l'annex IX del Reial decret 1030/2006, de 15 de setembre, pel qual s'estableix la cartera de serveis comuns del Sistema Nacional de Salut i el procediment per a la seva actualitzaci\u00f3, regula l'assist\u00e8ncia sanit\u00e0ria el pagament de la qual s'ha de reclamar als tercers obligats al pagament. En la majoria dels sup\u00f2sits previstos a l'annex lX del Reial decret 1030/2006, de 15 de setembre, esmentat, el mateix centre sanitari que ha prestat l'assist\u00e8ncia sanit\u00e0ria \u00e9s el que la factura directament al tercer obligat al pagament. No obstant aix\u00f2, en alguns sup\u00f2sits, com \u00e9s el cas dels previstos als apartats 3, pel que fa a les assist\u00e8ncies prestades per compte de l'Institut Nacional de la Seguretat Social; a l'apartat 6, pel que fa als ciutadans i ciutadanes estrangers, o a l'apartat 7.c), en alguns altres sup\u00f2sits, l'assist\u00e8ncia \u00e9s finan\u00e7ada directament pel Servei Catal\u00e0 de la Salut, el qual n'ha de reclamar el cost al tercer obligat al pagament. D'altra banda, la Directiva 2011/24/UE del Parlament Europeu i del Consell, de 9 de mar\u00e7 de 2011, relativa a l'aplicaci\u00f3 dels drets dels pacients a l'assist\u00e8ncia sanit\u00e0ria transfronterera, estableix que els estats membres han de garantir l'assist\u00e8ncia sanit\u00e0ria dels ciutadans i ciutadanes en altres estats membres i, a aquest efecte, cal establir unes tarifes de reemborsament d'aquests sup\u00f2sits d'acord amb les previsions de la Directiva. Per tot el que s'ha exposat, s'havien de determinar els preus p\u00fablics que el Servei Catal\u00e0 de la Salut ha d'aplicar quan reclami del tercer responsable el cost dels serveis prestats, de conformitat amb el que preveuen l'article 83 de la Llei 14/1986, de 25 d'abril, general de sanitat, i l'annex IX del Reial decret 1030/2006, de 15 de setembre, pel qual s'estableix la cartera de serveis comuns del Sistema Nacional de Salut i el procediment per a la seva actualitzaci\u00f3. Aix\u00f2 es va fer efectiu mitjan\u00e7ant l'Ordre SLT/30/\u2026", "author" : [ { "dropping-particle" : "", "family" : "Generalitat de Catalunya", "given" : "", "non-dropping-particle" : "", "parse-names" : false, "suffix" : "" } ], "container-title" : "Diari Oficial de la Generalitat de Catalunya", "id" : "ITEM-1", "issued" : { "date-parts" : [ [ "2020" ] ] }, "page" : "1-173", "title" : "ORDRE SLT/63/2020, de 8 de mar\u00e7, per la qual s'aproven els preus p\u00fablics de Servei Catal\u00e0 de la Salut", "type" : "article-journal", "volume" : "8134" }, "uris" : [ "http://www.mendeley.com/documents/?uuid=9edcd428-6510-4226-bbc6-ee9ebde3dfd1" ] } ], "mendeley" : { "formattedCitation" : "&lt;sup&gt;2&lt;/sup&gt;", "plainTextFormattedCitation" : "2", "previouslyFormattedCitation" : "&lt;sup&gt;2&lt;/sup&gt;" }, "properties" : {  }, "schema" : "https://github.com/citation-style-language/schema/raw/master/csl-citation.json" }</w:instrText>
      </w:r>
      <w:r w:rsidR="008E56E2" w:rsidRPr="0050026C">
        <w:rPr>
          <w:rFonts w:ascii="Times New Roman" w:hAnsi="Times New Roman" w:cs="Times New Roman"/>
          <w:sz w:val="24"/>
          <w:szCs w:val="24"/>
          <w:lang w:val="en-GB"/>
        </w:rPr>
        <w:fldChar w:fldCharType="separate"/>
      </w:r>
      <w:r w:rsidR="008E56E2" w:rsidRPr="0050026C">
        <w:rPr>
          <w:rFonts w:ascii="Times New Roman" w:hAnsi="Times New Roman" w:cs="Times New Roman"/>
          <w:noProof/>
          <w:sz w:val="24"/>
          <w:szCs w:val="24"/>
          <w:vertAlign w:val="superscript"/>
          <w:lang w:val="en-GB"/>
        </w:rPr>
        <w:t>2</w:t>
      </w:r>
      <w:r w:rsidR="008E56E2" w:rsidRPr="0050026C">
        <w:rPr>
          <w:rFonts w:ascii="Times New Roman" w:hAnsi="Times New Roman" w:cs="Times New Roman"/>
          <w:sz w:val="24"/>
          <w:szCs w:val="24"/>
          <w:lang w:val="en-GB"/>
        </w:rPr>
        <w:fldChar w:fldCharType="end"/>
      </w:r>
      <w:r w:rsidR="008E56E2" w:rsidRPr="0050026C">
        <w:rPr>
          <w:rFonts w:ascii="Times New Roman" w:hAnsi="Times New Roman" w:cs="Times New Roman"/>
          <w:sz w:val="24"/>
          <w:szCs w:val="24"/>
          <w:lang w:val="en-GB"/>
        </w:rPr>
        <w:t xml:space="preserve"> </w:t>
      </w:r>
      <w:r w:rsidRPr="0050026C">
        <w:rPr>
          <w:rFonts w:ascii="Times New Roman" w:hAnsi="Times New Roman" w:cs="Times New Roman"/>
          <w:sz w:val="24"/>
          <w:szCs w:val="24"/>
          <w:lang w:val="en-GB"/>
        </w:rPr>
        <w:t>and adjusted for inflation using the CPI from March 2020 to August 2024.</w:t>
      </w:r>
    </w:p>
    <w:p w14:paraId="4A077056" w14:textId="77777777" w:rsidR="008E56E2" w:rsidRPr="0050026C" w:rsidRDefault="008E56E2" w:rsidP="008E56E2">
      <w:pPr>
        <w:ind w:firstLine="360"/>
        <w:rPr>
          <w:rFonts w:ascii="Times New Roman" w:hAnsi="Times New Roman" w:cs="Times New Roman"/>
          <w:i/>
          <w:iCs/>
          <w:sz w:val="24"/>
          <w:szCs w:val="24"/>
          <w:lang w:val="en-GB"/>
        </w:rPr>
      </w:pPr>
      <w:r w:rsidRPr="0050026C">
        <w:rPr>
          <w:rFonts w:ascii="Times New Roman" w:hAnsi="Times New Roman" w:cs="Times New Roman"/>
          <w:i/>
          <w:iCs/>
          <w:sz w:val="24"/>
          <w:szCs w:val="24"/>
          <w:lang w:val="en-GB"/>
        </w:rPr>
        <w:t>Emergency Care</w:t>
      </w:r>
    </w:p>
    <w:p w14:paraId="75E70ECD" w14:textId="3829C02D" w:rsidR="008E56E2" w:rsidRPr="0050026C" w:rsidRDefault="008E56E2" w:rsidP="008E56E2">
      <w:pPr>
        <w:rPr>
          <w:rFonts w:ascii="Times New Roman" w:hAnsi="Times New Roman" w:cs="Times New Roman"/>
          <w:sz w:val="24"/>
          <w:szCs w:val="24"/>
          <w:lang w:val="en-GB"/>
        </w:rPr>
      </w:pPr>
      <w:r w:rsidRPr="0050026C">
        <w:rPr>
          <w:rFonts w:ascii="Times New Roman" w:hAnsi="Times New Roman" w:cs="Times New Roman"/>
          <w:sz w:val="24"/>
          <w:szCs w:val="24"/>
          <w:lang w:val="en-GB"/>
        </w:rPr>
        <w:t>Tariffs for emergency visits varied according to severity and were published in RESOLUCIÓ SLT/4326/2023</w:t>
      </w:r>
      <w:r w:rsidRPr="0050026C">
        <w:rPr>
          <w:rFonts w:ascii="Times New Roman" w:hAnsi="Times New Roman" w:cs="Times New Roman"/>
          <w:sz w:val="24"/>
          <w:szCs w:val="24"/>
          <w:lang w:val="en-GB"/>
        </w:rPr>
        <w:fldChar w:fldCharType="begin" w:fldLock="1"/>
      </w:r>
      <w:r w:rsidRPr="0050026C">
        <w:rPr>
          <w:rFonts w:ascii="Times New Roman" w:hAnsi="Times New Roman" w:cs="Times New Roman"/>
          <w:sz w:val="24"/>
          <w:szCs w:val="24"/>
          <w:lang w:val="en-GB"/>
        </w:rPr>
        <w:instrText>ADDIN CSL_CITATION { "citationItems" : [ { "id" : "ITEM-1", "itemData" : { "ISSN" : "1988-298X", "abstract" : "Mitjan\u00e7ant l'Ordre SLT/71/2020, de 2 de juny, per la qual es regulen els sup\u00f2sits i conceptes facturables i s'aproven els preus p\u00fablics corresponents als serveis que presta l'Institut Catal\u00e0 de la Salut (DOGC n\u00fam. 8153, de 12.6.2022) i les posteriors resolucions SLT/474/2022 (DOGC n\u00fam. 8617 de 2.3.2022) i SLT/3911/2022 (DOGC n\u00fam. 8816, de 20.12.2022) es van aprovar els preus p\u00fablics dels serveis sanitaris prestats per l'Institut Catal\u00e0 de la Salut a les persones usu\u00e0ries no cobertes pel sistema sanitari p\u00fablic, per a quan hi hagu\u00e9s una entitat obligada al pagament de les despeses pr\u00f2pies de la seva atenci\u00f3 sanit\u00e0ria i per a quan hi hagu\u00e9s, d'acord amb l'ordenament jur\u00eddic vigent, qualsevol altra persona f\u00edsica o jur\u00eddica obligada a aquest pagament. L'article 5 i la disposici\u00f3 addicional \u00fanica de l'Ordre de 2 de juny de 2020 estableixen que els preus establerts en aquesta Ordre podran ser revisats per resoluci\u00f3 de la persona titular de la Direcci\u00f3 Ger\u00e8ncia de l'Institut Catal\u00e0 de la Salut i que en cas que durant la vig\u00e8ncia d'aquesta Ordre aparegui una nova prestaci\u00f3 sanit\u00e0ria, una nova prova diagn\u00f2stica o un nou tractament, o b\u00e9 si es realitza alguna prestaci\u00f3 no inclosa en les relacions que figuren en l'annex II, s'ha d'aplicar com a preu el d'una prestaci\u00f3 an\u00e0loga que figuri en l'esmentat annex II. En cas que no es pugui establir cap analogia, el preu s'ha de determinar a partir de l'estimaci\u00f3 del seu cost per al conjunt de centres de l'Institut Catal\u00e0 de la Salut, o b\u00e9 s'ha d'emprar un altre preu p\u00fablic de refer\u00e8ncia i que els nous preus han de ser aprovats per l'\u00f2rgan competent de l'Institut Catal\u00e0 de la Salut. El director gerent de l'Institut Catal\u00e0 de la Salut \u00e9s l'\u00f2rgan de direcci\u00f3 de l'Institut competent a determinar el previst en el par\u00e0graf segon d'aquesta Ordre d'acord amb l'article 10 de la Llei 8/2007, de 30 de juliol, de l'Institut Catal\u00e0 de la Salut (DOGC n\u00fam. 4940, de 3.8.2007). Ateses tant l'evoluci\u00f3 de les despeses en la prestaci\u00f3 dels seus serveis sanitaris p\u00fablics, com l'aparici\u00f3 de noves prestacions sanit\u00e0ries no previstes en l'Ordre de 2 de juny de 2020, es fa necess\u00e0ria la seva actualitzaci\u00f3.", "author" : [ { "dropping-particle" : "", "family" : "Departament de Salut", "given" : "", "non-dropping-particle" : "", "parse-names" : false, "suffix" : "" } ], "container-title" : "Diari Oficial de la Generalitat de Catalunya", "id" : "ITEM-1", "issued" : { "date-parts" : [ [ "2023" ] ] }, "page" : "1-199", "title" : "RESOLUCI\u00d3 SLT/4326/2023, de 20 de desembre, sobre la revisi\u00f3 de preus p\u00fablics corresponents als serveis sanitaris que presta l'Institut Catal\u00e0 de la Salut.", "type" : "article-journal", "volume" : "9067" }, "uris" : [ "http://www.mendeley.com/documents/?uuid=665e8748-5d66-40d7-aa6a-eeec5ced2afc" ] } ], "mendeley" : { "formattedCitation" : "&lt;sup&gt;1&lt;/sup&gt;", "plainTextFormattedCitation" : "1", "previouslyFormattedCitation" : "&lt;sup&gt;1&lt;/sup&gt;" }, "properties" : {  }, "schema" : "https://github.com/citation-style-language/schema/raw/master/csl-citation.json" }</w:instrText>
      </w:r>
      <w:r w:rsidRPr="0050026C">
        <w:rPr>
          <w:rFonts w:ascii="Times New Roman" w:hAnsi="Times New Roman" w:cs="Times New Roman"/>
          <w:sz w:val="24"/>
          <w:szCs w:val="24"/>
          <w:lang w:val="en-GB"/>
        </w:rPr>
        <w:fldChar w:fldCharType="separate"/>
      </w:r>
      <w:r w:rsidRPr="0050026C">
        <w:rPr>
          <w:rFonts w:ascii="Times New Roman" w:hAnsi="Times New Roman" w:cs="Times New Roman"/>
          <w:noProof/>
          <w:sz w:val="24"/>
          <w:szCs w:val="24"/>
          <w:vertAlign w:val="superscript"/>
          <w:lang w:val="en-GB"/>
        </w:rPr>
        <w:t>1</w:t>
      </w:r>
      <w:r w:rsidRPr="0050026C">
        <w:rPr>
          <w:rFonts w:ascii="Times New Roman" w:hAnsi="Times New Roman" w:cs="Times New Roman"/>
          <w:sz w:val="24"/>
          <w:szCs w:val="24"/>
          <w:lang w:val="en-GB"/>
        </w:rPr>
        <w:fldChar w:fldCharType="end"/>
      </w:r>
      <w:r w:rsidRPr="0050026C">
        <w:rPr>
          <w:rFonts w:ascii="Times New Roman" w:hAnsi="Times New Roman" w:cs="Times New Roman"/>
          <w:sz w:val="24"/>
          <w:szCs w:val="24"/>
          <w:lang w:val="en-GB"/>
        </w:rPr>
        <w:t xml:space="preserve">. PC urgent care </w:t>
      </w:r>
      <w:r w:rsidR="0050026C" w:rsidRPr="0050026C">
        <w:rPr>
          <w:rFonts w:ascii="Times New Roman" w:hAnsi="Times New Roman" w:cs="Times New Roman"/>
          <w:sz w:val="24"/>
          <w:szCs w:val="24"/>
          <w:lang w:val="en-GB"/>
        </w:rPr>
        <w:t>centres</w:t>
      </w:r>
      <w:r w:rsidRPr="0050026C">
        <w:rPr>
          <w:rFonts w:ascii="Times New Roman" w:hAnsi="Times New Roman" w:cs="Times New Roman"/>
          <w:sz w:val="24"/>
          <w:szCs w:val="24"/>
          <w:lang w:val="en-GB"/>
        </w:rPr>
        <w:t xml:space="preserve"> had different tariffs depending on whether the visit included an observation stay. Hospital emergency visits were classified according to hospital triage. As our database did not include visit details, costs were allocated by calculating the average tariff for PC emergency visits and the average tariff for hospital emergency visits.</w:t>
      </w:r>
    </w:p>
    <w:p w14:paraId="120CE988" w14:textId="77777777" w:rsidR="008E56E2" w:rsidRPr="0050026C" w:rsidRDefault="008E56E2" w:rsidP="008E56E2">
      <w:pPr>
        <w:ind w:firstLine="360"/>
        <w:rPr>
          <w:rFonts w:ascii="Times New Roman" w:hAnsi="Times New Roman" w:cs="Times New Roman"/>
          <w:i/>
          <w:iCs/>
          <w:sz w:val="24"/>
          <w:szCs w:val="24"/>
          <w:lang w:val="en-GB"/>
        </w:rPr>
      </w:pPr>
      <w:r w:rsidRPr="0050026C">
        <w:rPr>
          <w:rFonts w:ascii="Times New Roman" w:hAnsi="Times New Roman" w:cs="Times New Roman"/>
          <w:i/>
          <w:iCs/>
          <w:sz w:val="24"/>
          <w:szCs w:val="24"/>
          <w:lang w:val="en-GB"/>
        </w:rPr>
        <w:t>Hospital Stays</w:t>
      </w:r>
    </w:p>
    <w:p w14:paraId="69810E36" w14:textId="03F9AA3F" w:rsidR="008E56E2" w:rsidRPr="0050026C" w:rsidRDefault="008E56E2" w:rsidP="008E56E2">
      <w:pPr>
        <w:rPr>
          <w:rFonts w:ascii="Times New Roman" w:hAnsi="Times New Roman" w:cs="Times New Roman"/>
          <w:sz w:val="24"/>
          <w:szCs w:val="24"/>
          <w:lang w:val="en-GB"/>
        </w:rPr>
      </w:pPr>
      <w:r w:rsidRPr="0050026C">
        <w:rPr>
          <w:rFonts w:ascii="Times New Roman" w:hAnsi="Times New Roman" w:cs="Times New Roman"/>
          <w:sz w:val="24"/>
          <w:szCs w:val="24"/>
          <w:lang w:val="en-GB"/>
        </w:rPr>
        <w:t>Tariffs were published for all types of stays except general ward admissions. Tariffs for day surgery, day hospital stays, and stays in intermediate care facilities were obtained from RESOLUCIÓ SLT/4326/2023</w:t>
      </w:r>
      <w:r w:rsidRPr="0050026C">
        <w:rPr>
          <w:rFonts w:ascii="Times New Roman" w:hAnsi="Times New Roman" w:cs="Times New Roman"/>
          <w:sz w:val="24"/>
          <w:szCs w:val="24"/>
          <w:lang w:val="en-GB"/>
        </w:rPr>
        <w:fldChar w:fldCharType="begin" w:fldLock="1"/>
      </w:r>
      <w:r w:rsidRPr="0050026C">
        <w:rPr>
          <w:rFonts w:ascii="Times New Roman" w:hAnsi="Times New Roman" w:cs="Times New Roman"/>
          <w:sz w:val="24"/>
          <w:szCs w:val="24"/>
          <w:lang w:val="en-GB"/>
        </w:rPr>
        <w:instrText>ADDIN CSL_CITATION { "citationItems" : [ { "id" : "ITEM-1", "itemData" : { "ISSN" : "1988-298X", "abstract" : "Mitjan\u00e7ant l'Ordre SLT/71/2020, de 2 de juny, per la qual es regulen els sup\u00f2sits i conceptes facturables i s'aproven els preus p\u00fablics corresponents als serveis que presta l'Institut Catal\u00e0 de la Salut (DOGC n\u00fam. 8153, de 12.6.2022) i les posteriors resolucions SLT/474/2022 (DOGC n\u00fam. 8617 de 2.3.2022) i SLT/3911/2022 (DOGC n\u00fam. 8816, de 20.12.2022) es van aprovar els preus p\u00fablics dels serveis sanitaris prestats per l'Institut Catal\u00e0 de la Salut a les persones usu\u00e0ries no cobertes pel sistema sanitari p\u00fablic, per a quan hi hagu\u00e9s una entitat obligada al pagament de les despeses pr\u00f2pies de la seva atenci\u00f3 sanit\u00e0ria i per a quan hi hagu\u00e9s, d'acord amb l'ordenament jur\u00eddic vigent, qualsevol altra persona f\u00edsica o jur\u00eddica obligada a aquest pagament. L'article 5 i la disposici\u00f3 addicional \u00fanica de l'Ordre de 2 de juny de 2020 estableixen que els preus establerts en aquesta Ordre podran ser revisats per resoluci\u00f3 de la persona titular de la Direcci\u00f3 Ger\u00e8ncia de l'Institut Catal\u00e0 de la Salut i que en cas que durant la vig\u00e8ncia d'aquesta Ordre aparegui una nova prestaci\u00f3 sanit\u00e0ria, una nova prova diagn\u00f2stica o un nou tractament, o b\u00e9 si es realitza alguna prestaci\u00f3 no inclosa en les relacions que figuren en l'annex II, s'ha d'aplicar com a preu el d'una prestaci\u00f3 an\u00e0loga que figuri en l'esmentat annex II. En cas que no es pugui establir cap analogia, el preu s'ha de determinar a partir de l'estimaci\u00f3 del seu cost per al conjunt de centres de l'Institut Catal\u00e0 de la Salut, o b\u00e9 s'ha d'emprar un altre preu p\u00fablic de refer\u00e8ncia i que els nous preus han de ser aprovats per l'\u00f2rgan competent de l'Institut Catal\u00e0 de la Salut. El director gerent de l'Institut Catal\u00e0 de la Salut \u00e9s l'\u00f2rgan de direcci\u00f3 de l'Institut competent a determinar el previst en el par\u00e0graf segon d'aquesta Ordre d'acord amb l'article 10 de la Llei 8/2007, de 30 de juliol, de l'Institut Catal\u00e0 de la Salut (DOGC n\u00fam. 4940, de 3.8.2007). Ateses tant l'evoluci\u00f3 de les despeses en la prestaci\u00f3 dels seus serveis sanitaris p\u00fablics, com l'aparici\u00f3 de noves prestacions sanit\u00e0ries no previstes en l'Ordre de 2 de juny de 2020, es fa necess\u00e0ria la seva actualitzaci\u00f3.", "author" : [ { "dropping-particle" : "", "family" : "Departament de Salut", "given" : "", "non-dropping-particle" : "", "parse-names" : false, "suffix" : "" } ], "container-title" : "Diari Oficial de la Generalitat de Catalunya", "id" : "ITEM-1", "issued" : { "date-parts" : [ [ "2023" ] ] }, "page" : "1-199", "title" : "RESOLUCI\u00d3 SLT/4326/2023, de 20 de desembre, sobre la revisi\u00f3 de preus p\u00fablics corresponents als serveis sanitaris que presta l'Institut Catal\u00e0 de la Salut.", "type" : "article-journal", "volume" : "9067" }, "uris" : [ "http://www.mendeley.com/documents/?uuid=665e8748-5d66-40d7-aa6a-eeec5ced2afc" ] } ], "mendeley" : { "formattedCitation" : "&lt;sup&gt;1&lt;/sup&gt;", "plainTextFormattedCitation" : "1", "previouslyFormattedCitation" : "&lt;sup&gt;1&lt;/sup&gt;" }, "properties" : {  }, "schema" : "https://github.com/citation-style-language/schema/raw/master/csl-citation.json" }</w:instrText>
      </w:r>
      <w:r w:rsidRPr="0050026C">
        <w:rPr>
          <w:rFonts w:ascii="Times New Roman" w:hAnsi="Times New Roman" w:cs="Times New Roman"/>
          <w:sz w:val="24"/>
          <w:szCs w:val="24"/>
          <w:lang w:val="en-GB"/>
        </w:rPr>
        <w:fldChar w:fldCharType="separate"/>
      </w:r>
      <w:r w:rsidRPr="0050026C">
        <w:rPr>
          <w:rFonts w:ascii="Times New Roman" w:hAnsi="Times New Roman" w:cs="Times New Roman"/>
          <w:noProof/>
          <w:sz w:val="24"/>
          <w:szCs w:val="24"/>
          <w:vertAlign w:val="superscript"/>
          <w:lang w:val="en-GB"/>
        </w:rPr>
        <w:t>1</w:t>
      </w:r>
      <w:r w:rsidRPr="0050026C">
        <w:rPr>
          <w:rFonts w:ascii="Times New Roman" w:hAnsi="Times New Roman" w:cs="Times New Roman"/>
          <w:sz w:val="24"/>
          <w:szCs w:val="24"/>
          <w:lang w:val="en-GB"/>
        </w:rPr>
        <w:fldChar w:fldCharType="end"/>
      </w:r>
      <w:r w:rsidRPr="0050026C">
        <w:rPr>
          <w:rFonts w:ascii="Times New Roman" w:hAnsi="Times New Roman" w:cs="Times New Roman"/>
          <w:sz w:val="24"/>
          <w:szCs w:val="24"/>
          <w:lang w:val="en-GB"/>
        </w:rPr>
        <w:t xml:space="preserve">, while tariffs for ICU stays and inpatient stays in mental health </w:t>
      </w:r>
      <w:r w:rsidR="0050026C" w:rsidRPr="0050026C">
        <w:rPr>
          <w:rFonts w:ascii="Times New Roman" w:hAnsi="Times New Roman" w:cs="Times New Roman"/>
          <w:sz w:val="24"/>
          <w:szCs w:val="24"/>
          <w:lang w:val="en-GB"/>
        </w:rPr>
        <w:t>centres</w:t>
      </w:r>
      <w:r w:rsidRPr="0050026C">
        <w:rPr>
          <w:rFonts w:ascii="Times New Roman" w:hAnsi="Times New Roman" w:cs="Times New Roman"/>
          <w:sz w:val="24"/>
          <w:szCs w:val="24"/>
          <w:lang w:val="en-GB"/>
        </w:rPr>
        <w:t xml:space="preserve"> were sourced from ORDER SLT/63/2020</w:t>
      </w:r>
      <w:r w:rsidRPr="0050026C">
        <w:rPr>
          <w:rFonts w:ascii="Times New Roman" w:hAnsi="Times New Roman" w:cs="Times New Roman"/>
          <w:sz w:val="24"/>
          <w:szCs w:val="24"/>
          <w:lang w:val="en-GB"/>
        </w:rPr>
        <w:fldChar w:fldCharType="begin" w:fldLock="1"/>
      </w:r>
      <w:r w:rsidRPr="0050026C">
        <w:rPr>
          <w:rFonts w:ascii="Times New Roman" w:hAnsi="Times New Roman" w:cs="Times New Roman"/>
          <w:sz w:val="24"/>
          <w:szCs w:val="24"/>
          <w:lang w:val="en-GB"/>
        </w:rPr>
        <w:instrText>ADDIN CSL_CITATION { "citationItems" : [ { "id" : "ITEM-1", "itemData" : { "abstract" : "ORDRE SLT/63/2020, de 8 de mar\u00e7, per la qual s'aproven els preus p\u00fablics del Servei Catal\u00e0 de la Salut. L'article 83 de la Llei general de sanitat estableix que no s'ha de finan\u00e7ar amb c\u00e0rrec a fons p\u00fablics del Sistema Nacional de Salut l'assist\u00e8ncia sanit\u00e0ria en els sup\u00f2sits d'assegurances obligat\u00f2ries especials i en tots els sup\u00f2sits, assegurats o no, en els quals aparegui un tercer obligat al pagament, i afegeix que les administracions que hagin at\u00e8s sanit\u00e0riament aquests usuaris tindran dret a reclamar al tercer responsable el cost dels serveis prestats. D'acord amb aix\u00f2, l'annex IX del Reial decret 1030/2006, de 15 de setembre, pel qual s'estableix la cartera de serveis comuns del Sistema Nacional de Salut i el procediment per a la seva actualitzaci\u00f3, regula l'assist\u00e8ncia sanit\u00e0ria el pagament de la qual s'ha de reclamar als tercers obligats al pagament. En la majoria dels sup\u00f2sits previstos a l'annex lX del Reial decret 1030/2006, de 15 de setembre, esmentat, el mateix centre sanitari que ha prestat l'assist\u00e8ncia sanit\u00e0ria \u00e9s el que la factura directament al tercer obligat al pagament. No obstant aix\u00f2, en alguns sup\u00f2sits, com \u00e9s el cas dels previstos als apartats 3, pel que fa a les assist\u00e8ncies prestades per compte de l'Institut Nacional de la Seguretat Social; a l'apartat 6, pel que fa als ciutadans i ciutadanes estrangers, o a l'apartat 7.c), en alguns altres sup\u00f2sits, l'assist\u00e8ncia \u00e9s finan\u00e7ada directament pel Servei Catal\u00e0 de la Salut, el qual n'ha de reclamar el cost al tercer obligat al pagament. D'altra banda, la Directiva 2011/24/UE del Parlament Europeu i del Consell, de 9 de mar\u00e7 de 2011, relativa a l'aplicaci\u00f3 dels drets dels pacients a l'assist\u00e8ncia sanit\u00e0ria transfronterera, estableix que els estats membres han de garantir l'assist\u00e8ncia sanit\u00e0ria dels ciutadans i ciutadanes en altres estats membres i, a aquest efecte, cal establir unes tarifes de reemborsament d'aquests sup\u00f2sits d'acord amb les previsions de la Directiva. Per tot el que s'ha exposat, s'havien de determinar els preus p\u00fablics que el Servei Catal\u00e0 de la Salut ha d'aplicar quan reclami del tercer responsable el cost dels serveis prestats, de conformitat amb el que preveuen l'article 83 de la Llei 14/1986, de 25 d'abril, general de sanitat, i l'annex IX del Reial decret 1030/2006, de 15 de setembre, pel qual s'estableix la cartera de serveis comuns del Sistema Nacional de Salut i el procediment per a la seva actualitzaci\u00f3. Aix\u00f2 es va fer efectiu mitjan\u00e7ant l'Ordre SLT/30/\u2026", "author" : [ { "dropping-particle" : "", "family" : "Generalitat de Catalunya", "given" : "", "non-dropping-particle" : "", "parse-names" : false, "suffix" : "" } ], "container-title" : "Diari Oficial de la Generalitat de Catalunya", "id" : "ITEM-1", "issued" : { "date-parts" : [ [ "2020" ] ] }, "page" : "1-173", "title" : "ORDRE SLT/63/2020, de 8 de mar\u00e7, per la qual s'aproven els preus p\u00fablics de Servei Catal\u00e0 de la Salut", "type" : "article-journal", "volume" : "8134" }, "uris" : [ "http://www.mendeley.com/documents/?uuid=9edcd428-6510-4226-bbc6-ee9ebde3dfd1" ] } ], "mendeley" : { "formattedCitation" : "&lt;sup&gt;2&lt;/sup&gt;", "plainTextFormattedCitation" : "2", "previouslyFormattedCitation" : "&lt;sup&gt;2&lt;/sup&gt;" }, "properties" : {  }, "schema" : "https://github.com/citation-style-language/schema/raw/master/csl-citation.json" }</w:instrText>
      </w:r>
      <w:r w:rsidRPr="0050026C">
        <w:rPr>
          <w:rFonts w:ascii="Times New Roman" w:hAnsi="Times New Roman" w:cs="Times New Roman"/>
          <w:sz w:val="24"/>
          <w:szCs w:val="24"/>
          <w:lang w:val="en-GB"/>
        </w:rPr>
        <w:fldChar w:fldCharType="separate"/>
      </w:r>
      <w:r w:rsidRPr="0050026C">
        <w:rPr>
          <w:rFonts w:ascii="Times New Roman" w:hAnsi="Times New Roman" w:cs="Times New Roman"/>
          <w:noProof/>
          <w:sz w:val="24"/>
          <w:szCs w:val="24"/>
          <w:vertAlign w:val="superscript"/>
          <w:lang w:val="en-GB"/>
        </w:rPr>
        <w:t>2</w:t>
      </w:r>
      <w:r w:rsidRPr="0050026C">
        <w:rPr>
          <w:rFonts w:ascii="Times New Roman" w:hAnsi="Times New Roman" w:cs="Times New Roman"/>
          <w:sz w:val="24"/>
          <w:szCs w:val="24"/>
          <w:lang w:val="en-GB"/>
        </w:rPr>
        <w:fldChar w:fldCharType="end"/>
      </w:r>
      <w:r w:rsidRPr="0050026C">
        <w:rPr>
          <w:rFonts w:ascii="Times New Roman" w:hAnsi="Times New Roman" w:cs="Times New Roman"/>
          <w:sz w:val="24"/>
          <w:szCs w:val="24"/>
          <w:lang w:val="en-GB"/>
        </w:rPr>
        <w:t>. The costs for general ward admissions were calculated following ORDER SLT/63/2020</w:t>
      </w:r>
      <w:r w:rsidRPr="0050026C">
        <w:rPr>
          <w:rFonts w:ascii="Times New Roman" w:hAnsi="Times New Roman" w:cs="Times New Roman"/>
          <w:sz w:val="24"/>
          <w:szCs w:val="24"/>
          <w:lang w:val="en-GB"/>
        </w:rPr>
        <w:fldChar w:fldCharType="begin" w:fldLock="1"/>
      </w:r>
      <w:r w:rsidRPr="0050026C">
        <w:rPr>
          <w:rFonts w:ascii="Times New Roman" w:hAnsi="Times New Roman" w:cs="Times New Roman"/>
          <w:sz w:val="24"/>
          <w:szCs w:val="24"/>
          <w:lang w:val="en-GB"/>
        </w:rPr>
        <w:instrText>ADDIN CSL_CITATION { "citationItems" : [ { "id" : "ITEM-1", "itemData" : { "abstract" : "ORDRE SLT/63/2020, de 8 de mar\u00e7, per la qual s'aproven els preus p\u00fablics del Servei Catal\u00e0 de la Salut. L'article 83 de la Llei general de sanitat estableix que no s'ha de finan\u00e7ar amb c\u00e0rrec a fons p\u00fablics del Sistema Nacional de Salut l'assist\u00e8ncia sanit\u00e0ria en els sup\u00f2sits d'assegurances obligat\u00f2ries especials i en tots els sup\u00f2sits, assegurats o no, en els quals aparegui un tercer obligat al pagament, i afegeix que les administracions que hagin at\u00e8s sanit\u00e0riament aquests usuaris tindran dret a reclamar al tercer responsable el cost dels serveis prestats. D'acord amb aix\u00f2, l'annex IX del Reial decret 1030/2006, de 15 de setembre, pel qual s'estableix la cartera de serveis comuns del Sistema Nacional de Salut i el procediment per a la seva actualitzaci\u00f3, regula l'assist\u00e8ncia sanit\u00e0ria el pagament de la qual s'ha de reclamar als tercers obligats al pagament. En la majoria dels sup\u00f2sits previstos a l'annex lX del Reial decret 1030/2006, de 15 de setembre, esmentat, el mateix centre sanitari que ha prestat l'assist\u00e8ncia sanit\u00e0ria \u00e9s el que la factura directament al tercer obligat al pagament. No obstant aix\u00f2, en alguns sup\u00f2sits, com \u00e9s el cas dels previstos als apartats 3, pel que fa a les assist\u00e8ncies prestades per compte de l'Institut Nacional de la Seguretat Social; a l'apartat 6, pel que fa als ciutadans i ciutadanes estrangers, o a l'apartat 7.c), en alguns altres sup\u00f2sits, l'assist\u00e8ncia \u00e9s finan\u00e7ada directament pel Servei Catal\u00e0 de la Salut, el qual n'ha de reclamar el cost al tercer obligat al pagament. D'altra banda, la Directiva 2011/24/UE del Parlament Europeu i del Consell, de 9 de mar\u00e7 de 2011, relativa a l'aplicaci\u00f3 dels drets dels pacients a l'assist\u00e8ncia sanit\u00e0ria transfronterera, estableix que els estats membres han de garantir l'assist\u00e8ncia sanit\u00e0ria dels ciutadans i ciutadanes en altres estats membres i, a aquest efecte, cal establir unes tarifes de reemborsament d'aquests sup\u00f2sits d'acord amb les previsions de la Directiva. Per tot el que s'ha exposat, s'havien de determinar els preus p\u00fablics que el Servei Catal\u00e0 de la Salut ha d'aplicar quan reclami del tercer responsable el cost dels serveis prestats, de conformitat amb el que preveuen l'article 83 de la Llei 14/1986, de 25 d'abril, general de sanitat, i l'annex IX del Reial decret 1030/2006, de 15 de setembre, pel qual s'estableix la cartera de serveis comuns del Sistema Nacional de Salut i el procediment per a la seva actualitzaci\u00f3. Aix\u00f2 es va fer efectiu mitjan\u00e7ant l'Ordre SLT/30/\u2026", "author" : [ { "dropping-particle" : "", "family" : "Generalitat de Catalunya", "given" : "", "non-dropping-particle" : "", "parse-names" : false, "suffix" : "" } ], "container-title" : "Diari Oficial de la Generalitat de Catalunya", "id" : "ITEM-1", "issued" : { "date-parts" : [ [ "2020" ] ] }, "page" : "1-173", "title" : "ORDRE SLT/63/2020, de 8 de mar\u00e7, per la qual s'aproven els preus p\u00fablics de Servei Catal\u00e0 de la Salut", "type" : "article-journal", "volume" : "8134" }, "uris" : [ "http://www.mendeley.com/documents/?uuid=9edcd428-6510-4226-bbc6-ee9ebde3dfd1" ] } ], "mendeley" : { "formattedCitation" : "&lt;sup&gt;2&lt;/sup&gt;", "plainTextFormattedCitation" : "2", "previouslyFormattedCitation" : "&lt;sup&gt;2&lt;/sup&gt;" }, "properties" : {  }, "schema" : "https://github.com/citation-style-language/schema/raw/master/csl-citation.json" }</w:instrText>
      </w:r>
      <w:r w:rsidRPr="0050026C">
        <w:rPr>
          <w:rFonts w:ascii="Times New Roman" w:hAnsi="Times New Roman" w:cs="Times New Roman"/>
          <w:sz w:val="24"/>
          <w:szCs w:val="24"/>
          <w:lang w:val="en-GB"/>
        </w:rPr>
        <w:fldChar w:fldCharType="separate"/>
      </w:r>
      <w:r w:rsidRPr="0050026C">
        <w:rPr>
          <w:rFonts w:ascii="Times New Roman" w:hAnsi="Times New Roman" w:cs="Times New Roman"/>
          <w:noProof/>
          <w:sz w:val="24"/>
          <w:szCs w:val="24"/>
          <w:vertAlign w:val="superscript"/>
          <w:lang w:val="en-GB"/>
        </w:rPr>
        <w:t>2</w:t>
      </w:r>
      <w:r w:rsidRPr="0050026C">
        <w:rPr>
          <w:rFonts w:ascii="Times New Roman" w:hAnsi="Times New Roman" w:cs="Times New Roman"/>
          <w:sz w:val="24"/>
          <w:szCs w:val="24"/>
          <w:lang w:val="en-GB"/>
        </w:rPr>
        <w:fldChar w:fldCharType="end"/>
      </w:r>
      <w:r w:rsidRPr="0050026C">
        <w:rPr>
          <w:rFonts w:ascii="Times New Roman" w:hAnsi="Times New Roman" w:cs="Times New Roman"/>
          <w:sz w:val="24"/>
          <w:szCs w:val="24"/>
          <w:lang w:val="en-GB"/>
        </w:rPr>
        <w:t>, which specifies that when Diagnosis-Related Group data is unavailable, stays are priced per day, with a higher daily rate for the first 1–5 days and a lower rate from day 6 onwards. When necessary, hospital stay tariffs were adjusted for inflation using the CPI from March 2020 to August 2024.</w:t>
      </w:r>
    </w:p>
    <w:p w14:paraId="21EF8E37" w14:textId="77777777" w:rsidR="008E56E2" w:rsidRPr="0050026C" w:rsidRDefault="008E56E2" w:rsidP="008E56E2">
      <w:pPr>
        <w:ind w:firstLine="360"/>
        <w:rPr>
          <w:rFonts w:ascii="Times New Roman" w:hAnsi="Times New Roman" w:cs="Times New Roman"/>
          <w:i/>
          <w:iCs/>
          <w:sz w:val="24"/>
          <w:szCs w:val="24"/>
          <w:lang w:val="en-GB"/>
        </w:rPr>
      </w:pPr>
      <w:r w:rsidRPr="0050026C">
        <w:rPr>
          <w:rFonts w:ascii="Times New Roman" w:hAnsi="Times New Roman" w:cs="Times New Roman"/>
          <w:i/>
          <w:iCs/>
          <w:sz w:val="24"/>
          <w:szCs w:val="24"/>
          <w:lang w:val="en-GB"/>
        </w:rPr>
        <w:t>Medical Tests</w:t>
      </w:r>
    </w:p>
    <w:p w14:paraId="0257EF11" w14:textId="640939FF" w:rsidR="008E56E2" w:rsidRPr="0050026C" w:rsidRDefault="008E56E2" w:rsidP="008E56E2">
      <w:pPr>
        <w:rPr>
          <w:rFonts w:ascii="Times New Roman" w:hAnsi="Times New Roman" w:cs="Times New Roman"/>
          <w:sz w:val="24"/>
          <w:szCs w:val="24"/>
          <w:lang w:val="en-GB"/>
        </w:rPr>
      </w:pPr>
      <w:r w:rsidRPr="0050026C">
        <w:rPr>
          <w:rFonts w:ascii="Times New Roman" w:hAnsi="Times New Roman" w:cs="Times New Roman"/>
          <w:sz w:val="24"/>
          <w:szCs w:val="24"/>
          <w:lang w:val="en-GB"/>
        </w:rPr>
        <w:t>Medical tests were grouped into categories based on the classification provided in RESOLUCIÓ SLT/4326/2023</w:t>
      </w:r>
      <w:r w:rsidRPr="0050026C">
        <w:rPr>
          <w:rFonts w:ascii="Times New Roman" w:hAnsi="Times New Roman" w:cs="Times New Roman"/>
          <w:sz w:val="24"/>
          <w:szCs w:val="24"/>
          <w:lang w:val="en-GB"/>
        </w:rPr>
        <w:fldChar w:fldCharType="begin" w:fldLock="1"/>
      </w:r>
      <w:r w:rsidRPr="0050026C">
        <w:rPr>
          <w:rFonts w:ascii="Times New Roman" w:hAnsi="Times New Roman" w:cs="Times New Roman"/>
          <w:sz w:val="24"/>
          <w:szCs w:val="24"/>
          <w:lang w:val="en-GB"/>
        </w:rPr>
        <w:instrText>ADDIN CSL_CITATION { "citationItems" : [ { "id" : "ITEM-1", "itemData" : { "ISSN" : "1988-298X", "abstract" : "Mitjan\u00e7ant l'Ordre SLT/71/2020, de 2 de juny, per la qual es regulen els sup\u00f2sits i conceptes facturables i s'aproven els preus p\u00fablics corresponents als serveis que presta l'Institut Catal\u00e0 de la Salut (DOGC n\u00fam. 8153, de 12.6.2022) i les posteriors resolucions SLT/474/2022 (DOGC n\u00fam. 8617 de 2.3.2022) i SLT/3911/2022 (DOGC n\u00fam. 8816, de 20.12.2022) es van aprovar els preus p\u00fablics dels serveis sanitaris prestats per l'Institut Catal\u00e0 de la Salut a les persones usu\u00e0ries no cobertes pel sistema sanitari p\u00fablic, per a quan hi hagu\u00e9s una entitat obligada al pagament de les despeses pr\u00f2pies de la seva atenci\u00f3 sanit\u00e0ria i per a quan hi hagu\u00e9s, d'acord amb l'ordenament jur\u00eddic vigent, qualsevol altra persona f\u00edsica o jur\u00eddica obligada a aquest pagament. L'article 5 i la disposici\u00f3 addicional \u00fanica de l'Ordre de 2 de juny de 2020 estableixen que els preus establerts en aquesta Ordre podran ser revisats per resoluci\u00f3 de la persona titular de la Direcci\u00f3 Ger\u00e8ncia de l'Institut Catal\u00e0 de la Salut i que en cas que durant la vig\u00e8ncia d'aquesta Ordre aparegui una nova prestaci\u00f3 sanit\u00e0ria, una nova prova diagn\u00f2stica o un nou tractament, o b\u00e9 si es realitza alguna prestaci\u00f3 no inclosa en les relacions que figuren en l'annex II, s'ha d'aplicar com a preu el d'una prestaci\u00f3 an\u00e0loga que figuri en l'esmentat annex II. En cas que no es pugui establir cap analogia, el preu s'ha de determinar a partir de l'estimaci\u00f3 del seu cost per al conjunt de centres de l'Institut Catal\u00e0 de la Salut, o b\u00e9 s'ha d'emprar un altre preu p\u00fablic de refer\u00e8ncia i que els nous preus han de ser aprovats per l'\u00f2rgan competent de l'Institut Catal\u00e0 de la Salut. El director gerent de l'Institut Catal\u00e0 de la Salut \u00e9s l'\u00f2rgan de direcci\u00f3 de l'Institut competent a determinar el previst en el par\u00e0graf segon d'aquesta Ordre d'acord amb l'article 10 de la Llei 8/2007, de 30 de juliol, de l'Institut Catal\u00e0 de la Salut (DOGC n\u00fam. 4940, de 3.8.2007). Ateses tant l'evoluci\u00f3 de les despeses en la prestaci\u00f3 dels seus serveis sanitaris p\u00fablics, com l'aparici\u00f3 de noves prestacions sanit\u00e0ries no previstes en l'Ordre de 2 de juny de 2020, es fa necess\u00e0ria la seva actualitzaci\u00f3.", "author" : [ { "dropping-particle" : "", "family" : "Departament de Salut", "given" : "", "non-dropping-particle" : "", "parse-names" : false, "suffix" : "" } ], "container-title" : "Diari Oficial de la Generalitat de Catalunya", "id" : "ITEM-1", "issued" : { "date-parts" : [ [ "2023" ] ] }, "page" : "1-199", "title" : "RESOLUCI\u00d3 SLT/4326/2023, de 20 de desembre, sobre la revisi\u00f3 de preus p\u00fablics corresponents als serveis sanitaris que presta l'Institut Catal\u00e0 de la Salut.", "type" : "article-journal", "volume" : "9067" }, "uris" : [ "http://www.mendeley.com/documents/?uuid=665e8748-5d66-40d7-aa6a-eeec5ced2afc" ] } ], "mendeley" : { "formattedCitation" : "&lt;sup&gt;1&lt;/sup&gt;", "plainTextFormattedCitation" : "1", "previouslyFormattedCitation" : "&lt;sup&gt;1&lt;/sup&gt;" }, "properties" : {  }, "schema" : "https://github.com/citation-style-language/schema/raw/master/csl-citation.json" }</w:instrText>
      </w:r>
      <w:r w:rsidRPr="0050026C">
        <w:rPr>
          <w:rFonts w:ascii="Times New Roman" w:hAnsi="Times New Roman" w:cs="Times New Roman"/>
          <w:sz w:val="24"/>
          <w:szCs w:val="24"/>
          <w:lang w:val="en-GB"/>
        </w:rPr>
        <w:fldChar w:fldCharType="separate"/>
      </w:r>
      <w:r w:rsidRPr="0050026C">
        <w:rPr>
          <w:rFonts w:ascii="Times New Roman" w:hAnsi="Times New Roman" w:cs="Times New Roman"/>
          <w:noProof/>
          <w:sz w:val="24"/>
          <w:szCs w:val="24"/>
          <w:vertAlign w:val="superscript"/>
          <w:lang w:val="en-GB"/>
        </w:rPr>
        <w:t>1</w:t>
      </w:r>
      <w:r w:rsidRPr="0050026C">
        <w:rPr>
          <w:rFonts w:ascii="Times New Roman" w:hAnsi="Times New Roman" w:cs="Times New Roman"/>
          <w:sz w:val="24"/>
          <w:szCs w:val="24"/>
          <w:lang w:val="en-GB"/>
        </w:rPr>
        <w:fldChar w:fldCharType="end"/>
      </w:r>
      <w:r w:rsidRPr="0050026C">
        <w:rPr>
          <w:rFonts w:ascii="Times New Roman" w:hAnsi="Times New Roman" w:cs="Times New Roman"/>
          <w:sz w:val="24"/>
          <w:szCs w:val="24"/>
          <w:lang w:val="en-GB"/>
        </w:rPr>
        <w:t>. For each category, the average tariff across all tests within the group was calculated and applied.</w:t>
      </w:r>
    </w:p>
    <w:p w14:paraId="17D5A27A" w14:textId="766AD65F" w:rsidR="009C0854" w:rsidRPr="0050026C" w:rsidRDefault="008E56E2" w:rsidP="008E56E2">
      <w:pPr>
        <w:rPr>
          <w:rFonts w:ascii="Times New Roman" w:hAnsi="Times New Roman" w:cs="Times New Roman"/>
          <w:sz w:val="24"/>
          <w:szCs w:val="24"/>
          <w:lang w:val="en-GB"/>
        </w:rPr>
      </w:pPr>
      <w:r w:rsidRPr="0050026C">
        <w:rPr>
          <w:rFonts w:ascii="Times New Roman" w:hAnsi="Times New Roman" w:cs="Times New Roman"/>
          <w:sz w:val="24"/>
          <w:szCs w:val="24"/>
          <w:lang w:val="en-GB"/>
        </w:rPr>
        <w:t xml:space="preserve">Categories included X-ray, computerized tomography scan, magnetic resonance imaging, ultrasound, cytology and biopsies, cardiology tests, gastrointestinal tests, neurology tests, ophthalmology tests, respiratory tests, scintigraphy/nuclear imaging, blood extraction, bone densitometry, urology tests, polysomnography, audiometry, hysteroscopy, </w:t>
      </w:r>
      <w:proofErr w:type="spellStart"/>
      <w:r w:rsidRPr="0050026C">
        <w:rPr>
          <w:rFonts w:ascii="Times New Roman" w:hAnsi="Times New Roman" w:cs="Times New Roman"/>
          <w:sz w:val="24"/>
          <w:szCs w:val="24"/>
          <w:lang w:val="en-GB"/>
        </w:rPr>
        <w:t>semenogram</w:t>
      </w:r>
      <w:proofErr w:type="spellEnd"/>
      <w:r w:rsidRPr="0050026C">
        <w:rPr>
          <w:rFonts w:ascii="Times New Roman" w:hAnsi="Times New Roman" w:cs="Times New Roman"/>
          <w:sz w:val="24"/>
          <w:szCs w:val="24"/>
          <w:lang w:val="en-GB"/>
        </w:rPr>
        <w:t>, human papillomavirus test, and elastography.</w:t>
      </w:r>
    </w:p>
    <w:p w14:paraId="44EB1C08" w14:textId="77777777" w:rsidR="009C0854" w:rsidRPr="0050026C" w:rsidRDefault="009C0854">
      <w:pPr>
        <w:rPr>
          <w:rFonts w:ascii="Times New Roman" w:hAnsi="Times New Roman" w:cs="Times New Roman"/>
          <w:sz w:val="24"/>
          <w:szCs w:val="24"/>
          <w:lang w:val="en-GB"/>
        </w:rPr>
      </w:pPr>
      <w:r w:rsidRPr="0050026C">
        <w:rPr>
          <w:rFonts w:ascii="Times New Roman" w:hAnsi="Times New Roman" w:cs="Times New Roman"/>
          <w:sz w:val="24"/>
          <w:szCs w:val="24"/>
          <w:lang w:val="en-GB"/>
        </w:rPr>
        <w:br w:type="page"/>
      </w:r>
    </w:p>
    <w:p w14:paraId="24FB938F" w14:textId="77777777" w:rsidR="008E56E2" w:rsidRPr="0050026C" w:rsidRDefault="008E56E2" w:rsidP="008E56E2">
      <w:pPr>
        <w:rPr>
          <w:rFonts w:ascii="Times New Roman" w:hAnsi="Times New Roman" w:cs="Times New Roman"/>
          <w:b/>
          <w:bCs/>
          <w:sz w:val="24"/>
          <w:szCs w:val="24"/>
          <w:lang w:val="en-GB"/>
        </w:rPr>
      </w:pPr>
      <w:r w:rsidRPr="0050026C">
        <w:rPr>
          <w:rFonts w:ascii="Times New Roman" w:hAnsi="Times New Roman" w:cs="Times New Roman"/>
          <w:b/>
          <w:bCs/>
          <w:sz w:val="24"/>
          <w:szCs w:val="24"/>
          <w:lang w:val="en-GB"/>
        </w:rPr>
        <w:lastRenderedPageBreak/>
        <w:t>Sick Leaves</w:t>
      </w:r>
    </w:p>
    <w:p w14:paraId="7D70217C" w14:textId="6020E1E8" w:rsidR="008E56E2" w:rsidRPr="0050026C" w:rsidRDefault="008E56E2" w:rsidP="008E56E2">
      <w:pPr>
        <w:rPr>
          <w:rFonts w:ascii="Times New Roman" w:hAnsi="Times New Roman" w:cs="Times New Roman"/>
          <w:bCs/>
          <w:sz w:val="24"/>
          <w:szCs w:val="24"/>
          <w:lang w:val="en-GB"/>
        </w:rPr>
      </w:pPr>
      <w:r w:rsidRPr="0050026C">
        <w:rPr>
          <w:rFonts w:ascii="Times New Roman" w:hAnsi="Times New Roman" w:cs="Times New Roman"/>
          <w:bCs/>
          <w:sz w:val="24"/>
          <w:szCs w:val="24"/>
          <w:lang w:val="en-GB"/>
        </w:rPr>
        <w:t>Sick leave was evaluated based on the total number of absenteeism days per patient for the year before and after the index prescription, regardless of diagnosis. Costs were estimated using the net legal minimum daily wage in Spain</w:t>
      </w:r>
      <w:r w:rsidRPr="0050026C">
        <w:rPr>
          <w:rFonts w:ascii="Times New Roman" w:hAnsi="Times New Roman" w:cs="Times New Roman"/>
          <w:sz w:val="24"/>
          <w:szCs w:val="24"/>
          <w:lang w:val="en-GB"/>
        </w:rPr>
        <w:fldChar w:fldCharType="begin" w:fldLock="1"/>
      </w:r>
      <w:r w:rsidRPr="0050026C">
        <w:rPr>
          <w:rFonts w:ascii="Times New Roman" w:hAnsi="Times New Roman" w:cs="Times New Roman"/>
          <w:sz w:val="24"/>
          <w:szCs w:val="24"/>
          <w:lang w:val="en-GB"/>
        </w:rPr>
        <w:instrText>ADDIN CSL_CITATION { "citationItems" : [ { "id" : "ITEM-1", "itemData" : { "URL" : "https://www.boe.es/buscar/doc.php?id=BOE-A-2020-1652", "author" : [ { "dropping-particle" : "", "family" : "Gobierno de Espa\u00f1a", "given" : "", "non-dropping-particle" : "", "parse-names" : false, "suffix" : "" } ], "container-title" : "Boletin Oficial del Estado", "id" : "ITEM-1", "issued" : { "date-parts" : [ [ "2024" ] ] }, "title" : "Real Decreto 145/2024, de 6 de febrero, por el que se fija el salario m\u00ednimo interprofesional para 2024", "type" : "webpage" }, "uris" : [ "http://www.mendeley.com/documents/?uuid=cf31305c-be1b-479a-b457-d1d7843b8251" ] } ], "mendeley" : { "formattedCitation" : "&lt;sup&gt;3&lt;/sup&gt;", "plainTextFormattedCitation" : "3", "previouslyFormattedCitation" : "&lt;sup&gt;3&lt;/sup&gt;" }, "properties" : {  }, "schema" : "https://github.com/citation-style-language/schema/raw/master/csl-citation.json" }</w:instrText>
      </w:r>
      <w:r w:rsidRPr="0050026C">
        <w:rPr>
          <w:rFonts w:ascii="Times New Roman" w:hAnsi="Times New Roman" w:cs="Times New Roman"/>
          <w:sz w:val="24"/>
          <w:szCs w:val="24"/>
          <w:lang w:val="en-GB"/>
        </w:rPr>
        <w:fldChar w:fldCharType="separate"/>
      </w:r>
      <w:r w:rsidRPr="0050026C">
        <w:rPr>
          <w:rFonts w:ascii="Times New Roman" w:hAnsi="Times New Roman" w:cs="Times New Roman"/>
          <w:noProof/>
          <w:sz w:val="24"/>
          <w:szCs w:val="24"/>
          <w:vertAlign w:val="superscript"/>
          <w:lang w:val="en-GB"/>
        </w:rPr>
        <w:t>3</w:t>
      </w:r>
      <w:r w:rsidRPr="0050026C">
        <w:rPr>
          <w:rFonts w:ascii="Times New Roman" w:hAnsi="Times New Roman" w:cs="Times New Roman"/>
          <w:sz w:val="24"/>
          <w:szCs w:val="24"/>
          <w:lang w:val="en-GB"/>
        </w:rPr>
        <w:fldChar w:fldCharType="end"/>
      </w:r>
      <w:r w:rsidRPr="0050026C">
        <w:rPr>
          <w:rFonts w:ascii="Times New Roman" w:hAnsi="Times New Roman" w:cs="Times New Roman"/>
          <w:bCs/>
          <w:sz w:val="24"/>
          <w:szCs w:val="24"/>
          <w:lang w:val="en-GB"/>
        </w:rPr>
        <w:t xml:space="preserve"> for the main analysis. Sensitivity analyses were conducted using the gross average salary in Spain</w:t>
      </w:r>
      <w:r w:rsidRPr="0050026C">
        <w:rPr>
          <w:rFonts w:ascii="Times New Roman" w:hAnsi="Times New Roman" w:cs="Times New Roman"/>
          <w:sz w:val="24"/>
          <w:szCs w:val="24"/>
          <w:lang w:val="en-GB"/>
        </w:rPr>
        <w:fldChar w:fldCharType="begin" w:fldLock="1"/>
      </w:r>
      <w:r w:rsidRPr="0050026C">
        <w:rPr>
          <w:rFonts w:ascii="Times New Roman" w:hAnsi="Times New Roman" w:cs="Times New Roman"/>
          <w:sz w:val="24"/>
          <w:szCs w:val="24"/>
          <w:lang w:val="en-GB"/>
        </w:rPr>
        <w:instrText>ADDIN CSL_CITATION { "citationItems" : [ { "id" : "ITEM-1", "itemData" : { "URL" : "https://www.ine.es/jaxiT3/Datos.htm?t=13926", "accessed" : { "date-parts" : [ [ "2024", "2", "5" ] ] }, "author" : [ { "dropping-particle" : "", "family" : "Instituto Nacional de Estad\u00edstica", "given" : "", "non-dropping-particle" : "", "parse-names" : false, "suffix" : "" } ], "id" : "ITEM-1", "issued" : { "date-parts" : [ [ "2022" ] ] }, "title" : "Salarios medios", "type" : "webpage" }, "uris" : [ "http://www.mendeley.com/documents/?uuid=9951f63a-eb9b-4b95-858f-83dedc00b23a" ] } ], "mendeley" : { "formattedCitation" : "&lt;sup&gt;4&lt;/sup&gt;", "plainTextFormattedCitation" : "4", "previouslyFormattedCitation" : "&lt;sup&gt;4&lt;/sup&gt;" }, "properties" : {  }, "schema" : "https://github.com/citation-style-language/schema/raw/master/csl-citation.json" }</w:instrText>
      </w:r>
      <w:r w:rsidRPr="0050026C">
        <w:rPr>
          <w:rFonts w:ascii="Times New Roman" w:hAnsi="Times New Roman" w:cs="Times New Roman"/>
          <w:sz w:val="24"/>
          <w:szCs w:val="24"/>
          <w:lang w:val="en-GB"/>
        </w:rPr>
        <w:fldChar w:fldCharType="separate"/>
      </w:r>
      <w:r w:rsidRPr="0050026C">
        <w:rPr>
          <w:rFonts w:ascii="Times New Roman" w:hAnsi="Times New Roman" w:cs="Times New Roman"/>
          <w:noProof/>
          <w:sz w:val="24"/>
          <w:szCs w:val="24"/>
          <w:vertAlign w:val="superscript"/>
          <w:lang w:val="en-GB"/>
        </w:rPr>
        <w:t>4</w:t>
      </w:r>
      <w:r w:rsidRPr="0050026C">
        <w:rPr>
          <w:rFonts w:ascii="Times New Roman" w:hAnsi="Times New Roman" w:cs="Times New Roman"/>
          <w:sz w:val="24"/>
          <w:szCs w:val="24"/>
          <w:lang w:val="en-GB"/>
        </w:rPr>
        <w:fldChar w:fldCharType="end"/>
      </w:r>
      <w:r w:rsidRPr="0050026C">
        <w:rPr>
          <w:rFonts w:ascii="Times New Roman" w:hAnsi="Times New Roman" w:cs="Times New Roman"/>
          <w:sz w:val="24"/>
          <w:szCs w:val="24"/>
          <w:lang w:val="en-GB"/>
        </w:rPr>
        <w:t xml:space="preserve"> </w:t>
      </w:r>
      <w:r w:rsidRPr="0050026C">
        <w:rPr>
          <w:rFonts w:ascii="Times New Roman" w:hAnsi="Times New Roman" w:cs="Times New Roman"/>
          <w:bCs/>
          <w:sz w:val="24"/>
          <w:szCs w:val="24"/>
          <w:lang w:val="en-GB"/>
        </w:rPr>
        <w:t>as a reference. Since the gross average salary was published for 2022, it was adjusted for inflation using the CPI from January 2022 to August 2024.</w:t>
      </w:r>
    </w:p>
    <w:p w14:paraId="4649CCD1" w14:textId="727F44B7" w:rsidR="00C1135E" w:rsidRPr="0050026C" w:rsidRDefault="00C1135E" w:rsidP="00A93CEF">
      <w:pPr>
        <w:rPr>
          <w:rFonts w:ascii="Times New Roman" w:hAnsi="Times New Roman" w:cs="Times New Roman"/>
          <w:sz w:val="24"/>
          <w:szCs w:val="24"/>
          <w:lang w:val="en-GB"/>
        </w:rPr>
      </w:pPr>
    </w:p>
    <w:p w14:paraId="177C038A" w14:textId="0FC4C996" w:rsidR="008E56E2" w:rsidRPr="0050026C" w:rsidRDefault="008E56E2" w:rsidP="00A93CEF">
      <w:pPr>
        <w:rPr>
          <w:rFonts w:ascii="Times New Roman" w:hAnsi="Times New Roman" w:cs="Times New Roman"/>
          <w:b/>
          <w:bCs/>
          <w:sz w:val="24"/>
          <w:szCs w:val="24"/>
          <w:lang w:val="en-GB"/>
        </w:rPr>
      </w:pPr>
      <w:r w:rsidRPr="0050026C">
        <w:rPr>
          <w:rFonts w:ascii="Times New Roman" w:hAnsi="Times New Roman" w:cs="Times New Roman"/>
          <w:b/>
          <w:bCs/>
          <w:sz w:val="24"/>
          <w:szCs w:val="24"/>
          <w:lang w:val="en-GB"/>
        </w:rPr>
        <w:t>References</w:t>
      </w:r>
    </w:p>
    <w:p w14:paraId="6B5F6268" w14:textId="6A7976FF" w:rsidR="001D6B2F" w:rsidRPr="001D6B2F" w:rsidRDefault="00C1135E" w:rsidP="001D6B2F">
      <w:pPr>
        <w:widowControl w:val="0"/>
        <w:autoSpaceDE w:val="0"/>
        <w:autoSpaceDN w:val="0"/>
        <w:adjustRightInd w:val="0"/>
        <w:spacing w:line="240" w:lineRule="auto"/>
        <w:ind w:left="640" w:hanging="640"/>
        <w:rPr>
          <w:rFonts w:ascii="Calibri" w:hAnsi="Calibri" w:cs="Calibri"/>
          <w:noProof/>
          <w:szCs w:val="24"/>
        </w:rPr>
      </w:pPr>
      <w:r>
        <w:rPr>
          <w:rFonts w:ascii="Calibri" w:hAnsi="Calibri" w:cs="Calibri"/>
          <w:lang w:val="en-GB"/>
        </w:rPr>
        <w:fldChar w:fldCharType="begin" w:fldLock="1"/>
      </w:r>
      <w:r w:rsidRPr="0050026C">
        <w:rPr>
          <w:rFonts w:ascii="Calibri" w:hAnsi="Calibri" w:cs="Calibri"/>
          <w:lang w:val="en-GB"/>
        </w:rPr>
        <w:instrText xml:space="preserve">ADDIN Mendeley Bibliography CSL_BIBLIOGRAPHY </w:instrText>
      </w:r>
      <w:r>
        <w:rPr>
          <w:rFonts w:ascii="Calibri" w:hAnsi="Calibri" w:cs="Calibri"/>
          <w:lang w:val="en-GB"/>
        </w:rPr>
        <w:fldChar w:fldCharType="separate"/>
      </w:r>
      <w:r w:rsidR="001D6B2F" w:rsidRPr="0050026C">
        <w:rPr>
          <w:rFonts w:ascii="Calibri" w:hAnsi="Calibri" w:cs="Calibri"/>
          <w:noProof/>
          <w:szCs w:val="24"/>
          <w:lang w:val="en-GB"/>
        </w:rPr>
        <w:t xml:space="preserve">1. </w:t>
      </w:r>
      <w:r w:rsidR="001D6B2F" w:rsidRPr="0050026C">
        <w:rPr>
          <w:rFonts w:ascii="Calibri" w:hAnsi="Calibri" w:cs="Calibri"/>
          <w:noProof/>
          <w:szCs w:val="24"/>
          <w:lang w:val="en-GB"/>
        </w:rPr>
        <w:tab/>
        <w:t xml:space="preserve">Departament de Salut. RESOLUCIÓ SLT/4326/2023, de 20 de desembre, sobre la revisió de preus públics corresponents als serveis sanitaris que presta l’Institut Català de la Salut. </w:t>
      </w:r>
      <w:r w:rsidR="001D6B2F" w:rsidRPr="001D6B2F">
        <w:rPr>
          <w:rFonts w:ascii="Calibri" w:hAnsi="Calibri" w:cs="Calibri"/>
          <w:i/>
          <w:iCs/>
          <w:noProof/>
          <w:szCs w:val="24"/>
        </w:rPr>
        <w:t>D Of la General Catalunya</w:t>
      </w:r>
      <w:r w:rsidR="001D6B2F" w:rsidRPr="001D6B2F">
        <w:rPr>
          <w:rFonts w:ascii="Calibri" w:hAnsi="Calibri" w:cs="Calibri"/>
          <w:noProof/>
          <w:szCs w:val="24"/>
        </w:rPr>
        <w:t>. 2023;9067:1-199. https://portaldogc.gencat.cat/utilsEADOP/PDF/9067/2005212.pdf</w:t>
      </w:r>
    </w:p>
    <w:p w14:paraId="454F24BF" w14:textId="77777777" w:rsidR="001D6B2F" w:rsidRPr="001D6B2F" w:rsidRDefault="001D6B2F" w:rsidP="001D6B2F">
      <w:pPr>
        <w:widowControl w:val="0"/>
        <w:autoSpaceDE w:val="0"/>
        <w:autoSpaceDN w:val="0"/>
        <w:adjustRightInd w:val="0"/>
        <w:spacing w:line="240" w:lineRule="auto"/>
        <w:ind w:left="640" w:hanging="640"/>
        <w:rPr>
          <w:rFonts w:ascii="Calibri" w:hAnsi="Calibri" w:cs="Calibri"/>
          <w:noProof/>
          <w:szCs w:val="24"/>
        </w:rPr>
      </w:pPr>
      <w:r w:rsidRPr="001D6B2F">
        <w:rPr>
          <w:rFonts w:ascii="Calibri" w:hAnsi="Calibri" w:cs="Calibri"/>
          <w:noProof/>
          <w:szCs w:val="24"/>
        </w:rPr>
        <w:t xml:space="preserve">2. </w:t>
      </w:r>
      <w:r w:rsidRPr="001D6B2F">
        <w:rPr>
          <w:rFonts w:ascii="Calibri" w:hAnsi="Calibri" w:cs="Calibri"/>
          <w:noProof/>
          <w:szCs w:val="24"/>
        </w:rPr>
        <w:tab/>
        <w:t xml:space="preserve">Generalitat de Catalunya. ORDRE SLT/63/2020, de 8 de març, per la qual s’aproven els preus públics de Servei Català de la Salut. </w:t>
      </w:r>
      <w:r w:rsidRPr="001D6B2F">
        <w:rPr>
          <w:rFonts w:ascii="Calibri" w:hAnsi="Calibri" w:cs="Calibri"/>
          <w:i/>
          <w:iCs/>
          <w:noProof/>
          <w:szCs w:val="24"/>
        </w:rPr>
        <w:t>D Of la General Catalunya</w:t>
      </w:r>
      <w:r w:rsidRPr="001D6B2F">
        <w:rPr>
          <w:rFonts w:ascii="Calibri" w:hAnsi="Calibri" w:cs="Calibri"/>
          <w:noProof/>
          <w:szCs w:val="24"/>
        </w:rPr>
        <w:t>. 2020;8134:1-173. https://www.gencat.cat/dogc</w:t>
      </w:r>
    </w:p>
    <w:p w14:paraId="08417BB2" w14:textId="77777777" w:rsidR="001D6B2F" w:rsidRPr="001D6B2F" w:rsidRDefault="001D6B2F" w:rsidP="001D6B2F">
      <w:pPr>
        <w:widowControl w:val="0"/>
        <w:autoSpaceDE w:val="0"/>
        <w:autoSpaceDN w:val="0"/>
        <w:adjustRightInd w:val="0"/>
        <w:spacing w:line="240" w:lineRule="auto"/>
        <w:ind w:left="640" w:hanging="640"/>
        <w:rPr>
          <w:rFonts w:ascii="Calibri" w:hAnsi="Calibri" w:cs="Calibri"/>
          <w:noProof/>
          <w:szCs w:val="24"/>
        </w:rPr>
      </w:pPr>
      <w:r w:rsidRPr="001D6B2F">
        <w:rPr>
          <w:rFonts w:ascii="Calibri" w:hAnsi="Calibri" w:cs="Calibri"/>
          <w:noProof/>
          <w:szCs w:val="24"/>
        </w:rPr>
        <w:t xml:space="preserve">3. </w:t>
      </w:r>
      <w:r w:rsidRPr="001D6B2F">
        <w:rPr>
          <w:rFonts w:ascii="Calibri" w:hAnsi="Calibri" w:cs="Calibri"/>
          <w:noProof/>
          <w:szCs w:val="24"/>
        </w:rPr>
        <w:tab/>
        <w:t>Gobierno de España. Real Decreto 145/2024, de 6 de febrero, por el que se fija el salario mínimo interprofesional para 2024. Boletin Oficial del Estado. Published 2024. https://www.boe.es/buscar/doc.php?id=BOE-A-2020-1652</w:t>
      </w:r>
    </w:p>
    <w:p w14:paraId="53331A01" w14:textId="77777777" w:rsidR="001D6B2F" w:rsidRPr="002C6D87" w:rsidRDefault="001D6B2F" w:rsidP="001D6B2F">
      <w:pPr>
        <w:widowControl w:val="0"/>
        <w:autoSpaceDE w:val="0"/>
        <w:autoSpaceDN w:val="0"/>
        <w:adjustRightInd w:val="0"/>
        <w:spacing w:line="240" w:lineRule="auto"/>
        <w:ind w:left="640" w:hanging="640"/>
        <w:rPr>
          <w:rFonts w:ascii="Calibri" w:hAnsi="Calibri" w:cs="Calibri"/>
          <w:noProof/>
          <w:lang w:val="en-GB"/>
        </w:rPr>
      </w:pPr>
      <w:r w:rsidRPr="001D6B2F">
        <w:rPr>
          <w:rFonts w:ascii="Calibri" w:hAnsi="Calibri" w:cs="Calibri"/>
          <w:noProof/>
          <w:szCs w:val="24"/>
        </w:rPr>
        <w:t xml:space="preserve">4. </w:t>
      </w:r>
      <w:r w:rsidRPr="001D6B2F">
        <w:rPr>
          <w:rFonts w:ascii="Calibri" w:hAnsi="Calibri" w:cs="Calibri"/>
          <w:noProof/>
          <w:szCs w:val="24"/>
        </w:rPr>
        <w:tab/>
        <w:t xml:space="preserve">Instituto Nacional de Estadística. Salarios medios. </w:t>
      </w:r>
      <w:r w:rsidRPr="002C6D87">
        <w:rPr>
          <w:rFonts w:ascii="Calibri" w:hAnsi="Calibri" w:cs="Calibri"/>
          <w:noProof/>
          <w:szCs w:val="24"/>
          <w:lang w:val="en-GB"/>
        </w:rPr>
        <w:t>Published 2022. Accessed February 5, 2024. https://www.ine.es/jaxiT3/Datos.htm?t=13926</w:t>
      </w:r>
    </w:p>
    <w:p w14:paraId="5BCDAA52" w14:textId="3CB541E1" w:rsidR="005244FD" w:rsidRPr="004D6FBD" w:rsidRDefault="00C1135E" w:rsidP="00C1135E">
      <w:pPr>
        <w:rPr>
          <w:rFonts w:ascii="Calibri" w:hAnsi="Calibri" w:cs="Calibri"/>
          <w:lang w:val="en-GB"/>
        </w:rPr>
      </w:pPr>
      <w:r>
        <w:rPr>
          <w:rFonts w:ascii="Calibri" w:hAnsi="Calibri" w:cs="Calibri"/>
          <w:lang w:val="en-GB"/>
        </w:rPr>
        <w:fldChar w:fldCharType="end"/>
      </w:r>
      <w:r w:rsidR="005244FD" w:rsidRPr="004D6FBD">
        <w:rPr>
          <w:rFonts w:ascii="Calibri" w:hAnsi="Calibri" w:cs="Calibri"/>
          <w:lang w:val="en-GB"/>
        </w:rPr>
        <w:br w:type="page"/>
      </w:r>
    </w:p>
    <w:p w14:paraId="1B11D19B" w14:textId="77777777" w:rsidR="009F1A82" w:rsidRDefault="009F1A82" w:rsidP="005244FD">
      <w:pPr>
        <w:tabs>
          <w:tab w:val="left" w:pos="1225"/>
        </w:tabs>
        <w:rPr>
          <w:rFonts w:ascii="Calibri" w:hAnsi="Calibri" w:cs="Calibri"/>
          <w:b/>
          <w:bCs/>
          <w:lang w:val="en-GB"/>
        </w:rPr>
        <w:sectPr w:rsidR="009F1A82">
          <w:pgSz w:w="11906" w:h="16838"/>
          <w:pgMar w:top="1417" w:right="1701" w:bottom="1417" w:left="1701" w:header="708" w:footer="708" w:gutter="0"/>
          <w:cols w:space="708"/>
          <w:docGrid w:linePitch="360"/>
        </w:sectPr>
      </w:pPr>
    </w:p>
    <w:p w14:paraId="7C0BF6DC" w14:textId="51A31165" w:rsidR="005244FD" w:rsidRPr="004D6FBD" w:rsidRDefault="005244FD" w:rsidP="005244FD">
      <w:pPr>
        <w:tabs>
          <w:tab w:val="left" w:pos="1225"/>
        </w:tabs>
        <w:rPr>
          <w:rFonts w:ascii="Calibri" w:hAnsi="Calibri" w:cs="Calibri"/>
          <w:b/>
          <w:bCs/>
          <w:lang w:val="en-GB"/>
        </w:rPr>
      </w:pPr>
      <w:r w:rsidRPr="004D6FBD">
        <w:rPr>
          <w:rFonts w:ascii="Calibri" w:hAnsi="Calibri" w:cs="Calibri"/>
          <w:b/>
          <w:bCs/>
          <w:lang w:val="en-GB"/>
        </w:rPr>
        <w:lastRenderedPageBreak/>
        <w:t xml:space="preserve">Supplementary table 1. </w:t>
      </w:r>
      <w:r w:rsidR="007E6D40" w:rsidRPr="004D6FBD">
        <w:rPr>
          <w:rFonts w:ascii="Calibri" w:hAnsi="Calibri" w:cs="Calibri"/>
          <w:lang w:val="en-GB"/>
        </w:rPr>
        <w:t>Mean healthcare r</w:t>
      </w:r>
      <w:r w:rsidRPr="004D6FBD">
        <w:rPr>
          <w:rFonts w:ascii="Calibri" w:hAnsi="Calibri" w:cs="Calibri"/>
          <w:lang w:val="en-GB"/>
        </w:rPr>
        <w:t>esource use</w:t>
      </w:r>
      <w:r w:rsidR="007E6D40" w:rsidRPr="004D6FBD">
        <w:rPr>
          <w:rFonts w:ascii="Calibri" w:hAnsi="Calibri" w:cs="Calibri"/>
          <w:lang w:val="en-GB"/>
        </w:rPr>
        <w:t xml:space="preserve">, sick leaves and </w:t>
      </w:r>
      <w:r w:rsidRPr="004D6FBD">
        <w:rPr>
          <w:rFonts w:ascii="Calibri" w:hAnsi="Calibri" w:cs="Calibri"/>
          <w:lang w:val="en-GB"/>
        </w:rPr>
        <w:t>costs based on unadjusted ITT analysis</w:t>
      </w:r>
      <w:r w:rsidR="009F1A82">
        <w:rPr>
          <w:rFonts w:ascii="Calibri" w:hAnsi="Calibri" w:cs="Calibri"/>
          <w:lang w:val="en-GB"/>
        </w:rPr>
        <w:t xml:space="preserve"> (N=3,628)</w:t>
      </w:r>
      <w:r w:rsidRPr="004D6FBD">
        <w:rPr>
          <w:rFonts w:ascii="Calibri" w:hAnsi="Calibri" w:cs="Calibri"/>
          <w:lang w:val="en-GB"/>
        </w:rPr>
        <w:t>.</w:t>
      </w:r>
    </w:p>
    <w:tbl>
      <w:tblPr>
        <w:tblStyle w:val="Tablaconcuadrcula"/>
        <w:tblW w:w="146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9"/>
        <w:gridCol w:w="473"/>
        <w:gridCol w:w="3134"/>
        <w:gridCol w:w="2629"/>
        <w:gridCol w:w="2629"/>
        <w:gridCol w:w="2629"/>
        <w:gridCol w:w="2630"/>
      </w:tblGrid>
      <w:tr w:rsidR="009F1A82" w:rsidRPr="004D6FBD" w14:paraId="242538B3" w14:textId="77777777" w:rsidTr="009F1A82">
        <w:trPr>
          <w:trHeight w:val="398"/>
        </w:trPr>
        <w:tc>
          <w:tcPr>
            <w:tcW w:w="499" w:type="dxa"/>
          </w:tcPr>
          <w:p w14:paraId="5E4D2582" w14:textId="77777777" w:rsidR="009F1A82" w:rsidRPr="004D6FBD" w:rsidRDefault="009F1A82" w:rsidP="00A93CEF">
            <w:pPr>
              <w:tabs>
                <w:tab w:val="left" w:pos="1225"/>
              </w:tabs>
              <w:rPr>
                <w:rFonts w:ascii="Calibri" w:hAnsi="Calibri" w:cs="Calibri"/>
                <w:lang w:val="en-GB"/>
              </w:rPr>
            </w:pPr>
          </w:p>
        </w:tc>
        <w:tc>
          <w:tcPr>
            <w:tcW w:w="473" w:type="dxa"/>
          </w:tcPr>
          <w:p w14:paraId="3ECD4E3E" w14:textId="5DB405BE" w:rsidR="009F1A82" w:rsidRPr="004D6FBD" w:rsidRDefault="009F1A82" w:rsidP="00A93CEF">
            <w:pPr>
              <w:tabs>
                <w:tab w:val="left" w:pos="1225"/>
              </w:tabs>
              <w:rPr>
                <w:rFonts w:ascii="Calibri" w:hAnsi="Calibri" w:cs="Calibri"/>
                <w:lang w:val="en-GB"/>
              </w:rPr>
            </w:pPr>
          </w:p>
        </w:tc>
        <w:tc>
          <w:tcPr>
            <w:tcW w:w="3134" w:type="dxa"/>
            <w:vAlign w:val="center"/>
          </w:tcPr>
          <w:p w14:paraId="720A456A" w14:textId="773EC9B6" w:rsidR="009F1A82" w:rsidRPr="004D6FBD" w:rsidRDefault="009F1A82" w:rsidP="00A93CEF">
            <w:pPr>
              <w:tabs>
                <w:tab w:val="left" w:pos="1225"/>
              </w:tabs>
              <w:rPr>
                <w:rFonts w:ascii="Calibri" w:hAnsi="Calibri" w:cs="Calibri"/>
                <w:lang w:val="en-GB"/>
              </w:rPr>
            </w:pPr>
          </w:p>
        </w:tc>
        <w:tc>
          <w:tcPr>
            <w:tcW w:w="5258" w:type="dxa"/>
            <w:gridSpan w:val="2"/>
            <w:vAlign w:val="center"/>
          </w:tcPr>
          <w:p w14:paraId="54118E74" w14:textId="0C32D305" w:rsidR="009F1A82" w:rsidRPr="004D6FBD" w:rsidRDefault="009F1A82" w:rsidP="00A93CEF">
            <w:pPr>
              <w:tabs>
                <w:tab w:val="left" w:pos="1225"/>
              </w:tabs>
              <w:rPr>
                <w:rFonts w:ascii="Calibri" w:hAnsi="Calibri" w:cs="Calibri"/>
                <w:b/>
                <w:bCs/>
                <w:i/>
                <w:iCs/>
                <w:lang w:val="en-GB"/>
              </w:rPr>
            </w:pPr>
            <w:r w:rsidRPr="004D6FBD">
              <w:rPr>
                <w:rFonts w:ascii="Calibri" w:hAnsi="Calibri" w:cs="Calibri"/>
                <w:b/>
                <w:bCs/>
                <w:i/>
                <w:iCs/>
                <w:lang w:val="en-GB"/>
              </w:rPr>
              <w:t>IMA Intervention (N=2,148)</w:t>
            </w:r>
          </w:p>
        </w:tc>
        <w:tc>
          <w:tcPr>
            <w:tcW w:w="5259" w:type="dxa"/>
            <w:gridSpan w:val="2"/>
            <w:vAlign w:val="center"/>
          </w:tcPr>
          <w:p w14:paraId="5F964D6D" w14:textId="715F26A3" w:rsidR="009F1A82" w:rsidRPr="004D6FBD" w:rsidRDefault="009F1A82" w:rsidP="00A93CEF">
            <w:pPr>
              <w:tabs>
                <w:tab w:val="left" w:pos="1225"/>
              </w:tabs>
              <w:rPr>
                <w:rFonts w:ascii="Calibri" w:hAnsi="Calibri" w:cs="Calibri"/>
                <w:i/>
                <w:iCs/>
                <w:lang w:val="en-GB"/>
              </w:rPr>
            </w:pPr>
            <w:r w:rsidRPr="004D6FBD">
              <w:rPr>
                <w:rFonts w:ascii="Calibri" w:hAnsi="Calibri" w:cs="Calibri"/>
                <w:b/>
                <w:bCs/>
                <w:i/>
                <w:iCs/>
                <w:lang w:val="en-GB"/>
              </w:rPr>
              <w:t>Usual Care (N=1,481)</w:t>
            </w:r>
          </w:p>
        </w:tc>
      </w:tr>
      <w:tr w:rsidR="00373681" w:rsidRPr="0050026C" w14:paraId="0C65948B" w14:textId="77777777" w:rsidTr="009F1A82">
        <w:trPr>
          <w:trHeight w:val="539"/>
        </w:trPr>
        <w:tc>
          <w:tcPr>
            <w:tcW w:w="499" w:type="dxa"/>
            <w:tcBorders>
              <w:bottom w:val="single" w:sz="12" w:space="0" w:color="auto"/>
            </w:tcBorders>
          </w:tcPr>
          <w:p w14:paraId="5AAF033D" w14:textId="77777777" w:rsidR="00373681" w:rsidRPr="004D6FBD" w:rsidRDefault="00373681" w:rsidP="00A93CEF">
            <w:pPr>
              <w:tabs>
                <w:tab w:val="left" w:pos="1225"/>
              </w:tabs>
              <w:rPr>
                <w:rFonts w:ascii="Calibri" w:hAnsi="Calibri" w:cs="Calibri"/>
                <w:lang w:val="en-GB"/>
              </w:rPr>
            </w:pPr>
          </w:p>
        </w:tc>
        <w:tc>
          <w:tcPr>
            <w:tcW w:w="473" w:type="dxa"/>
            <w:tcBorders>
              <w:bottom w:val="single" w:sz="12" w:space="0" w:color="auto"/>
            </w:tcBorders>
          </w:tcPr>
          <w:p w14:paraId="4B963A70" w14:textId="25697B61" w:rsidR="00373681" w:rsidRPr="004D6FBD" w:rsidRDefault="00373681" w:rsidP="00A93CEF">
            <w:pPr>
              <w:tabs>
                <w:tab w:val="left" w:pos="1225"/>
              </w:tabs>
              <w:rPr>
                <w:rFonts w:ascii="Calibri" w:hAnsi="Calibri" w:cs="Calibri"/>
                <w:lang w:val="en-GB"/>
              </w:rPr>
            </w:pPr>
          </w:p>
        </w:tc>
        <w:tc>
          <w:tcPr>
            <w:tcW w:w="3134" w:type="dxa"/>
            <w:tcBorders>
              <w:bottom w:val="single" w:sz="12" w:space="0" w:color="auto"/>
            </w:tcBorders>
            <w:vAlign w:val="center"/>
          </w:tcPr>
          <w:p w14:paraId="42FCE64C" w14:textId="3CCACFE4" w:rsidR="00373681" w:rsidRPr="004D6FBD" w:rsidRDefault="00373681" w:rsidP="00A93CEF">
            <w:pPr>
              <w:tabs>
                <w:tab w:val="left" w:pos="1225"/>
              </w:tabs>
              <w:rPr>
                <w:rFonts w:ascii="Calibri" w:hAnsi="Calibri" w:cs="Calibri"/>
                <w:lang w:val="en-GB"/>
              </w:rPr>
            </w:pPr>
          </w:p>
        </w:tc>
        <w:tc>
          <w:tcPr>
            <w:tcW w:w="2629" w:type="dxa"/>
            <w:tcBorders>
              <w:bottom w:val="single" w:sz="12" w:space="0" w:color="auto"/>
            </w:tcBorders>
            <w:vAlign w:val="center"/>
          </w:tcPr>
          <w:p w14:paraId="7B1BBF15" w14:textId="2B6A4B75" w:rsidR="00373681" w:rsidRPr="004D6FBD" w:rsidRDefault="00373681" w:rsidP="00A93CEF">
            <w:pPr>
              <w:tabs>
                <w:tab w:val="left" w:pos="1225"/>
              </w:tabs>
              <w:rPr>
                <w:rFonts w:ascii="Calibri" w:hAnsi="Calibri" w:cs="Calibri"/>
                <w:i/>
                <w:iCs/>
                <w:lang w:val="en-GB"/>
              </w:rPr>
            </w:pPr>
            <w:r w:rsidRPr="004D6FBD">
              <w:rPr>
                <w:rFonts w:ascii="Calibri" w:hAnsi="Calibri" w:cs="Calibri"/>
                <w:i/>
                <w:iCs/>
                <w:lang w:val="en-GB"/>
              </w:rPr>
              <w:t>Baseline</w:t>
            </w:r>
          </w:p>
          <w:p w14:paraId="727E81C9" w14:textId="27DD9668" w:rsidR="00373681" w:rsidRPr="004D6FBD" w:rsidRDefault="00373681" w:rsidP="00A93CEF">
            <w:pPr>
              <w:tabs>
                <w:tab w:val="left" w:pos="1225"/>
              </w:tabs>
              <w:rPr>
                <w:rFonts w:ascii="Calibri" w:hAnsi="Calibri" w:cs="Calibri"/>
                <w:i/>
                <w:iCs/>
                <w:lang w:val="en-GB"/>
              </w:rPr>
            </w:pPr>
            <w:r w:rsidRPr="004D6FBD">
              <w:rPr>
                <w:rFonts w:ascii="Calibri" w:hAnsi="Calibri" w:cs="Calibri"/>
                <w:i/>
                <w:iCs/>
                <w:lang w:val="en-GB"/>
              </w:rPr>
              <w:t>Mean(SD)</w:t>
            </w:r>
          </w:p>
        </w:tc>
        <w:tc>
          <w:tcPr>
            <w:tcW w:w="2629" w:type="dxa"/>
            <w:tcBorders>
              <w:bottom w:val="single" w:sz="12" w:space="0" w:color="auto"/>
            </w:tcBorders>
            <w:vAlign w:val="center"/>
          </w:tcPr>
          <w:p w14:paraId="7A45F147" w14:textId="77777777" w:rsidR="00373681" w:rsidRPr="004D6FBD" w:rsidRDefault="00373681" w:rsidP="00A93CEF">
            <w:pPr>
              <w:tabs>
                <w:tab w:val="left" w:pos="1225"/>
              </w:tabs>
              <w:rPr>
                <w:rFonts w:ascii="Calibri" w:hAnsi="Calibri" w:cs="Calibri"/>
                <w:i/>
                <w:iCs/>
                <w:lang w:val="en-GB"/>
              </w:rPr>
            </w:pPr>
            <w:r w:rsidRPr="004D6FBD">
              <w:rPr>
                <w:rFonts w:ascii="Calibri" w:hAnsi="Calibri" w:cs="Calibri"/>
                <w:i/>
                <w:iCs/>
                <w:lang w:val="en-GB"/>
              </w:rPr>
              <w:t>12-month follow-up</w:t>
            </w:r>
          </w:p>
          <w:p w14:paraId="68463B55" w14:textId="7ADFD185" w:rsidR="00373681" w:rsidRPr="004D6FBD" w:rsidRDefault="00373681" w:rsidP="00A93CEF">
            <w:pPr>
              <w:tabs>
                <w:tab w:val="left" w:pos="1225"/>
              </w:tabs>
              <w:rPr>
                <w:rFonts w:ascii="Calibri" w:hAnsi="Calibri" w:cs="Calibri"/>
                <w:i/>
                <w:iCs/>
                <w:lang w:val="en-GB"/>
              </w:rPr>
            </w:pPr>
            <w:r w:rsidRPr="004D6FBD">
              <w:rPr>
                <w:rFonts w:ascii="Calibri" w:hAnsi="Calibri" w:cs="Calibri"/>
                <w:i/>
                <w:iCs/>
                <w:lang w:val="en-GB"/>
              </w:rPr>
              <w:t>Mean(SD)</w:t>
            </w:r>
          </w:p>
        </w:tc>
        <w:tc>
          <w:tcPr>
            <w:tcW w:w="2629" w:type="dxa"/>
            <w:tcBorders>
              <w:bottom w:val="single" w:sz="12" w:space="0" w:color="auto"/>
            </w:tcBorders>
            <w:vAlign w:val="center"/>
          </w:tcPr>
          <w:p w14:paraId="695F2689" w14:textId="77777777" w:rsidR="00373681" w:rsidRPr="004D6FBD" w:rsidRDefault="00373681" w:rsidP="00A93CEF">
            <w:pPr>
              <w:tabs>
                <w:tab w:val="left" w:pos="1225"/>
              </w:tabs>
              <w:rPr>
                <w:rFonts w:ascii="Calibri" w:hAnsi="Calibri" w:cs="Calibri"/>
                <w:i/>
                <w:iCs/>
                <w:lang w:val="en-GB"/>
              </w:rPr>
            </w:pPr>
            <w:r w:rsidRPr="004D6FBD">
              <w:rPr>
                <w:rFonts w:ascii="Calibri" w:hAnsi="Calibri" w:cs="Calibri"/>
                <w:i/>
                <w:iCs/>
                <w:lang w:val="en-GB"/>
              </w:rPr>
              <w:t>Baseline</w:t>
            </w:r>
          </w:p>
          <w:p w14:paraId="02563CE0" w14:textId="7775CEED" w:rsidR="00373681" w:rsidRPr="004D6FBD" w:rsidRDefault="00373681" w:rsidP="00A93CEF">
            <w:pPr>
              <w:tabs>
                <w:tab w:val="left" w:pos="1225"/>
              </w:tabs>
              <w:rPr>
                <w:rFonts w:ascii="Calibri" w:hAnsi="Calibri" w:cs="Calibri"/>
                <w:i/>
                <w:iCs/>
                <w:lang w:val="en-GB"/>
              </w:rPr>
            </w:pPr>
            <w:r w:rsidRPr="004D6FBD">
              <w:rPr>
                <w:rFonts w:ascii="Calibri" w:hAnsi="Calibri" w:cs="Calibri"/>
                <w:i/>
                <w:iCs/>
                <w:lang w:val="en-GB"/>
              </w:rPr>
              <w:t>Mean(SD)</w:t>
            </w:r>
          </w:p>
        </w:tc>
        <w:tc>
          <w:tcPr>
            <w:tcW w:w="2630" w:type="dxa"/>
            <w:tcBorders>
              <w:bottom w:val="single" w:sz="12" w:space="0" w:color="auto"/>
            </w:tcBorders>
            <w:vAlign w:val="center"/>
          </w:tcPr>
          <w:p w14:paraId="416A0E74" w14:textId="77777777" w:rsidR="00373681" w:rsidRPr="004D6FBD" w:rsidRDefault="00373681" w:rsidP="00A93CEF">
            <w:pPr>
              <w:tabs>
                <w:tab w:val="left" w:pos="1225"/>
              </w:tabs>
              <w:rPr>
                <w:rFonts w:ascii="Calibri" w:hAnsi="Calibri" w:cs="Calibri"/>
                <w:i/>
                <w:iCs/>
                <w:lang w:val="en-GB"/>
              </w:rPr>
            </w:pPr>
            <w:r w:rsidRPr="004D6FBD">
              <w:rPr>
                <w:rFonts w:ascii="Calibri" w:hAnsi="Calibri" w:cs="Calibri"/>
                <w:i/>
                <w:iCs/>
                <w:lang w:val="en-GB"/>
              </w:rPr>
              <w:t>12-month follow-up</w:t>
            </w:r>
          </w:p>
          <w:p w14:paraId="1CB95103" w14:textId="7D9064C9" w:rsidR="00373681" w:rsidRPr="004D6FBD" w:rsidRDefault="00373681" w:rsidP="00A93CEF">
            <w:pPr>
              <w:tabs>
                <w:tab w:val="left" w:pos="1225"/>
              </w:tabs>
              <w:rPr>
                <w:rFonts w:ascii="Calibri" w:hAnsi="Calibri" w:cs="Calibri"/>
                <w:i/>
                <w:iCs/>
                <w:lang w:val="en-GB"/>
              </w:rPr>
            </w:pPr>
            <w:r w:rsidRPr="004D6FBD">
              <w:rPr>
                <w:rFonts w:ascii="Calibri" w:hAnsi="Calibri" w:cs="Calibri"/>
                <w:i/>
                <w:iCs/>
                <w:lang w:val="en-GB"/>
              </w:rPr>
              <w:t>Mean(SD)</w:t>
            </w:r>
          </w:p>
        </w:tc>
      </w:tr>
      <w:tr w:rsidR="00373681" w:rsidRPr="004D6FBD" w14:paraId="60070369" w14:textId="77777777" w:rsidTr="009F1A82">
        <w:trPr>
          <w:trHeight w:val="185"/>
        </w:trPr>
        <w:tc>
          <w:tcPr>
            <w:tcW w:w="4106" w:type="dxa"/>
            <w:gridSpan w:val="3"/>
            <w:tcBorders>
              <w:top w:val="single" w:sz="12" w:space="0" w:color="auto"/>
              <w:bottom w:val="single" w:sz="12" w:space="0" w:color="auto"/>
            </w:tcBorders>
          </w:tcPr>
          <w:p w14:paraId="300051AB" w14:textId="0B928172" w:rsidR="00373681" w:rsidRPr="004D6FBD" w:rsidRDefault="00373681" w:rsidP="00572132">
            <w:pPr>
              <w:tabs>
                <w:tab w:val="left" w:pos="1225"/>
              </w:tabs>
              <w:rPr>
                <w:rFonts w:ascii="Calibri" w:hAnsi="Calibri" w:cs="Calibri"/>
                <w:b/>
                <w:bCs/>
                <w:lang w:val="en-GB"/>
              </w:rPr>
            </w:pPr>
            <w:r w:rsidRPr="004D6FBD">
              <w:rPr>
                <w:rFonts w:ascii="Calibri" w:hAnsi="Calibri" w:cs="Calibri"/>
                <w:b/>
                <w:bCs/>
                <w:lang w:val="en-GB"/>
              </w:rPr>
              <w:t>COSTS</w:t>
            </w:r>
          </w:p>
        </w:tc>
        <w:tc>
          <w:tcPr>
            <w:tcW w:w="2629" w:type="dxa"/>
            <w:tcBorders>
              <w:top w:val="single" w:sz="12" w:space="0" w:color="auto"/>
              <w:bottom w:val="single" w:sz="12" w:space="0" w:color="auto"/>
            </w:tcBorders>
          </w:tcPr>
          <w:p w14:paraId="1749D74E" w14:textId="77777777" w:rsidR="00373681" w:rsidRPr="004D6FBD" w:rsidRDefault="00373681" w:rsidP="00572132">
            <w:pPr>
              <w:tabs>
                <w:tab w:val="left" w:pos="1225"/>
              </w:tabs>
              <w:rPr>
                <w:rFonts w:ascii="Calibri" w:hAnsi="Calibri" w:cs="Calibri"/>
                <w:lang w:val="en-GB"/>
              </w:rPr>
            </w:pPr>
          </w:p>
        </w:tc>
        <w:tc>
          <w:tcPr>
            <w:tcW w:w="2629" w:type="dxa"/>
            <w:tcBorders>
              <w:top w:val="single" w:sz="12" w:space="0" w:color="auto"/>
              <w:bottom w:val="single" w:sz="12" w:space="0" w:color="auto"/>
            </w:tcBorders>
          </w:tcPr>
          <w:p w14:paraId="06D57812" w14:textId="77777777" w:rsidR="00373681" w:rsidRPr="004D6FBD" w:rsidRDefault="00373681" w:rsidP="00572132">
            <w:pPr>
              <w:tabs>
                <w:tab w:val="left" w:pos="1225"/>
              </w:tabs>
              <w:rPr>
                <w:rFonts w:ascii="Calibri" w:hAnsi="Calibri" w:cs="Calibri"/>
                <w:lang w:val="en-GB"/>
              </w:rPr>
            </w:pPr>
          </w:p>
        </w:tc>
        <w:tc>
          <w:tcPr>
            <w:tcW w:w="2629" w:type="dxa"/>
            <w:tcBorders>
              <w:top w:val="single" w:sz="12" w:space="0" w:color="auto"/>
              <w:bottom w:val="single" w:sz="12" w:space="0" w:color="auto"/>
            </w:tcBorders>
          </w:tcPr>
          <w:p w14:paraId="466C0EE0" w14:textId="77777777" w:rsidR="00373681" w:rsidRPr="004D6FBD" w:rsidRDefault="00373681" w:rsidP="00572132">
            <w:pPr>
              <w:tabs>
                <w:tab w:val="left" w:pos="1225"/>
              </w:tabs>
              <w:rPr>
                <w:rFonts w:ascii="Calibri" w:hAnsi="Calibri" w:cs="Calibri"/>
                <w:lang w:val="en-GB"/>
              </w:rPr>
            </w:pPr>
          </w:p>
        </w:tc>
        <w:tc>
          <w:tcPr>
            <w:tcW w:w="2630" w:type="dxa"/>
            <w:tcBorders>
              <w:top w:val="single" w:sz="12" w:space="0" w:color="auto"/>
              <w:bottom w:val="single" w:sz="12" w:space="0" w:color="auto"/>
            </w:tcBorders>
          </w:tcPr>
          <w:p w14:paraId="3A837407" w14:textId="77777777" w:rsidR="00373681" w:rsidRPr="004D6FBD" w:rsidRDefault="00373681" w:rsidP="00572132">
            <w:pPr>
              <w:tabs>
                <w:tab w:val="left" w:pos="1225"/>
              </w:tabs>
              <w:rPr>
                <w:rFonts w:ascii="Calibri" w:hAnsi="Calibri" w:cs="Calibri"/>
                <w:lang w:val="en-GB"/>
              </w:rPr>
            </w:pPr>
          </w:p>
        </w:tc>
      </w:tr>
      <w:tr w:rsidR="00373681" w:rsidRPr="004D6FBD" w14:paraId="638D80DB" w14:textId="77777777" w:rsidTr="009F1A82">
        <w:trPr>
          <w:trHeight w:val="295"/>
        </w:trPr>
        <w:tc>
          <w:tcPr>
            <w:tcW w:w="499" w:type="dxa"/>
            <w:tcBorders>
              <w:top w:val="single" w:sz="12" w:space="0" w:color="auto"/>
            </w:tcBorders>
          </w:tcPr>
          <w:p w14:paraId="0A804709" w14:textId="77777777" w:rsidR="00373681" w:rsidRPr="004D6FBD" w:rsidRDefault="00373681" w:rsidP="00572132">
            <w:pPr>
              <w:rPr>
                <w:rFonts w:ascii="Calibri" w:hAnsi="Calibri" w:cs="Calibri"/>
                <w:b/>
                <w:bCs/>
                <w:lang w:val="en-GB"/>
              </w:rPr>
            </w:pPr>
          </w:p>
        </w:tc>
        <w:tc>
          <w:tcPr>
            <w:tcW w:w="3607" w:type="dxa"/>
            <w:gridSpan w:val="2"/>
            <w:tcBorders>
              <w:top w:val="single" w:sz="12" w:space="0" w:color="auto"/>
            </w:tcBorders>
          </w:tcPr>
          <w:p w14:paraId="2A79DCA9" w14:textId="1A3768F6" w:rsidR="00373681" w:rsidRPr="009F1A82" w:rsidRDefault="00373681" w:rsidP="009F1A82">
            <w:pPr>
              <w:rPr>
                <w:rFonts w:ascii="Calibri" w:hAnsi="Calibri" w:cs="Calibri"/>
                <w:i/>
                <w:iCs/>
                <w:lang w:val="en-GB"/>
              </w:rPr>
            </w:pPr>
            <w:r w:rsidRPr="004D6FBD">
              <w:rPr>
                <w:rFonts w:ascii="Calibri" w:hAnsi="Calibri" w:cs="Calibri"/>
                <w:b/>
                <w:bCs/>
                <w:lang w:val="en-GB"/>
              </w:rPr>
              <w:t>Healthcare costs</w:t>
            </w:r>
            <w:r w:rsidRPr="004D6FBD">
              <w:rPr>
                <w:rFonts w:ascii="Calibri" w:hAnsi="Calibri" w:cs="Calibri"/>
                <w:lang w:val="en-GB"/>
              </w:rPr>
              <w:t xml:space="preserve"> </w:t>
            </w:r>
          </w:p>
        </w:tc>
        <w:tc>
          <w:tcPr>
            <w:tcW w:w="2629" w:type="dxa"/>
            <w:tcBorders>
              <w:top w:val="single" w:sz="12" w:space="0" w:color="auto"/>
            </w:tcBorders>
            <w:vAlign w:val="center"/>
          </w:tcPr>
          <w:p w14:paraId="2012F964"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2,261 (3,628)</w:t>
            </w:r>
          </w:p>
        </w:tc>
        <w:tc>
          <w:tcPr>
            <w:tcW w:w="2629" w:type="dxa"/>
            <w:tcBorders>
              <w:top w:val="single" w:sz="12" w:space="0" w:color="auto"/>
            </w:tcBorders>
            <w:vAlign w:val="center"/>
          </w:tcPr>
          <w:p w14:paraId="12F63B6F"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2,362 (4,157)</w:t>
            </w:r>
          </w:p>
        </w:tc>
        <w:tc>
          <w:tcPr>
            <w:tcW w:w="2629" w:type="dxa"/>
            <w:tcBorders>
              <w:top w:val="single" w:sz="12" w:space="0" w:color="auto"/>
            </w:tcBorders>
            <w:vAlign w:val="center"/>
          </w:tcPr>
          <w:p w14:paraId="0B52DD74"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2,417 (4,956)</w:t>
            </w:r>
          </w:p>
        </w:tc>
        <w:tc>
          <w:tcPr>
            <w:tcW w:w="2630" w:type="dxa"/>
            <w:tcBorders>
              <w:top w:val="single" w:sz="12" w:space="0" w:color="auto"/>
            </w:tcBorders>
            <w:vAlign w:val="center"/>
          </w:tcPr>
          <w:p w14:paraId="0506739A"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2,436 (4,621)</w:t>
            </w:r>
          </w:p>
        </w:tc>
      </w:tr>
      <w:tr w:rsidR="00373681" w:rsidRPr="004D6FBD" w14:paraId="70D39493" w14:textId="77777777" w:rsidTr="009F1A82">
        <w:trPr>
          <w:trHeight w:val="295"/>
        </w:trPr>
        <w:tc>
          <w:tcPr>
            <w:tcW w:w="499" w:type="dxa"/>
          </w:tcPr>
          <w:p w14:paraId="4C65A505" w14:textId="77777777" w:rsidR="00373681" w:rsidRPr="004D6FBD" w:rsidRDefault="00373681" w:rsidP="00572132">
            <w:pPr>
              <w:tabs>
                <w:tab w:val="left" w:pos="1225"/>
              </w:tabs>
              <w:rPr>
                <w:rFonts w:ascii="Calibri" w:hAnsi="Calibri" w:cs="Calibri"/>
                <w:i/>
                <w:iCs/>
                <w:lang w:val="en-GB"/>
              </w:rPr>
            </w:pPr>
          </w:p>
        </w:tc>
        <w:tc>
          <w:tcPr>
            <w:tcW w:w="473" w:type="dxa"/>
          </w:tcPr>
          <w:p w14:paraId="0294165B" w14:textId="604183AE" w:rsidR="00373681" w:rsidRPr="004D6FBD" w:rsidRDefault="00373681" w:rsidP="00572132">
            <w:pPr>
              <w:tabs>
                <w:tab w:val="left" w:pos="1225"/>
              </w:tabs>
              <w:rPr>
                <w:rFonts w:ascii="Calibri" w:hAnsi="Calibri" w:cs="Calibri"/>
                <w:i/>
                <w:iCs/>
                <w:lang w:val="en-GB"/>
              </w:rPr>
            </w:pPr>
          </w:p>
        </w:tc>
        <w:tc>
          <w:tcPr>
            <w:tcW w:w="3134" w:type="dxa"/>
            <w:vAlign w:val="center"/>
          </w:tcPr>
          <w:p w14:paraId="46954E50" w14:textId="71C3E0CD" w:rsidR="00373681" w:rsidRPr="004D6FBD" w:rsidRDefault="00373681" w:rsidP="00572132">
            <w:pPr>
              <w:tabs>
                <w:tab w:val="left" w:pos="1225"/>
              </w:tabs>
              <w:rPr>
                <w:rFonts w:ascii="Calibri" w:hAnsi="Calibri" w:cs="Calibri"/>
                <w:lang w:val="en-GB"/>
              </w:rPr>
            </w:pPr>
            <w:r w:rsidRPr="004D6FBD">
              <w:rPr>
                <w:rFonts w:ascii="Calibri" w:hAnsi="Calibri" w:cs="Calibri"/>
                <w:i/>
                <w:iCs/>
                <w:lang w:val="en-GB"/>
              </w:rPr>
              <w:t xml:space="preserve">Total visits  </w:t>
            </w:r>
          </w:p>
        </w:tc>
        <w:tc>
          <w:tcPr>
            <w:tcW w:w="2629" w:type="dxa"/>
            <w:vAlign w:val="center"/>
          </w:tcPr>
          <w:p w14:paraId="68EA3D75"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1,161 (1,204)</w:t>
            </w:r>
          </w:p>
        </w:tc>
        <w:tc>
          <w:tcPr>
            <w:tcW w:w="2629" w:type="dxa"/>
            <w:vAlign w:val="center"/>
          </w:tcPr>
          <w:p w14:paraId="7D44AF01"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1,122 (1,109)</w:t>
            </w:r>
          </w:p>
        </w:tc>
        <w:tc>
          <w:tcPr>
            <w:tcW w:w="2629" w:type="dxa"/>
            <w:vAlign w:val="center"/>
          </w:tcPr>
          <w:p w14:paraId="4EFAC315"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1,026 (910)</w:t>
            </w:r>
          </w:p>
        </w:tc>
        <w:tc>
          <w:tcPr>
            <w:tcW w:w="2630" w:type="dxa"/>
            <w:vAlign w:val="center"/>
          </w:tcPr>
          <w:p w14:paraId="051AD114"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1,019 (1,014)</w:t>
            </w:r>
          </w:p>
        </w:tc>
      </w:tr>
      <w:tr w:rsidR="00373681" w:rsidRPr="004D6FBD" w14:paraId="6ED7525B" w14:textId="77777777" w:rsidTr="009F1A82">
        <w:trPr>
          <w:trHeight w:val="295"/>
        </w:trPr>
        <w:tc>
          <w:tcPr>
            <w:tcW w:w="499" w:type="dxa"/>
          </w:tcPr>
          <w:p w14:paraId="7BEB6289" w14:textId="77777777" w:rsidR="00373681" w:rsidRPr="004D6FBD" w:rsidRDefault="00373681" w:rsidP="00572132">
            <w:pPr>
              <w:tabs>
                <w:tab w:val="left" w:pos="1225"/>
              </w:tabs>
              <w:rPr>
                <w:rFonts w:ascii="Calibri" w:hAnsi="Calibri" w:cs="Calibri"/>
                <w:i/>
                <w:iCs/>
                <w:lang w:val="en-GB"/>
              </w:rPr>
            </w:pPr>
          </w:p>
        </w:tc>
        <w:tc>
          <w:tcPr>
            <w:tcW w:w="473" w:type="dxa"/>
          </w:tcPr>
          <w:p w14:paraId="2B4216D2" w14:textId="4133D125" w:rsidR="00373681" w:rsidRPr="004D6FBD" w:rsidRDefault="00373681" w:rsidP="00572132">
            <w:pPr>
              <w:tabs>
                <w:tab w:val="left" w:pos="1225"/>
              </w:tabs>
              <w:rPr>
                <w:rFonts w:ascii="Calibri" w:hAnsi="Calibri" w:cs="Calibri"/>
                <w:i/>
                <w:iCs/>
                <w:lang w:val="en-GB"/>
              </w:rPr>
            </w:pPr>
          </w:p>
        </w:tc>
        <w:tc>
          <w:tcPr>
            <w:tcW w:w="3134" w:type="dxa"/>
            <w:vAlign w:val="center"/>
          </w:tcPr>
          <w:p w14:paraId="7FF7C0F6" w14:textId="22B23FB0" w:rsidR="00373681" w:rsidRPr="004D6FBD" w:rsidRDefault="00373681" w:rsidP="00572132">
            <w:pPr>
              <w:tabs>
                <w:tab w:val="left" w:pos="1225"/>
              </w:tabs>
              <w:rPr>
                <w:rFonts w:ascii="Calibri" w:hAnsi="Calibri" w:cs="Calibri"/>
                <w:lang w:val="en-GB"/>
              </w:rPr>
            </w:pPr>
            <w:r w:rsidRPr="004D6FBD">
              <w:rPr>
                <w:rFonts w:ascii="Calibri" w:hAnsi="Calibri" w:cs="Calibri"/>
                <w:i/>
                <w:iCs/>
                <w:lang w:val="en-GB"/>
              </w:rPr>
              <w:t>Medical tests</w:t>
            </w:r>
          </w:p>
        </w:tc>
        <w:tc>
          <w:tcPr>
            <w:tcW w:w="2629" w:type="dxa"/>
            <w:vAlign w:val="center"/>
          </w:tcPr>
          <w:p w14:paraId="5EB29D6B"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74 (130)</w:t>
            </w:r>
          </w:p>
        </w:tc>
        <w:tc>
          <w:tcPr>
            <w:tcW w:w="2629" w:type="dxa"/>
            <w:vAlign w:val="center"/>
          </w:tcPr>
          <w:p w14:paraId="054DFC0C"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96 (155)</w:t>
            </w:r>
          </w:p>
        </w:tc>
        <w:tc>
          <w:tcPr>
            <w:tcW w:w="2629" w:type="dxa"/>
            <w:vAlign w:val="center"/>
          </w:tcPr>
          <w:p w14:paraId="1BCB1A99"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60 (118)</w:t>
            </w:r>
          </w:p>
        </w:tc>
        <w:tc>
          <w:tcPr>
            <w:tcW w:w="2630" w:type="dxa"/>
            <w:vAlign w:val="center"/>
          </w:tcPr>
          <w:p w14:paraId="59C828F0"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80 (135)</w:t>
            </w:r>
          </w:p>
        </w:tc>
      </w:tr>
      <w:tr w:rsidR="00373681" w:rsidRPr="004D6FBD" w14:paraId="083D738E" w14:textId="77777777" w:rsidTr="009F1A82">
        <w:trPr>
          <w:trHeight w:val="295"/>
        </w:trPr>
        <w:tc>
          <w:tcPr>
            <w:tcW w:w="499" w:type="dxa"/>
          </w:tcPr>
          <w:p w14:paraId="332A6C71" w14:textId="77777777" w:rsidR="00373681" w:rsidRPr="004D6FBD" w:rsidRDefault="00373681" w:rsidP="00572132">
            <w:pPr>
              <w:tabs>
                <w:tab w:val="left" w:pos="1225"/>
              </w:tabs>
              <w:rPr>
                <w:rFonts w:ascii="Calibri" w:hAnsi="Calibri" w:cs="Calibri"/>
                <w:i/>
                <w:iCs/>
                <w:lang w:val="en-GB"/>
              </w:rPr>
            </w:pPr>
          </w:p>
        </w:tc>
        <w:tc>
          <w:tcPr>
            <w:tcW w:w="473" w:type="dxa"/>
          </w:tcPr>
          <w:p w14:paraId="204EFC5E" w14:textId="1718F2E1" w:rsidR="00373681" w:rsidRPr="004D6FBD" w:rsidRDefault="00373681" w:rsidP="00572132">
            <w:pPr>
              <w:tabs>
                <w:tab w:val="left" w:pos="1225"/>
              </w:tabs>
              <w:rPr>
                <w:rFonts w:ascii="Calibri" w:hAnsi="Calibri" w:cs="Calibri"/>
                <w:i/>
                <w:iCs/>
                <w:lang w:val="en-GB"/>
              </w:rPr>
            </w:pPr>
          </w:p>
        </w:tc>
        <w:tc>
          <w:tcPr>
            <w:tcW w:w="3134" w:type="dxa"/>
            <w:vAlign w:val="center"/>
          </w:tcPr>
          <w:p w14:paraId="557F5EB9" w14:textId="1AC55B5F" w:rsidR="00373681" w:rsidRPr="004D6FBD" w:rsidRDefault="00373681" w:rsidP="00572132">
            <w:pPr>
              <w:tabs>
                <w:tab w:val="left" w:pos="1225"/>
              </w:tabs>
              <w:rPr>
                <w:rFonts w:ascii="Calibri" w:hAnsi="Calibri" w:cs="Calibri"/>
                <w:lang w:val="en-GB"/>
              </w:rPr>
            </w:pPr>
            <w:r w:rsidRPr="004D6FBD">
              <w:rPr>
                <w:rFonts w:ascii="Calibri" w:hAnsi="Calibri" w:cs="Calibri"/>
                <w:i/>
                <w:iCs/>
                <w:lang w:val="en-GB"/>
              </w:rPr>
              <w:t>Medication</w:t>
            </w:r>
          </w:p>
        </w:tc>
        <w:tc>
          <w:tcPr>
            <w:tcW w:w="2629" w:type="dxa"/>
            <w:vAlign w:val="center"/>
          </w:tcPr>
          <w:p w14:paraId="1261CE2E"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412 (648)</w:t>
            </w:r>
          </w:p>
        </w:tc>
        <w:tc>
          <w:tcPr>
            <w:tcW w:w="2629" w:type="dxa"/>
            <w:vAlign w:val="center"/>
          </w:tcPr>
          <w:p w14:paraId="4D2F6E90"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291 (578)</w:t>
            </w:r>
          </w:p>
        </w:tc>
        <w:tc>
          <w:tcPr>
            <w:tcW w:w="2629" w:type="dxa"/>
            <w:vAlign w:val="center"/>
          </w:tcPr>
          <w:p w14:paraId="2FB15877"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465 (706)</w:t>
            </w:r>
          </w:p>
        </w:tc>
        <w:tc>
          <w:tcPr>
            <w:tcW w:w="2630" w:type="dxa"/>
            <w:vAlign w:val="center"/>
          </w:tcPr>
          <w:p w14:paraId="419B9204"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301 (522)</w:t>
            </w:r>
          </w:p>
        </w:tc>
      </w:tr>
      <w:tr w:rsidR="00373681" w:rsidRPr="004D6FBD" w14:paraId="4B0EA07D" w14:textId="77777777" w:rsidTr="009F1A82">
        <w:trPr>
          <w:trHeight w:val="295"/>
        </w:trPr>
        <w:tc>
          <w:tcPr>
            <w:tcW w:w="499" w:type="dxa"/>
          </w:tcPr>
          <w:p w14:paraId="5F54ADEF" w14:textId="77777777" w:rsidR="00373681" w:rsidRPr="004D6FBD" w:rsidRDefault="00373681" w:rsidP="00572132">
            <w:pPr>
              <w:tabs>
                <w:tab w:val="left" w:pos="1225"/>
              </w:tabs>
              <w:rPr>
                <w:rFonts w:ascii="Calibri" w:hAnsi="Calibri" w:cs="Calibri"/>
                <w:i/>
                <w:iCs/>
                <w:lang w:val="en-GB"/>
              </w:rPr>
            </w:pPr>
          </w:p>
        </w:tc>
        <w:tc>
          <w:tcPr>
            <w:tcW w:w="473" w:type="dxa"/>
          </w:tcPr>
          <w:p w14:paraId="778CD455" w14:textId="3751FC9C" w:rsidR="00373681" w:rsidRPr="004D6FBD" w:rsidRDefault="00373681" w:rsidP="00572132">
            <w:pPr>
              <w:tabs>
                <w:tab w:val="left" w:pos="1225"/>
              </w:tabs>
              <w:rPr>
                <w:rFonts w:ascii="Calibri" w:hAnsi="Calibri" w:cs="Calibri"/>
                <w:i/>
                <w:iCs/>
                <w:lang w:val="en-GB"/>
              </w:rPr>
            </w:pPr>
          </w:p>
        </w:tc>
        <w:tc>
          <w:tcPr>
            <w:tcW w:w="3134" w:type="dxa"/>
            <w:vAlign w:val="center"/>
          </w:tcPr>
          <w:p w14:paraId="3886C8BB" w14:textId="4205E772" w:rsidR="00373681" w:rsidRPr="004D6FBD" w:rsidRDefault="00373681" w:rsidP="00572132">
            <w:pPr>
              <w:tabs>
                <w:tab w:val="left" w:pos="1225"/>
              </w:tabs>
              <w:rPr>
                <w:rFonts w:ascii="Calibri" w:hAnsi="Calibri" w:cs="Calibri"/>
                <w:lang w:val="en-GB"/>
              </w:rPr>
            </w:pPr>
            <w:r w:rsidRPr="004D6FBD">
              <w:rPr>
                <w:rFonts w:ascii="Calibri" w:hAnsi="Calibri" w:cs="Calibri"/>
                <w:i/>
                <w:iCs/>
                <w:lang w:val="en-GB"/>
              </w:rPr>
              <w:t>Inpatient hospitalisation</w:t>
            </w:r>
          </w:p>
        </w:tc>
        <w:tc>
          <w:tcPr>
            <w:tcW w:w="2629" w:type="dxa"/>
            <w:vAlign w:val="center"/>
          </w:tcPr>
          <w:p w14:paraId="25CF85FA"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522 (2,390)</w:t>
            </w:r>
          </w:p>
        </w:tc>
        <w:tc>
          <w:tcPr>
            <w:tcW w:w="2629" w:type="dxa"/>
            <w:vAlign w:val="center"/>
          </w:tcPr>
          <w:p w14:paraId="25538BB5"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765 (4,042)</w:t>
            </w:r>
          </w:p>
        </w:tc>
        <w:tc>
          <w:tcPr>
            <w:tcW w:w="2629" w:type="dxa"/>
            <w:vAlign w:val="center"/>
          </w:tcPr>
          <w:p w14:paraId="112367F6"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 xml:space="preserve">729 (3,746) </w:t>
            </w:r>
          </w:p>
        </w:tc>
        <w:tc>
          <w:tcPr>
            <w:tcW w:w="2630" w:type="dxa"/>
            <w:vAlign w:val="center"/>
          </w:tcPr>
          <w:p w14:paraId="16580D9B"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971 (4,042)</w:t>
            </w:r>
          </w:p>
        </w:tc>
      </w:tr>
      <w:tr w:rsidR="00373681" w:rsidRPr="004D6FBD" w14:paraId="576294E6" w14:textId="77777777" w:rsidTr="009F1A82">
        <w:trPr>
          <w:trHeight w:val="295"/>
        </w:trPr>
        <w:tc>
          <w:tcPr>
            <w:tcW w:w="499" w:type="dxa"/>
          </w:tcPr>
          <w:p w14:paraId="6C35239D" w14:textId="77777777" w:rsidR="00373681" w:rsidRPr="004D6FBD" w:rsidRDefault="00373681" w:rsidP="00572132">
            <w:pPr>
              <w:tabs>
                <w:tab w:val="left" w:pos="1225"/>
              </w:tabs>
              <w:rPr>
                <w:rFonts w:ascii="Calibri" w:hAnsi="Calibri" w:cs="Calibri"/>
                <w:i/>
                <w:iCs/>
                <w:lang w:val="en-GB"/>
              </w:rPr>
            </w:pPr>
          </w:p>
        </w:tc>
        <w:tc>
          <w:tcPr>
            <w:tcW w:w="473" w:type="dxa"/>
          </w:tcPr>
          <w:p w14:paraId="49697860" w14:textId="761DB1A6" w:rsidR="00373681" w:rsidRPr="004D6FBD" w:rsidRDefault="00373681" w:rsidP="00572132">
            <w:pPr>
              <w:tabs>
                <w:tab w:val="left" w:pos="1225"/>
              </w:tabs>
              <w:rPr>
                <w:rFonts w:ascii="Calibri" w:hAnsi="Calibri" w:cs="Calibri"/>
                <w:i/>
                <w:iCs/>
                <w:lang w:val="en-GB"/>
              </w:rPr>
            </w:pPr>
          </w:p>
        </w:tc>
        <w:tc>
          <w:tcPr>
            <w:tcW w:w="3134" w:type="dxa"/>
            <w:vAlign w:val="center"/>
          </w:tcPr>
          <w:p w14:paraId="0B2FC98F" w14:textId="217966CD" w:rsidR="00373681" w:rsidRPr="004D6FBD" w:rsidRDefault="00373681" w:rsidP="00572132">
            <w:pPr>
              <w:tabs>
                <w:tab w:val="left" w:pos="1225"/>
              </w:tabs>
              <w:rPr>
                <w:rFonts w:ascii="Calibri" w:hAnsi="Calibri" w:cs="Calibri"/>
                <w:lang w:val="en-GB"/>
              </w:rPr>
            </w:pPr>
            <w:r w:rsidRPr="004D6FBD">
              <w:rPr>
                <w:rFonts w:ascii="Calibri" w:hAnsi="Calibri" w:cs="Calibri"/>
                <w:i/>
                <w:iCs/>
                <w:lang w:val="en-GB"/>
              </w:rPr>
              <w:t>ICU</w:t>
            </w:r>
          </w:p>
        </w:tc>
        <w:tc>
          <w:tcPr>
            <w:tcW w:w="2629" w:type="dxa"/>
            <w:vAlign w:val="center"/>
          </w:tcPr>
          <w:p w14:paraId="435426E0"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93 (1,363)</w:t>
            </w:r>
          </w:p>
        </w:tc>
        <w:tc>
          <w:tcPr>
            <w:tcW w:w="2629" w:type="dxa"/>
            <w:vAlign w:val="center"/>
          </w:tcPr>
          <w:p w14:paraId="0E64347F"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88 (1,178)</w:t>
            </w:r>
          </w:p>
        </w:tc>
        <w:tc>
          <w:tcPr>
            <w:tcW w:w="2629" w:type="dxa"/>
            <w:vAlign w:val="center"/>
          </w:tcPr>
          <w:p w14:paraId="353EACCD"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138 (1,516)</w:t>
            </w:r>
          </w:p>
        </w:tc>
        <w:tc>
          <w:tcPr>
            <w:tcW w:w="2630" w:type="dxa"/>
            <w:vAlign w:val="center"/>
          </w:tcPr>
          <w:p w14:paraId="407804F2"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65 (735)</w:t>
            </w:r>
          </w:p>
        </w:tc>
      </w:tr>
      <w:tr w:rsidR="00373681" w:rsidRPr="004D6FBD" w14:paraId="60C03D37" w14:textId="77777777" w:rsidTr="009F1A82">
        <w:trPr>
          <w:trHeight w:val="295"/>
        </w:trPr>
        <w:tc>
          <w:tcPr>
            <w:tcW w:w="499" w:type="dxa"/>
          </w:tcPr>
          <w:p w14:paraId="04F17138" w14:textId="77777777" w:rsidR="00373681" w:rsidRPr="004D6FBD" w:rsidRDefault="00373681" w:rsidP="00572132">
            <w:pPr>
              <w:rPr>
                <w:rFonts w:ascii="Calibri" w:hAnsi="Calibri" w:cs="Calibri"/>
                <w:b/>
                <w:bCs/>
                <w:lang w:val="en-GB"/>
              </w:rPr>
            </w:pPr>
          </w:p>
        </w:tc>
        <w:tc>
          <w:tcPr>
            <w:tcW w:w="3607" w:type="dxa"/>
            <w:gridSpan w:val="2"/>
          </w:tcPr>
          <w:p w14:paraId="459104F6" w14:textId="5AB2736D" w:rsidR="00373681" w:rsidRPr="009F1A82" w:rsidRDefault="00373681" w:rsidP="009F1A82">
            <w:pPr>
              <w:rPr>
                <w:rFonts w:ascii="Calibri" w:hAnsi="Calibri" w:cs="Calibri"/>
                <w:i/>
                <w:iCs/>
                <w:lang w:val="en-GB"/>
              </w:rPr>
            </w:pPr>
            <w:r w:rsidRPr="004D6FBD">
              <w:rPr>
                <w:rFonts w:ascii="Calibri" w:hAnsi="Calibri" w:cs="Calibri"/>
                <w:b/>
                <w:bCs/>
                <w:lang w:val="en-GB"/>
              </w:rPr>
              <w:t xml:space="preserve">Healthcare costs + IMA </w:t>
            </w:r>
            <w:proofErr w:type="spellStart"/>
            <w:r w:rsidRPr="004D6FBD">
              <w:rPr>
                <w:rFonts w:ascii="Calibri" w:hAnsi="Calibri" w:cs="Calibri"/>
                <w:b/>
                <w:bCs/>
                <w:lang w:val="en-GB"/>
              </w:rPr>
              <w:t>intervention</w:t>
            </w:r>
            <w:r w:rsidR="009F1A82">
              <w:rPr>
                <w:rFonts w:ascii="Calibri" w:hAnsi="Calibri" w:cs="Calibri"/>
                <w:b/>
                <w:bCs/>
                <w:vertAlign w:val="superscript"/>
                <w:lang w:val="en-GB"/>
              </w:rPr>
              <w:t>a</w:t>
            </w:r>
            <w:proofErr w:type="spellEnd"/>
            <w:r w:rsidRPr="004D6FBD">
              <w:rPr>
                <w:rFonts w:ascii="Calibri" w:hAnsi="Calibri" w:cs="Calibri"/>
                <w:lang w:val="en-GB"/>
              </w:rPr>
              <w:t xml:space="preserve"> </w:t>
            </w:r>
          </w:p>
        </w:tc>
        <w:tc>
          <w:tcPr>
            <w:tcW w:w="2629" w:type="dxa"/>
            <w:vAlign w:val="center"/>
          </w:tcPr>
          <w:p w14:paraId="677829A1"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2,261 (3,628)</w:t>
            </w:r>
          </w:p>
        </w:tc>
        <w:tc>
          <w:tcPr>
            <w:tcW w:w="2629" w:type="dxa"/>
            <w:vAlign w:val="center"/>
          </w:tcPr>
          <w:p w14:paraId="07E204A5"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2,367 (4,157)</w:t>
            </w:r>
          </w:p>
        </w:tc>
        <w:tc>
          <w:tcPr>
            <w:tcW w:w="2629" w:type="dxa"/>
            <w:vAlign w:val="center"/>
          </w:tcPr>
          <w:p w14:paraId="04D8EACA"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2,417 (4,956)</w:t>
            </w:r>
          </w:p>
        </w:tc>
        <w:tc>
          <w:tcPr>
            <w:tcW w:w="2630" w:type="dxa"/>
            <w:vAlign w:val="center"/>
          </w:tcPr>
          <w:p w14:paraId="10B3E761"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2,436 (4,621)</w:t>
            </w:r>
          </w:p>
        </w:tc>
      </w:tr>
      <w:tr w:rsidR="00373681" w:rsidRPr="004D6FBD" w14:paraId="36CB9DDC" w14:textId="77777777" w:rsidTr="009F1A82">
        <w:trPr>
          <w:trHeight w:val="295"/>
        </w:trPr>
        <w:tc>
          <w:tcPr>
            <w:tcW w:w="499" w:type="dxa"/>
          </w:tcPr>
          <w:p w14:paraId="205202F3" w14:textId="77777777" w:rsidR="00373681" w:rsidRPr="004D6FBD" w:rsidRDefault="00373681" w:rsidP="00572132">
            <w:pPr>
              <w:rPr>
                <w:rFonts w:ascii="Calibri" w:hAnsi="Calibri" w:cs="Calibri"/>
                <w:b/>
                <w:bCs/>
                <w:lang w:val="en-GB"/>
              </w:rPr>
            </w:pPr>
          </w:p>
        </w:tc>
        <w:tc>
          <w:tcPr>
            <w:tcW w:w="3607" w:type="dxa"/>
            <w:gridSpan w:val="2"/>
          </w:tcPr>
          <w:p w14:paraId="5B57E45E" w14:textId="4035C343" w:rsidR="00373681" w:rsidRPr="004D6FBD" w:rsidRDefault="00373681" w:rsidP="001242D6">
            <w:pPr>
              <w:rPr>
                <w:rFonts w:ascii="Calibri" w:hAnsi="Calibri" w:cs="Calibri"/>
                <w:lang w:val="en-GB"/>
              </w:rPr>
            </w:pPr>
            <w:r w:rsidRPr="004D6FBD">
              <w:rPr>
                <w:rFonts w:ascii="Calibri" w:hAnsi="Calibri" w:cs="Calibri"/>
                <w:b/>
                <w:bCs/>
                <w:lang w:val="en-GB"/>
              </w:rPr>
              <w:t xml:space="preserve">Societal costs (minimum </w:t>
            </w:r>
            <w:r w:rsidR="001242D6">
              <w:rPr>
                <w:rFonts w:ascii="Calibri" w:hAnsi="Calibri" w:cs="Calibri"/>
                <w:b/>
                <w:bCs/>
                <w:lang w:val="en-GB"/>
              </w:rPr>
              <w:t>wage</w:t>
            </w:r>
            <w:r w:rsidRPr="004D6FBD">
              <w:rPr>
                <w:rFonts w:ascii="Calibri" w:hAnsi="Calibri" w:cs="Calibri"/>
                <w:b/>
                <w:bCs/>
                <w:lang w:val="en-GB"/>
              </w:rPr>
              <w:t>)</w:t>
            </w:r>
            <w:r w:rsidRPr="004D6FBD">
              <w:rPr>
                <w:rFonts w:ascii="Calibri" w:hAnsi="Calibri" w:cs="Calibri"/>
                <w:lang w:val="en-GB"/>
              </w:rPr>
              <w:t xml:space="preserve"> </w:t>
            </w:r>
          </w:p>
        </w:tc>
        <w:tc>
          <w:tcPr>
            <w:tcW w:w="2629" w:type="dxa"/>
            <w:vAlign w:val="center"/>
          </w:tcPr>
          <w:p w14:paraId="55E0CF13"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2,698 (4,162)</w:t>
            </w:r>
          </w:p>
        </w:tc>
        <w:tc>
          <w:tcPr>
            <w:tcW w:w="2629" w:type="dxa"/>
            <w:vAlign w:val="center"/>
          </w:tcPr>
          <w:p w14:paraId="2C74FF71"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3,094 (5,402)</w:t>
            </w:r>
          </w:p>
        </w:tc>
        <w:tc>
          <w:tcPr>
            <w:tcW w:w="2629" w:type="dxa"/>
            <w:vAlign w:val="center"/>
          </w:tcPr>
          <w:p w14:paraId="1F786F57"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2,838 (5,312)</w:t>
            </w:r>
          </w:p>
        </w:tc>
        <w:tc>
          <w:tcPr>
            <w:tcW w:w="2630" w:type="dxa"/>
            <w:vAlign w:val="center"/>
          </w:tcPr>
          <w:p w14:paraId="6A54158C"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3,190 (5,402)</w:t>
            </w:r>
          </w:p>
        </w:tc>
      </w:tr>
      <w:tr w:rsidR="00373681" w:rsidRPr="004D6FBD" w14:paraId="52C449AA" w14:textId="77777777" w:rsidTr="009F1A82">
        <w:trPr>
          <w:trHeight w:val="295"/>
        </w:trPr>
        <w:tc>
          <w:tcPr>
            <w:tcW w:w="499" w:type="dxa"/>
          </w:tcPr>
          <w:p w14:paraId="0D7963B8" w14:textId="77777777" w:rsidR="00373681" w:rsidRPr="004D6FBD" w:rsidRDefault="00373681" w:rsidP="00572132">
            <w:pPr>
              <w:tabs>
                <w:tab w:val="left" w:pos="1225"/>
              </w:tabs>
              <w:rPr>
                <w:rFonts w:ascii="Calibri" w:hAnsi="Calibri" w:cs="Calibri"/>
                <w:lang w:val="en-GB"/>
              </w:rPr>
            </w:pPr>
          </w:p>
        </w:tc>
        <w:tc>
          <w:tcPr>
            <w:tcW w:w="473" w:type="dxa"/>
          </w:tcPr>
          <w:p w14:paraId="28DD7EBC" w14:textId="1BE724BF" w:rsidR="00373681" w:rsidRPr="004D6FBD" w:rsidRDefault="00373681" w:rsidP="00572132">
            <w:pPr>
              <w:tabs>
                <w:tab w:val="left" w:pos="1225"/>
              </w:tabs>
              <w:rPr>
                <w:rFonts w:ascii="Calibri" w:hAnsi="Calibri" w:cs="Calibri"/>
                <w:lang w:val="en-GB"/>
              </w:rPr>
            </w:pPr>
          </w:p>
        </w:tc>
        <w:tc>
          <w:tcPr>
            <w:tcW w:w="3134" w:type="dxa"/>
            <w:vAlign w:val="center"/>
          </w:tcPr>
          <w:p w14:paraId="3C73E062" w14:textId="2943CB5D"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Sick leave (minimum wage)</w:t>
            </w:r>
          </w:p>
        </w:tc>
        <w:tc>
          <w:tcPr>
            <w:tcW w:w="2629" w:type="dxa"/>
            <w:vAlign w:val="center"/>
          </w:tcPr>
          <w:p w14:paraId="4473D2D0"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437 (1,831)</w:t>
            </w:r>
          </w:p>
        </w:tc>
        <w:tc>
          <w:tcPr>
            <w:tcW w:w="2629" w:type="dxa"/>
            <w:vAlign w:val="center"/>
          </w:tcPr>
          <w:p w14:paraId="2A6B4CC8"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732 (2,559)</w:t>
            </w:r>
          </w:p>
        </w:tc>
        <w:tc>
          <w:tcPr>
            <w:tcW w:w="2629" w:type="dxa"/>
            <w:vAlign w:val="center"/>
          </w:tcPr>
          <w:p w14:paraId="716D589D"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421 (1,719)</w:t>
            </w:r>
          </w:p>
        </w:tc>
        <w:tc>
          <w:tcPr>
            <w:tcW w:w="2630" w:type="dxa"/>
            <w:vAlign w:val="center"/>
          </w:tcPr>
          <w:p w14:paraId="0AED7593"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754 (2,568)</w:t>
            </w:r>
          </w:p>
        </w:tc>
      </w:tr>
      <w:tr w:rsidR="00373681" w:rsidRPr="004D6FBD" w14:paraId="7D882361" w14:textId="77777777" w:rsidTr="009F1A82">
        <w:trPr>
          <w:trHeight w:val="295"/>
        </w:trPr>
        <w:tc>
          <w:tcPr>
            <w:tcW w:w="499" w:type="dxa"/>
          </w:tcPr>
          <w:p w14:paraId="6490DEA0" w14:textId="77777777" w:rsidR="00373681" w:rsidRPr="004D6FBD" w:rsidRDefault="00373681" w:rsidP="00572132">
            <w:pPr>
              <w:rPr>
                <w:rFonts w:ascii="Calibri" w:hAnsi="Calibri" w:cs="Calibri"/>
                <w:b/>
                <w:bCs/>
                <w:lang w:val="en-GB"/>
              </w:rPr>
            </w:pPr>
          </w:p>
        </w:tc>
        <w:tc>
          <w:tcPr>
            <w:tcW w:w="3607" w:type="dxa"/>
            <w:gridSpan w:val="2"/>
          </w:tcPr>
          <w:p w14:paraId="0816D44F" w14:textId="03644164" w:rsidR="00373681" w:rsidRPr="009F1A82" w:rsidRDefault="00373681" w:rsidP="009F1A82">
            <w:pPr>
              <w:rPr>
                <w:rFonts w:ascii="Calibri" w:hAnsi="Calibri" w:cs="Calibri"/>
                <w:i/>
                <w:iCs/>
                <w:lang w:val="en-GB"/>
              </w:rPr>
            </w:pPr>
            <w:r w:rsidRPr="004D6FBD">
              <w:rPr>
                <w:rFonts w:ascii="Calibri" w:hAnsi="Calibri" w:cs="Calibri"/>
                <w:b/>
                <w:bCs/>
                <w:lang w:val="en-GB"/>
              </w:rPr>
              <w:t>Societal costs (average wage)</w:t>
            </w:r>
            <w:r w:rsidRPr="004D6FBD">
              <w:rPr>
                <w:rFonts w:ascii="Calibri" w:hAnsi="Calibri" w:cs="Calibri"/>
                <w:lang w:val="en-GB"/>
              </w:rPr>
              <w:t xml:space="preserve"> </w:t>
            </w:r>
          </w:p>
        </w:tc>
        <w:tc>
          <w:tcPr>
            <w:tcW w:w="2629" w:type="dxa"/>
            <w:vAlign w:val="center"/>
          </w:tcPr>
          <w:p w14:paraId="6EDB8448"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 xml:space="preserve">3,178 (5,442) </w:t>
            </w:r>
          </w:p>
        </w:tc>
        <w:tc>
          <w:tcPr>
            <w:tcW w:w="2629" w:type="dxa"/>
            <w:vAlign w:val="center"/>
          </w:tcPr>
          <w:p w14:paraId="766EB716"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3,898 (7,100)</w:t>
            </w:r>
          </w:p>
        </w:tc>
        <w:tc>
          <w:tcPr>
            <w:tcW w:w="2629" w:type="dxa"/>
            <w:vAlign w:val="center"/>
          </w:tcPr>
          <w:p w14:paraId="1072CDCB"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3,300 (6,249)</w:t>
            </w:r>
          </w:p>
        </w:tc>
        <w:tc>
          <w:tcPr>
            <w:tcW w:w="2630" w:type="dxa"/>
            <w:vAlign w:val="center"/>
          </w:tcPr>
          <w:p w14:paraId="1F4D8F88"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4,018 (7,279)</w:t>
            </w:r>
          </w:p>
        </w:tc>
      </w:tr>
      <w:tr w:rsidR="00373681" w:rsidRPr="004D6FBD" w14:paraId="1E4DBD5F" w14:textId="77777777" w:rsidTr="009F1A82">
        <w:trPr>
          <w:trHeight w:val="295"/>
        </w:trPr>
        <w:tc>
          <w:tcPr>
            <w:tcW w:w="499" w:type="dxa"/>
            <w:tcBorders>
              <w:bottom w:val="single" w:sz="12" w:space="0" w:color="auto"/>
            </w:tcBorders>
          </w:tcPr>
          <w:p w14:paraId="5CC63A0D" w14:textId="77777777" w:rsidR="00373681" w:rsidRPr="004D6FBD" w:rsidRDefault="00373681" w:rsidP="00572132">
            <w:pPr>
              <w:tabs>
                <w:tab w:val="left" w:pos="1225"/>
              </w:tabs>
              <w:rPr>
                <w:rFonts w:ascii="Calibri" w:hAnsi="Calibri" w:cs="Calibri"/>
                <w:lang w:val="en-GB"/>
              </w:rPr>
            </w:pPr>
          </w:p>
        </w:tc>
        <w:tc>
          <w:tcPr>
            <w:tcW w:w="473" w:type="dxa"/>
            <w:tcBorders>
              <w:bottom w:val="single" w:sz="12" w:space="0" w:color="auto"/>
            </w:tcBorders>
          </w:tcPr>
          <w:p w14:paraId="5C5E33BC" w14:textId="6E9171C3" w:rsidR="00373681" w:rsidRPr="004D6FBD" w:rsidRDefault="00373681" w:rsidP="00572132">
            <w:pPr>
              <w:tabs>
                <w:tab w:val="left" w:pos="1225"/>
              </w:tabs>
              <w:rPr>
                <w:rFonts w:ascii="Calibri" w:hAnsi="Calibri" w:cs="Calibri"/>
                <w:lang w:val="en-GB"/>
              </w:rPr>
            </w:pPr>
          </w:p>
        </w:tc>
        <w:tc>
          <w:tcPr>
            <w:tcW w:w="3134" w:type="dxa"/>
            <w:tcBorders>
              <w:bottom w:val="single" w:sz="12" w:space="0" w:color="auto"/>
            </w:tcBorders>
            <w:vAlign w:val="center"/>
          </w:tcPr>
          <w:p w14:paraId="6AC22B4F" w14:textId="4D3098AE"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Sick leave (average wage)</w:t>
            </w:r>
          </w:p>
        </w:tc>
        <w:tc>
          <w:tcPr>
            <w:tcW w:w="2629" w:type="dxa"/>
            <w:tcBorders>
              <w:bottom w:val="single" w:sz="12" w:space="0" w:color="auto"/>
            </w:tcBorders>
            <w:vAlign w:val="center"/>
          </w:tcPr>
          <w:p w14:paraId="36046545"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916 (3,843)</w:t>
            </w:r>
          </w:p>
        </w:tc>
        <w:tc>
          <w:tcPr>
            <w:tcW w:w="2629" w:type="dxa"/>
            <w:tcBorders>
              <w:bottom w:val="single" w:sz="12" w:space="0" w:color="auto"/>
            </w:tcBorders>
            <w:vAlign w:val="center"/>
          </w:tcPr>
          <w:p w14:paraId="61ADCD4C"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1,536 (5,369)</w:t>
            </w:r>
          </w:p>
        </w:tc>
        <w:tc>
          <w:tcPr>
            <w:tcW w:w="2629" w:type="dxa"/>
            <w:tcBorders>
              <w:bottom w:val="single" w:sz="12" w:space="0" w:color="auto"/>
            </w:tcBorders>
            <w:vAlign w:val="center"/>
          </w:tcPr>
          <w:p w14:paraId="63A9D684"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883 (3,608)</w:t>
            </w:r>
          </w:p>
        </w:tc>
        <w:tc>
          <w:tcPr>
            <w:tcW w:w="2630" w:type="dxa"/>
            <w:tcBorders>
              <w:bottom w:val="single" w:sz="12" w:space="0" w:color="auto"/>
            </w:tcBorders>
            <w:vAlign w:val="center"/>
          </w:tcPr>
          <w:p w14:paraId="0597741A"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1,583 (5,388)</w:t>
            </w:r>
          </w:p>
        </w:tc>
      </w:tr>
      <w:tr w:rsidR="00373681" w:rsidRPr="004D6FBD" w14:paraId="6402BC38" w14:textId="77777777" w:rsidTr="009F1A82">
        <w:trPr>
          <w:trHeight w:val="177"/>
        </w:trPr>
        <w:tc>
          <w:tcPr>
            <w:tcW w:w="4106" w:type="dxa"/>
            <w:gridSpan w:val="3"/>
            <w:tcBorders>
              <w:top w:val="single" w:sz="12" w:space="0" w:color="auto"/>
              <w:bottom w:val="single" w:sz="12" w:space="0" w:color="auto"/>
            </w:tcBorders>
          </w:tcPr>
          <w:p w14:paraId="2766BAA2" w14:textId="5D1A8498" w:rsidR="00373681" w:rsidRPr="004D6FBD" w:rsidRDefault="00373681" w:rsidP="00572132">
            <w:pPr>
              <w:tabs>
                <w:tab w:val="left" w:pos="1225"/>
              </w:tabs>
              <w:rPr>
                <w:rFonts w:ascii="Calibri" w:hAnsi="Calibri" w:cs="Calibri"/>
                <w:b/>
                <w:bCs/>
                <w:lang w:val="en-GB"/>
              </w:rPr>
            </w:pPr>
            <w:r w:rsidRPr="004D6FBD">
              <w:rPr>
                <w:rFonts w:ascii="Calibri" w:hAnsi="Calibri" w:cs="Calibri"/>
                <w:b/>
                <w:bCs/>
                <w:lang w:val="en-GB"/>
              </w:rPr>
              <w:t>HEALTHCARE RESOURCE USE</w:t>
            </w:r>
          </w:p>
        </w:tc>
        <w:tc>
          <w:tcPr>
            <w:tcW w:w="2629" w:type="dxa"/>
            <w:tcBorders>
              <w:top w:val="single" w:sz="12" w:space="0" w:color="auto"/>
              <w:bottom w:val="single" w:sz="12" w:space="0" w:color="auto"/>
            </w:tcBorders>
          </w:tcPr>
          <w:p w14:paraId="2B129984" w14:textId="77777777" w:rsidR="00373681" w:rsidRPr="004D6FBD" w:rsidRDefault="00373681" w:rsidP="00572132">
            <w:pPr>
              <w:tabs>
                <w:tab w:val="left" w:pos="1225"/>
              </w:tabs>
              <w:rPr>
                <w:rFonts w:ascii="Calibri" w:hAnsi="Calibri" w:cs="Calibri"/>
                <w:lang w:val="en-GB"/>
              </w:rPr>
            </w:pPr>
          </w:p>
        </w:tc>
        <w:tc>
          <w:tcPr>
            <w:tcW w:w="2629" w:type="dxa"/>
            <w:tcBorders>
              <w:top w:val="single" w:sz="12" w:space="0" w:color="auto"/>
              <w:bottom w:val="single" w:sz="12" w:space="0" w:color="auto"/>
            </w:tcBorders>
          </w:tcPr>
          <w:p w14:paraId="03982D6E" w14:textId="77777777" w:rsidR="00373681" w:rsidRPr="004D6FBD" w:rsidRDefault="00373681" w:rsidP="00572132">
            <w:pPr>
              <w:tabs>
                <w:tab w:val="left" w:pos="1225"/>
              </w:tabs>
              <w:rPr>
                <w:rFonts w:ascii="Calibri" w:hAnsi="Calibri" w:cs="Calibri"/>
                <w:lang w:val="en-GB"/>
              </w:rPr>
            </w:pPr>
          </w:p>
        </w:tc>
        <w:tc>
          <w:tcPr>
            <w:tcW w:w="2629" w:type="dxa"/>
            <w:tcBorders>
              <w:top w:val="single" w:sz="12" w:space="0" w:color="auto"/>
              <w:bottom w:val="single" w:sz="12" w:space="0" w:color="auto"/>
            </w:tcBorders>
          </w:tcPr>
          <w:p w14:paraId="00138B97" w14:textId="77777777" w:rsidR="00373681" w:rsidRPr="004D6FBD" w:rsidRDefault="00373681" w:rsidP="00572132">
            <w:pPr>
              <w:tabs>
                <w:tab w:val="left" w:pos="1225"/>
              </w:tabs>
              <w:rPr>
                <w:rFonts w:ascii="Calibri" w:hAnsi="Calibri" w:cs="Calibri"/>
                <w:lang w:val="en-GB"/>
              </w:rPr>
            </w:pPr>
          </w:p>
        </w:tc>
        <w:tc>
          <w:tcPr>
            <w:tcW w:w="2630" w:type="dxa"/>
            <w:tcBorders>
              <w:top w:val="single" w:sz="12" w:space="0" w:color="auto"/>
              <w:bottom w:val="single" w:sz="12" w:space="0" w:color="auto"/>
            </w:tcBorders>
          </w:tcPr>
          <w:p w14:paraId="08DEBCEE" w14:textId="77777777" w:rsidR="00373681" w:rsidRPr="004D6FBD" w:rsidRDefault="00373681" w:rsidP="00572132">
            <w:pPr>
              <w:tabs>
                <w:tab w:val="left" w:pos="1225"/>
              </w:tabs>
              <w:rPr>
                <w:rFonts w:ascii="Calibri" w:hAnsi="Calibri" w:cs="Calibri"/>
                <w:lang w:val="en-GB"/>
              </w:rPr>
            </w:pPr>
          </w:p>
        </w:tc>
      </w:tr>
      <w:tr w:rsidR="00373681" w:rsidRPr="004D6FBD" w14:paraId="7CC4B239" w14:textId="77777777" w:rsidTr="009F1A82">
        <w:trPr>
          <w:trHeight w:val="297"/>
        </w:trPr>
        <w:tc>
          <w:tcPr>
            <w:tcW w:w="499" w:type="dxa"/>
            <w:tcBorders>
              <w:top w:val="single" w:sz="12" w:space="0" w:color="auto"/>
            </w:tcBorders>
          </w:tcPr>
          <w:p w14:paraId="51A9269D" w14:textId="77777777" w:rsidR="00373681" w:rsidRPr="004D6FBD" w:rsidRDefault="00373681" w:rsidP="00572132">
            <w:pPr>
              <w:tabs>
                <w:tab w:val="left" w:pos="1225"/>
              </w:tabs>
              <w:rPr>
                <w:rFonts w:ascii="Calibri" w:hAnsi="Calibri" w:cs="Calibri"/>
                <w:lang w:val="en-GB"/>
              </w:rPr>
            </w:pPr>
          </w:p>
        </w:tc>
        <w:tc>
          <w:tcPr>
            <w:tcW w:w="3607" w:type="dxa"/>
            <w:gridSpan w:val="2"/>
            <w:tcBorders>
              <w:top w:val="single" w:sz="12" w:space="0" w:color="auto"/>
            </w:tcBorders>
          </w:tcPr>
          <w:p w14:paraId="57FB9BF5" w14:textId="0E989F7B"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Total visits</w:t>
            </w:r>
          </w:p>
        </w:tc>
        <w:tc>
          <w:tcPr>
            <w:tcW w:w="2629" w:type="dxa"/>
            <w:tcBorders>
              <w:top w:val="single" w:sz="12" w:space="0" w:color="auto"/>
            </w:tcBorders>
          </w:tcPr>
          <w:p w14:paraId="6A9AF80B"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17.91 (15.75)</w:t>
            </w:r>
          </w:p>
        </w:tc>
        <w:tc>
          <w:tcPr>
            <w:tcW w:w="2629" w:type="dxa"/>
            <w:tcBorders>
              <w:top w:val="single" w:sz="12" w:space="0" w:color="auto"/>
            </w:tcBorders>
          </w:tcPr>
          <w:p w14:paraId="562AA95E"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16.69 (14.04)</w:t>
            </w:r>
          </w:p>
        </w:tc>
        <w:tc>
          <w:tcPr>
            <w:tcW w:w="2629" w:type="dxa"/>
            <w:tcBorders>
              <w:top w:val="single" w:sz="12" w:space="0" w:color="auto"/>
            </w:tcBorders>
          </w:tcPr>
          <w:p w14:paraId="3DB06027"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16.91 (13.88)</w:t>
            </w:r>
          </w:p>
        </w:tc>
        <w:tc>
          <w:tcPr>
            <w:tcW w:w="2630" w:type="dxa"/>
            <w:tcBorders>
              <w:top w:val="single" w:sz="12" w:space="0" w:color="auto"/>
            </w:tcBorders>
          </w:tcPr>
          <w:p w14:paraId="32658C50"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16.24 (15.28)</w:t>
            </w:r>
          </w:p>
        </w:tc>
      </w:tr>
      <w:tr w:rsidR="00373681" w:rsidRPr="004D6FBD" w14:paraId="654D46C8" w14:textId="77777777" w:rsidTr="009F1A82">
        <w:trPr>
          <w:trHeight w:val="297"/>
        </w:trPr>
        <w:tc>
          <w:tcPr>
            <w:tcW w:w="499" w:type="dxa"/>
          </w:tcPr>
          <w:p w14:paraId="3B4ED830" w14:textId="77777777" w:rsidR="00373681" w:rsidRPr="004D6FBD" w:rsidRDefault="00373681" w:rsidP="00572132">
            <w:pPr>
              <w:tabs>
                <w:tab w:val="left" w:pos="1225"/>
              </w:tabs>
              <w:ind w:left="708"/>
              <w:rPr>
                <w:rFonts w:ascii="Calibri" w:hAnsi="Calibri" w:cs="Calibri"/>
                <w:lang w:val="en-GB"/>
              </w:rPr>
            </w:pPr>
          </w:p>
        </w:tc>
        <w:tc>
          <w:tcPr>
            <w:tcW w:w="473" w:type="dxa"/>
          </w:tcPr>
          <w:p w14:paraId="3E4DDB87" w14:textId="6D539A2E" w:rsidR="00373681" w:rsidRPr="004D6FBD" w:rsidRDefault="00373681" w:rsidP="00572132">
            <w:pPr>
              <w:tabs>
                <w:tab w:val="left" w:pos="1225"/>
              </w:tabs>
              <w:ind w:left="708"/>
              <w:rPr>
                <w:rFonts w:ascii="Calibri" w:hAnsi="Calibri" w:cs="Calibri"/>
                <w:lang w:val="en-GB"/>
              </w:rPr>
            </w:pPr>
          </w:p>
        </w:tc>
        <w:tc>
          <w:tcPr>
            <w:tcW w:w="3134" w:type="dxa"/>
          </w:tcPr>
          <w:p w14:paraId="20F63AC2" w14:textId="5508A1C6" w:rsidR="00373681" w:rsidRPr="004D6FBD" w:rsidRDefault="00373681" w:rsidP="009F1A82">
            <w:pPr>
              <w:tabs>
                <w:tab w:val="left" w:pos="1225"/>
              </w:tabs>
              <w:rPr>
                <w:rFonts w:ascii="Calibri" w:hAnsi="Calibri" w:cs="Calibri"/>
                <w:vertAlign w:val="superscript"/>
                <w:lang w:val="en-GB"/>
              </w:rPr>
            </w:pPr>
            <w:r w:rsidRPr="004D6FBD">
              <w:rPr>
                <w:rFonts w:ascii="Calibri" w:hAnsi="Calibri" w:cs="Calibri"/>
                <w:lang w:val="en-GB"/>
              </w:rPr>
              <w:t>Primary care visits</w:t>
            </w:r>
            <w:r w:rsidR="009F1A82">
              <w:rPr>
                <w:rFonts w:ascii="Calibri" w:hAnsi="Calibri" w:cs="Calibri"/>
                <w:lang w:val="en-GB"/>
              </w:rPr>
              <w:t xml:space="preserve"> </w:t>
            </w:r>
            <w:r w:rsidR="009F1A82">
              <w:rPr>
                <w:rFonts w:ascii="Calibri" w:hAnsi="Calibri" w:cs="Calibri"/>
                <w:vertAlign w:val="superscript"/>
                <w:lang w:val="en-GB"/>
              </w:rPr>
              <w:t>b</w:t>
            </w:r>
          </w:p>
        </w:tc>
        <w:tc>
          <w:tcPr>
            <w:tcW w:w="2629" w:type="dxa"/>
          </w:tcPr>
          <w:p w14:paraId="2138D64E"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16.54 (15.01)</w:t>
            </w:r>
          </w:p>
        </w:tc>
        <w:tc>
          <w:tcPr>
            <w:tcW w:w="2629" w:type="dxa"/>
          </w:tcPr>
          <w:p w14:paraId="1C824029"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14.99 (13.24)</w:t>
            </w:r>
          </w:p>
        </w:tc>
        <w:tc>
          <w:tcPr>
            <w:tcW w:w="2629" w:type="dxa"/>
          </w:tcPr>
          <w:p w14:paraId="4BE425DB"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15.59 (12.55)</w:t>
            </w:r>
          </w:p>
        </w:tc>
        <w:tc>
          <w:tcPr>
            <w:tcW w:w="2630" w:type="dxa"/>
          </w:tcPr>
          <w:p w14:paraId="0A8D2EE9"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14.70 (13.44)</w:t>
            </w:r>
          </w:p>
        </w:tc>
      </w:tr>
      <w:tr w:rsidR="00373681" w:rsidRPr="004D6FBD" w14:paraId="3866D3C8" w14:textId="77777777" w:rsidTr="009F1A82">
        <w:trPr>
          <w:trHeight w:val="297"/>
        </w:trPr>
        <w:tc>
          <w:tcPr>
            <w:tcW w:w="499" w:type="dxa"/>
          </w:tcPr>
          <w:p w14:paraId="77183702" w14:textId="77777777" w:rsidR="00373681" w:rsidRPr="004D6FBD" w:rsidRDefault="00373681" w:rsidP="00572132">
            <w:pPr>
              <w:tabs>
                <w:tab w:val="left" w:pos="1225"/>
              </w:tabs>
              <w:ind w:left="708"/>
              <w:rPr>
                <w:rFonts w:ascii="Calibri" w:hAnsi="Calibri" w:cs="Calibri"/>
                <w:lang w:val="en-GB"/>
              </w:rPr>
            </w:pPr>
          </w:p>
        </w:tc>
        <w:tc>
          <w:tcPr>
            <w:tcW w:w="473" w:type="dxa"/>
          </w:tcPr>
          <w:p w14:paraId="1475C71C" w14:textId="698D919E" w:rsidR="00373681" w:rsidRPr="004D6FBD" w:rsidRDefault="00373681" w:rsidP="00572132">
            <w:pPr>
              <w:tabs>
                <w:tab w:val="left" w:pos="1225"/>
              </w:tabs>
              <w:ind w:left="708"/>
              <w:rPr>
                <w:rFonts w:ascii="Calibri" w:hAnsi="Calibri" w:cs="Calibri"/>
                <w:lang w:val="en-GB"/>
              </w:rPr>
            </w:pPr>
          </w:p>
        </w:tc>
        <w:tc>
          <w:tcPr>
            <w:tcW w:w="3134" w:type="dxa"/>
          </w:tcPr>
          <w:p w14:paraId="60A151F4" w14:textId="3C2E3DE0" w:rsidR="00373681" w:rsidRPr="004D6FBD" w:rsidRDefault="00C7760F" w:rsidP="009F1A82">
            <w:pPr>
              <w:tabs>
                <w:tab w:val="left" w:pos="1225"/>
              </w:tabs>
              <w:rPr>
                <w:rFonts w:ascii="Calibri" w:hAnsi="Calibri" w:cs="Calibri"/>
                <w:vertAlign w:val="superscript"/>
                <w:lang w:val="en-GB"/>
              </w:rPr>
            </w:pPr>
            <w:r w:rsidRPr="004D6FBD">
              <w:rPr>
                <w:rFonts w:ascii="Calibri" w:hAnsi="Calibri" w:cs="Calibri"/>
                <w:lang w:val="en-GB"/>
              </w:rPr>
              <w:t>Specialised</w:t>
            </w:r>
            <w:r w:rsidR="00373681" w:rsidRPr="004D6FBD">
              <w:rPr>
                <w:rFonts w:ascii="Calibri" w:hAnsi="Calibri" w:cs="Calibri"/>
                <w:lang w:val="en-GB"/>
              </w:rPr>
              <w:t xml:space="preserve"> care visits</w:t>
            </w:r>
            <w:r w:rsidR="009F1A82">
              <w:rPr>
                <w:rFonts w:ascii="Calibri" w:hAnsi="Calibri" w:cs="Calibri"/>
                <w:lang w:val="en-GB"/>
              </w:rPr>
              <w:t xml:space="preserve"> </w:t>
            </w:r>
            <w:r w:rsidR="009F1A82">
              <w:rPr>
                <w:rFonts w:ascii="Calibri" w:hAnsi="Calibri" w:cs="Calibri"/>
                <w:vertAlign w:val="superscript"/>
                <w:lang w:val="en-GB"/>
              </w:rPr>
              <w:t>c</w:t>
            </w:r>
          </w:p>
        </w:tc>
        <w:tc>
          <w:tcPr>
            <w:tcW w:w="2629" w:type="dxa"/>
          </w:tcPr>
          <w:p w14:paraId="27D1DBAD"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0.90 (1.70)</w:t>
            </w:r>
          </w:p>
        </w:tc>
        <w:tc>
          <w:tcPr>
            <w:tcW w:w="2629" w:type="dxa"/>
          </w:tcPr>
          <w:p w14:paraId="38E5541D"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1.23 (1.93)</w:t>
            </w:r>
          </w:p>
        </w:tc>
        <w:tc>
          <w:tcPr>
            <w:tcW w:w="2629" w:type="dxa"/>
          </w:tcPr>
          <w:p w14:paraId="50D8B553"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0.77 (2.00)</w:t>
            </w:r>
          </w:p>
        </w:tc>
        <w:tc>
          <w:tcPr>
            <w:tcW w:w="2630" w:type="dxa"/>
          </w:tcPr>
          <w:p w14:paraId="24B1145C"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1.02 (1.83)</w:t>
            </w:r>
          </w:p>
        </w:tc>
      </w:tr>
      <w:tr w:rsidR="00373681" w:rsidRPr="004D6FBD" w14:paraId="5281E5A1" w14:textId="77777777" w:rsidTr="009F1A82">
        <w:trPr>
          <w:trHeight w:val="297"/>
        </w:trPr>
        <w:tc>
          <w:tcPr>
            <w:tcW w:w="499" w:type="dxa"/>
          </w:tcPr>
          <w:p w14:paraId="59C3E9E9" w14:textId="77777777" w:rsidR="00373681" w:rsidRPr="004D6FBD" w:rsidRDefault="00373681" w:rsidP="00572132">
            <w:pPr>
              <w:tabs>
                <w:tab w:val="left" w:pos="1225"/>
              </w:tabs>
              <w:ind w:left="708"/>
              <w:rPr>
                <w:rFonts w:ascii="Calibri" w:hAnsi="Calibri" w:cs="Calibri"/>
                <w:lang w:val="en-GB"/>
              </w:rPr>
            </w:pPr>
          </w:p>
        </w:tc>
        <w:tc>
          <w:tcPr>
            <w:tcW w:w="473" w:type="dxa"/>
          </w:tcPr>
          <w:p w14:paraId="7F740517" w14:textId="76C7603D" w:rsidR="00373681" w:rsidRPr="004D6FBD" w:rsidRDefault="00373681" w:rsidP="00572132">
            <w:pPr>
              <w:tabs>
                <w:tab w:val="left" w:pos="1225"/>
              </w:tabs>
              <w:ind w:left="708"/>
              <w:rPr>
                <w:rFonts w:ascii="Calibri" w:hAnsi="Calibri" w:cs="Calibri"/>
                <w:lang w:val="en-GB"/>
              </w:rPr>
            </w:pPr>
          </w:p>
        </w:tc>
        <w:tc>
          <w:tcPr>
            <w:tcW w:w="3134" w:type="dxa"/>
          </w:tcPr>
          <w:p w14:paraId="5BD768A3" w14:textId="34BC7055" w:rsidR="00373681" w:rsidRPr="001242D6" w:rsidRDefault="00373681" w:rsidP="009F1A82">
            <w:pPr>
              <w:tabs>
                <w:tab w:val="left" w:pos="1225"/>
              </w:tabs>
              <w:rPr>
                <w:rFonts w:ascii="Calibri" w:hAnsi="Calibri" w:cs="Calibri"/>
                <w:vertAlign w:val="superscript"/>
                <w:lang w:val="en-GB"/>
              </w:rPr>
            </w:pPr>
            <w:r w:rsidRPr="001242D6">
              <w:rPr>
                <w:rFonts w:ascii="Calibri" w:hAnsi="Calibri" w:cs="Calibri"/>
                <w:lang w:val="en-GB"/>
              </w:rPr>
              <w:t>Emergency room visits</w:t>
            </w:r>
            <w:r w:rsidR="009F1A82" w:rsidRPr="001242D6">
              <w:rPr>
                <w:rFonts w:ascii="Calibri" w:hAnsi="Calibri" w:cs="Calibri"/>
                <w:lang w:val="en-GB"/>
              </w:rPr>
              <w:t xml:space="preserve"> </w:t>
            </w:r>
            <w:r w:rsidR="009F1A82" w:rsidRPr="001242D6">
              <w:rPr>
                <w:rFonts w:ascii="Calibri" w:hAnsi="Calibri" w:cs="Calibri"/>
                <w:vertAlign w:val="superscript"/>
                <w:lang w:val="en-GB"/>
              </w:rPr>
              <w:t>d</w:t>
            </w:r>
          </w:p>
        </w:tc>
        <w:tc>
          <w:tcPr>
            <w:tcW w:w="2629" w:type="dxa"/>
          </w:tcPr>
          <w:p w14:paraId="71D60BE7"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0.46 (1.13)</w:t>
            </w:r>
          </w:p>
        </w:tc>
        <w:tc>
          <w:tcPr>
            <w:tcW w:w="2629" w:type="dxa"/>
          </w:tcPr>
          <w:p w14:paraId="3B93A331"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0.46 (1.07)</w:t>
            </w:r>
          </w:p>
        </w:tc>
        <w:tc>
          <w:tcPr>
            <w:tcW w:w="2629" w:type="dxa"/>
          </w:tcPr>
          <w:p w14:paraId="29E85576"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0.55 (1.41)</w:t>
            </w:r>
          </w:p>
        </w:tc>
        <w:tc>
          <w:tcPr>
            <w:tcW w:w="2630" w:type="dxa"/>
          </w:tcPr>
          <w:p w14:paraId="51234E5B"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0.52 (2.34)</w:t>
            </w:r>
          </w:p>
        </w:tc>
      </w:tr>
      <w:tr w:rsidR="00373681" w:rsidRPr="004D6FBD" w14:paraId="1E29FB1B" w14:textId="77777777" w:rsidTr="009F1A82">
        <w:trPr>
          <w:trHeight w:val="297"/>
        </w:trPr>
        <w:tc>
          <w:tcPr>
            <w:tcW w:w="499" w:type="dxa"/>
          </w:tcPr>
          <w:p w14:paraId="1C0CF0C7" w14:textId="77777777" w:rsidR="00373681" w:rsidRPr="004D6FBD" w:rsidRDefault="00373681" w:rsidP="00572132">
            <w:pPr>
              <w:tabs>
                <w:tab w:val="left" w:pos="1225"/>
              </w:tabs>
              <w:ind w:left="708"/>
              <w:rPr>
                <w:rFonts w:ascii="Calibri" w:hAnsi="Calibri" w:cs="Calibri"/>
                <w:color w:val="FF0000"/>
                <w:lang w:val="en-GB"/>
              </w:rPr>
            </w:pPr>
          </w:p>
        </w:tc>
        <w:tc>
          <w:tcPr>
            <w:tcW w:w="473" w:type="dxa"/>
          </w:tcPr>
          <w:p w14:paraId="7EA68828" w14:textId="7F63359E" w:rsidR="00373681" w:rsidRPr="004D6FBD" w:rsidRDefault="00373681" w:rsidP="00572132">
            <w:pPr>
              <w:tabs>
                <w:tab w:val="left" w:pos="1225"/>
              </w:tabs>
              <w:ind w:left="708"/>
              <w:rPr>
                <w:rFonts w:ascii="Calibri" w:hAnsi="Calibri" w:cs="Calibri"/>
                <w:color w:val="FF0000"/>
                <w:lang w:val="en-GB"/>
              </w:rPr>
            </w:pPr>
          </w:p>
        </w:tc>
        <w:tc>
          <w:tcPr>
            <w:tcW w:w="3134" w:type="dxa"/>
          </w:tcPr>
          <w:p w14:paraId="5C5332E5" w14:textId="55EF72EA" w:rsidR="00373681" w:rsidRPr="001242D6" w:rsidRDefault="001242D6" w:rsidP="009F1A82">
            <w:pPr>
              <w:tabs>
                <w:tab w:val="left" w:pos="1225"/>
              </w:tabs>
              <w:rPr>
                <w:rFonts w:ascii="Calibri" w:hAnsi="Calibri" w:cs="Calibri"/>
                <w:vertAlign w:val="superscript"/>
                <w:lang w:val="en-GB"/>
              </w:rPr>
            </w:pPr>
            <w:r w:rsidRPr="001242D6">
              <w:rPr>
                <w:rFonts w:ascii="Calibri" w:hAnsi="Calibri" w:cs="Calibri"/>
                <w:lang w:val="en-GB"/>
              </w:rPr>
              <w:t xml:space="preserve">Day care and specialized inpatient </w:t>
            </w:r>
            <w:proofErr w:type="spellStart"/>
            <w:r w:rsidRPr="001242D6">
              <w:rPr>
                <w:rFonts w:ascii="Calibri" w:hAnsi="Calibri" w:cs="Calibri"/>
                <w:lang w:val="en-GB"/>
              </w:rPr>
              <w:t>care</w:t>
            </w:r>
            <w:r w:rsidR="009F1A82" w:rsidRPr="001242D6">
              <w:rPr>
                <w:rFonts w:ascii="Calibri" w:hAnsi="Calibri" w:cs="Calibri"/>
                <w:vertAlign w:val="superscript"/>
                <w:lang w:val="en-GB"/>
              </w:rPr>
              <w:t>e</w:t>
            </w:r>
            <w:proofErr w:type="spellEnd"/>
          </w:p>
        </w:tc>
        <w:tc>
          <w:tcPr>
            <w:tcW w:w="2629" w:type="dxa"/>
          </w:tcPr>
          <w:p w14:paraId="7ED45A1F"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0.00 (0.07)</w:t>
            </w:r>
          </w:p>
        </w:tc>
        <w:tc>
          <w:tcPr>
            <w:tcW w:w="2629" w:type="dxa"/>
          </w:tcPr>
          <w:p w14:paraId="33925CC9"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0.00 (0.02)</w:t>
            </w:r>
          </w:p>
        </w:tc>
        <w:tc>
          <w:tcPr>
            <w:tcW w:w="2629" w:type="dxa"/>
          </w:tcPr>
          <w:p w14:paraId="10FE58E0"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0.00 (0.04)</w:t>
            </w:r>
          </w:p>
        </w:tc>
        <w:tc>
          <w:tcPr>
            <w:tcW w:w="2630" w:type="dxa"/>
          </w:tcPr>
          <w:p w14:paraId="08A4324A"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0.00 (0.00)</w:t>
            </w:r>
          </w:p>
        </w:tc>
      </w:tr>
      <w:tr w:rsidR="00373681" w:rsidRPr="004D6FBD" w14:paraId="3D8E3322" w14:textId="77777777" w:rsidTr="009F1A82">
        <w:trPr>
          <w:trHeight w:val="297"/>
        </w:trPr>
        <w:tc>
          <w:tcPr>
            <w:tcW w:w="499" w:type="dxa"/>
          </w:tcPr>
          <w:p w14:paraId="0B5B7634" w14:textId="77777777" w:rsidR="00373681" w:rsidRPr="004D6FBD" w:rsidRDefault="00373681" w:rsidP="00572132">
            <w:pPr>
              <w:tabs>
                <w:tab w:val="left" w:pos="1225"/>
              </w:tabs>
              <w:rPr>
                <w:rFonts w:ascii="Calibri" w:hAnsi="Calibri" w:cs="Calibri"/>
                <w:lang w:val="en-GB"/>
              </w:rPr>
            </w:pPr>
          </w:p>
        </w:tc>
        <w:tc>
          <w:tcPr>
            <w:tcW w:w="3607" w:type="dxa"/>
            <w:gridSpan w:val="2"/>
          </w:tcPr>
          <w:p w14:paraId="4B92F374" w14:textId="348FD064" w:rsidR="00373681" w:rsidRPr="004D6FBD" w:rsidRDefault="00373681" w:rsidP="009F1A82">
            <w:pPr>
              <w:tabs>
                <w:tab w:val="left" w:pos="1225"/>
              </w:tabs>
              <w:rPr>
                <w:rFonts w:ascii="Calibri" w:hAnsi="Calibri" w:cs="Calibri"/>
                <w:vertAlign w:val="superscript"/>
                <w:lang w:val="en-GB"/>
              </w:rPr>
            </w:pPr>
            <w:r w:rsidRPr="004D6FBD">
              <w:rPr>
                <w:rFonts w:ascii="Calibri" w:hAnsi="Calibri" w:cs="Calibri"/>
                <w:lang w:val="en-GB"/>
              </w:rPr>
              <w:t>Medical tests</w:t>
            </w:r>
            <w:r w:rsidR="009F1A82">
              <w:rPr>
                <w:rFonts w:ascii="Calibri" w:hAnsi="Calibri" w:cs="Calibri"/>
                <w:lang w:val="en-GB"/>
              </w:rPr>
              <w:t xml:space="preserve"> </w:t>
            </w:r>
            <w:r w:rsidR="009F1A82">
              <w:rPr>
                <w:rFonts w:ascii="Calibri" w:hAnsi="Calibri" w:cs="Calibri"/>
                <w:vertAlign w:val="superscript"/>
                <w:lang w:val="en-GB"/>
              </w:rPr>
              <w:t>f</w:t>
            </w:r>
          </w:p>
        </w:tc>
        <w:tc>
          <w:tcPr>
            <w:tcW w:w="2629" w:type="dxa"/>
          </w:tcPr>
          <w:p w14:paraId="5F928F44"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0.79 (1.25)</w:t>
            </w:r>
          </w:p>
        </w:tc>
        <w:tc>
          <w:tcPr>
            <w:tcW w:w="2629" w:type="dxa"/>
          </w:tcPr>
          <w:p w14:paraId="148F13A6"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0.98 (1.39)</w:t>
            </w:r>
          </w:p>
        </w:tc>
        <w:tc>
          <w:tcPr>
            <w:tcW w:w="2629" w:type="dxa"/>
          </w:tcPr>
          <w:p w14:paraId="4FF18904"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0.67 (1.19)</w:t>
            </w:r>
          </w:p>
        </w:tc>
        <w:tc>
          <w:tcPr>
            <w:tcW w:w="2630" w:type="dxa"/>
          </w:tcPr>
          <w:p w14:paraId="002243C3"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0.90 (1.39)</w:t>
            </w:r>
          </w:p>
        </w:tc>
      </w:tr>
      <w:tr w:rsidR="00373681" w:rsidRPr="004D6FBD" w14:paraId="699DD0A3" w14:textId="77777777" w:rsidTr="009F1A82">
        <w:trPr>
          <w:trHeight w:val="297"/>
        </w:trPr>
        <w:tc>
          <w:tcPr>
            <w:tcW w:w="499" w:type="dxa"/>
          </w:tcPr>
          <w:p w14:paraId="5E2FA2EE" w14:textId="77777777" w:rsidR="00373681" w:rsidRPr="004D6FBD" w:rsidRDefault="00373681" w:rsidP="00572132">
            <w:pPr>
              <w:tabs>
                <w:tab w:val="left" w:pos="1225"/>
              </w:tabs>
              <w:rPr>
                <w:rFonts w:ascii="Calibri" w:hAnsi="Calibri" w:cs="Calibri"/>
                <w:lang w:val="en-GB"/>
              </w:rPr>
            </w:pPr>
          </w:p>
        </w:tc>
        <w:tc>
          <w:tcPr>
            <w:tcW w:w="3607" w:type="dxa"/>
            <w:gridSpan w:val="2"/>
          </w:tcPr>
          <w:p w14:paraId="134C6809" w14:textId="16929969"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Days on sick leave</w:t>
            </w:r>
          </w:p>
        </w:tc>
        <w:tc>
          <w:tcPr>
            <w:tcW w:w="2629" w:type="dxa"/>
          </w:tcPr>
          <w:p w14:paraId="753FEA79"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11.55 (48.45)</w:t>
            </w:r>
          </w:p>
        </w:tc>
        <w:tc>
          <w:tcPr>
            <w:tcW w:w="2629" w:type="dxa"/>
          </w:tcPr>
          <w:p w14:paraId="30130F8E"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19.36 (67.69)</w:t>
            </w:r>
          </w:p>
        </w:tc>
        <w:tc>
          <w:tcPr>
            <w:tcW w:w="2629" w:type="dxa"/>
          </w:tcPr>
          <w:p w14:paraId="66488E21"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11.13 (45.48)</w:t>
            </w:r>
          </w:p>
        </w:tc>
        <w:tc>
          <w:tcPr>
            <w:tcW w:w="2630" w:type="dxa"/>
          </w:tcPr>
          <w:p w14:paraId="08817623"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19.95 (67.93)</w:t>
            </w:r>
          </w:p>
        </w:tc>
      </w:tr>
      <w:tr w:rsidR="00373681" w:rsidRPr="004D6FBD" w14:paraId="4D55ADF5" w14:textId="77777777" w:rsidTr="009F1A82">
        <w:trPr>
          <w:trHeight w:val="297"/>
        </w:trPr>
        <w:tc>
          <w:tcPr>
            <w:tcW w:w="499" w:type="dxa"/>
          </w:tcPr>
          <w:p w14:paraId="2C9BE13F" w14:textId="77777777" w:rsidR="00373681" w:rsidRPr="004D6FBD" w:rsidRDefault="00373681" w:rsidP="00572132">
            <w:pPr>
              <w:tabs>
                <w:tab w:val="left" w:pos="1225"/>
              </w:tabs>
              <w:rPr>
                <w:rFonts w:ascii="Calibri" w:hAnsi="Calibri" w:cs="Calibri"/>
                <w:lang w:val="en-GB"/>
              </w:rPr>
            </w:pPr>
          </w:p>
        </w:tc>
        <w:tc>
          <w:tcPr>
            <w:tcW w:w="3607" w:type="dxa"/>
            <w:gridSpan w:val="2"/>
          </w:tcPr>
          <w:p w14:paraId="6659F8B2" w14:textId="2EF2B34C"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Days of inpatient hospitalisation</w:t>
            </w:r>
          </w:p>
        </w:tc>
        <w:tc>
          <w:tcPr>
            <w:tcW w:w="2629" w:type="dxa"/>
          </w:tcPr>
          <w:p w14:paraId="24A6ABB1"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0.63 (3.01)</w:t>
            </w:r>
          </w:p>
        </w:tc>
        <w:tc>
          <w:tcPr>
            <w:tcW w:w="2629" w:type="dxa"/>
          </w:tcPr>
          <w:p w14:paraId="291575C7"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0.93 (3.99)</w:t>
            </w:r>
          </w:p>
        </w:tc>
        <w:tc>
          <w:tcPr>
            <w:tcW w:w="2629" w:type="dxa"/>
          </w:tcPr>
          <w:p w14:paraId="375409EB"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0.89 (4.77)</w:t>
            </w:r>
          </w:p>
        </w:tc>
        <w:tc>
          <w:tcPr>
            <w:tcW w:w="2630" w:type="dxa"/>
          </w:tcPr>
          <w:p w14:paraId="2E0D3FCF"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1.19 (5.17)</w:t>
            </w:r>
          </w:p>
        </w:tc>
      </w:tr>
      <w:tr w:rsidR="00373681" w:rsidRPr="004D6FBD" w14:paraId="57A04207" w14:textId="77777777" w:rsidTr="009F1A82">
        <w:trPr>
          <w:trHeight w:val="297"/>
        </w:trPr>
        <w:tc>
          <w:tcPr>
            <w:tcW w:w="499" w:type="dxa"/>
            <w:tcBorders>
              <w:bottom w:val="single" w:sz="12" w:space="0" w:color="auto"/>
            </w:tcBorders>
          </w:tcPr>
          <w:p w14:paraId="113FE711" w14:textId="77777777" w:rsidR="00373681" w:rsidRPr="004D6FBD" w:rsidRDefault="00373681" w:rsidP="00572132">
            <w:pPr>
              <w:tabs>
                <w:tab w:val="left" w:pos="1225"/>
              </w:tabs>
              <w:rPr>
                <w:rFonts w:ascii="Calibri" w:hAnsi="Calibri" w:cs="Calibri"/>
                <w:lang w:val="en-GB"/>
              </w:rPr>
            </w:pPr>
          </w:p>
        </w:tc>
        <w:tc>
          <w:tcPr>
            <w:tcW w:w="3607" w:type="dxa"/>
            <w:gridSpan w:val="2"/>
            <w:tcBorders>
              <w:bottom w:val="single" w:sz="12" w:space="0" w:color="auto"/>
            </w:tcBorders>
          </w:tcPr>
          <w:p w14:paraId="6AFF6DF6" w14:textId="2C6D71EC"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Days in ICU</w:t>
            </w:r>
          </w:p>
        </w:tc>
        <w:tc>
          <w:tcPr>
            <w:tcW w:w="2629" w:type="dxa"/>
            <w:tcBorders>
              <w:bottom w:val="single" w:sz="12" w:space="0" w:color="auto"/>
            </w:tcBorders>
          </w:tcPr>
          <w:p w14:paraId="642A6E07"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0.05 (0.73)</w:t>
            </w:r>
          </w:p>
        </w:tc>
        <w:tc>
          <w:tcPr>
            <w:tcW w:w="2629" w:type="dxa"/>
            <w:tcBorders>
              <w:bottom w:val="single" w:sz="12" w:space="0" w:color="auto"/>
            </w:tcBorders>
          </w:tcPr>
          <w:p w14:paraId="4ACBDF87"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0.05 (0.63)</w:t>
            </w:r>
          </w:p>
        </w:tc>
        <w:tc>
          <w:tcPr>
            <w:tcW w:w="2629" w:type="dxa"/>
            <w:tcBorders>
              <w:bottom w:val="single" w:sz="12" w:space="0" w:color="auto"/>
            </w:tcBorders>
          </w:tcPr>
          <w:p w14:paraId="0A4B27D8"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0.07 (0.82)</w:t>
            </w:r>
          </w:p>
        </w:tc>
        <w:tc>
          <w:tcPr>
            <w:tcW w:w="2630" w:type="dxa"/>
            <w:tcBorders>
              <w:bottom w:val="single" w:sz="12" w:space="0" w:color="auto"/>
            </w:tcBorders>
          </w:tcPr>
          <w:p w14:paraId="00444F3B" w14:textId="77777777" w:rsidR="00373681" w:rsidRPr="004D6FBD" w:rsidRDefault="00373681" w:rsidP="00572132">
            <w:pPr>
              <w:tabs>
                <w:tab w:val="left" w:pos="1225"/>
              </w:tabs>
              <w:rPr>
                <w:rFonts w:ascii="Calibri" w:hAnsi="Calibri" w:cs="Calibri"/>
                <w:lang w:val="en-GB"/>
              </w:rPr>
            </w:pPr>
            <w:r w:rsidRPr="004D6FBD">
              <w:rPr>
                <w:rFonts w:ascii="Calibri" w:hAnsi="Calibri" w:cs="Calibri"/>
                <w:lang w:val="en-GB"/>
              </w:rPr>
              <w:t>0.04 (0.40)</w:t>
            </w:r>
          </w:p>
        </w:tc>
      </w:tr>
      <w:tr w:rsidR="00373681" w:rsidRPr="0050026C" w14:paraId="67449B78" w14:textId="77777777" w:rsidTr="009F1A82">
        <w:trPr>
          <w:trHeight w:val="275"/>
        </w:trPr>
        <w:tc>
          <w:tcPr>
            <w:tcW w:w="499" w:type="dxa"/>
            <w:tcBorders>
              <w:top w:val="single" w:sz="12" w:space="0" w:color="auto"/>
            </w:tcBorders>
          </w:tcPr>
          <w:p w14:paraId="099C2E1A" w14:textId="21F978DD" w:rsidR="00373681" w:rsidRPr="004D6FBD" w:rsidRDefault="00373681" w:rsidP="00572132">
            <w:pPr>
              <w:tabs>
                <w:tab w:val="left" w:pos="1225"/>
              </w:tabs>
              <w:rPr>
                <w:rFonts w:ascii="Calibri" w:hAnsi="Calibri" w:cs="Calibri"/>
                <w:vertAlign w:val="superscript"/>
                <w:lang w:val="en-GB"/>
              </w:rPr>
            </w:pPr>
            <w:r w:rsidRPr="004D6FBD">
              <w:rPr>
                <w:rFonts w:ascii="Calibri" w:hAnsi="Calibri" w:cs="Calibri"/>
                <w:vertAlign w:val="superscript"/>
                <w:lang w:val="en-GB"/>
              </w:rPr>
              <w:lastRenderedPageBreak/>
              <w:t>a</w:t>
            </w:r>
          </w:p>
        </w:tc>
        <w:tc>
          <w:tcPr>
            <w:tcW w:w="14124" w:type="dxa"/>
            <w:gridSpan w:val="6"/>
            <w:tcBorders>
              <w:top w:val="single" w:sz="12" w:space="0" w:color="auto"/>
            </w:tcBorders>
          </w:tcPr>
          <w:p w14:paraId="5F51FC30" w14:textId="30CF690C" w:rsidR="00373681" w:rsidRPr="004D6FBD" w:rsidRDefault="009F1A82" w:rsidP="00963F6F">
            <w:pPr>
              <w:tabs>
                <w:tab w:val="left" w:pos="1225"/>
              </w:tabs>
              <w:rPr>
                <w:rFonts w:ascii="Calibri" w:hAnsi="Calibri" w:cs="Calibri"/>
                <w:lang w:val="en-GB"/>
              </w:rPr>
            </w:pPr>
            <w:r>
              <w:rPr>
                <w:rFonts w:ascii="Calibri" w:hAnsi="Calibri" w:cs="Calibri"/>
                <w:lang w:val="en-GB"/>
              </w:rPr>
              <w:t>Cost of the IMA intervention is 4.7€</w:t>
            </w:r>
          </w:p>
        </w:tc>
      </w:tr>
      <w:tr w:rsidR="009F1A82" w:rsidRPr="0050026C" w14:paraId="2CEA3358" w14:textId="77777777" w:rsidTr="009F1A82">
        <w:trPr>
          <w:trHeight w:val="539"/>
        </w:trPr>
        <w:tc>
          <w:tcPr>
            <w:tcW w:w="499" w:type="dxa"/>
          </w:tcPr>
          <w:p w14:paraId="38580C42" w14:textId="7A9E8688" w:rsidR="009F1A82" w:rsidRPr="004D6FBD" w:rsidRDefault="009F1A82" w:rsidP="009F1A82">
            <w:pPr>
              <w:tabs>
                <w:tab w:val="left" w:pos="1225"/>
              </w:tabs>
              <w:rPr>
                <w:rFonts w:ascii="Calibri" w:hAnsi="Calibri" w:cs="Calibri"/>
                <w:vertAlign w:val="superscript"/>
                <w:lang w:val="en-GB"/>
              </w:rPr>
            </w:pPr>
            <w:r w:rsidRPr="004D6FBD">
              <w:rPr>
                <w:rFonts w:ascii="Calibri" w:hAnsi="Calibri" w:cs="Calibri"/>
                <w:vertAlign w:val="superscript"/>
                <w:lang w:val="en-GB"/>
              </w:rPr>
              <w:t>b</w:t>
            </w:r>
          </w:p>
        </w:tc>
        <w:tc>
          <w:tcPr>
            <w:tcW w:w="14124" w:type="dxa"/>
            <w:gridSpan w:val="6"/>
          </w:tcPr>
          <w:p w14:paraId="6EBEE87F" w14:textId="4559CEAE" w:rsidR="009F1A82" w:rsidRPr="004D6FBD" w:rsidRDefault="009F1A82" w:rsidP="009F1A82">
            <w:pPr>
              <w:tabs>
                <w:tab w:val="left" w:pos="1225"/>
              </w:tabs>
              <w:rPr>
                <w:rFonts w:ascii="Calibri" w:hAnsi="Calibri" w:cs="Calibri"/>
                <w:lang w:val="en-GB"/>
              </w:rPr>
            </w:pPr>
            <w:r w:rsidRPr="004D6FBD">
              <w:rPr>
                <w:rFonts w:ascii="Calibri" w:hAnsi="Calibri" w:cs="Calibri"/>
                <w:lang w:val="en-GB"/>
              </w:rPr>
              <w:t xml:space="preserve">Includes </w:t>
            </w:r>
            <w:r>
              <w:rPr>
                <w:rFonts w:ascii="Calibri" w:hAnsi="Calibri" w:cs="Calibri"/>
                <w:lang w:val="en-GB"/>
              </w:rPr>
              <w:t xml:space="preserve">visits with </w:t>
            </w:r>
            <w:r w:rsidRPr="00963F6F">
              <w:rPr>
                <w:rFonts w:ascii="Calibri" w:hAnsi="Calibri" w:cs="Calibri"/>
                <w:lang w:val="en-GB"/>
              </w:rPr>
              <w:t>GP, paediatricians, resident physicians, nur</w:t>
            </w:r>
            <w:r>
              <w:rPr>
                <w:rFonts w:ascii="Calibri" w:hAnsi="Calibri" w:cs="Calibri"/>
                <w:lang w:val="en-GB"/>
              </w:rPr>
              <w:t>ses and midwives, PC assistants, social workers, psychologist, podiatrist, optometry referrals</w:t>
            </w:r>
            <w:r w:rsidRPr="00963F6F">
              <w:rPr>
                <w:rFonts w:ascii="Calibri" w:hAnsi="Calibri" w:cs="Calibri"/>
                <w:lang w:val="en-GB"/>
              </w:rPr>
              <w:t>, laboratory tests, physical rehabilitati</w:t>
            </w:r>
            <w:r>
              <w:rPr>
                <w:rFonts w:ascii="Calibri" w:hAnsi="Calibri" w:cs="Calibri"/>
                <w:lang w:val="en-GB"/>
              </w:rPr>
              <w:t xml:space="preserve">on and speech therapy. </w:t>
            </w:r>
          </w:p>
        </w:tc>
      </w:tr>
      <w:tr w:rsidR="009F1A82" w:rsidRPr="0050026C" w14:paraId="14DC86D5" w14:textId="77777777" w:rsidTr="009F1A82">
        <w:trPr>
          <w:trHeight w:val="185"/>
        </w:trPr>
        <w:tc>
          <w:tcPr>
            <w:tcW w:w="499" w:type="dxa"/>
          </w:tcPr>
          <w:p w14:paraId="3BB0049C" w14:textId="2E9BFDDA" w:rsidR="009F1A82" w:rsidRPr="004D6FBD" w:rsidRDefault="009F1A82" w:rsidP="009F1A82">
            <w:pPr>
              <w:tabs>
                <w:tab w:val="left" w:pos="1225"/>
              </w:tabs>
              <w:rPr>
                <w:rFonts w:ascii="Calibri" w:hAnsi="Calibri" w:cs="Calibri"/>
                <w:vertAlign w:val="superscript"/>
                <w:lang w:val="en-GB"/>
              </w:rPr>
            </w:pPr>
            <w:r w:rsidRPr="004D6FBD">
              <w:rPr>
                <w:rFonts w:ascii="Calibri" w:hAnsi="Calibri" w:cs="Calibri"/>
                <w:vertAlign w:val="superscript"/>
                <w:lang w:val="en-GB"/>
              </w:rPr>
              <w:t>c</w:t>
            </w:r>
          </w:p>
        </w:tc>
        <w:tc>
          <w:tcPr>
            <w:tcW w:w="14124" w:type="dxa"/>
            <w:gridSpan w:val="6"/>
          </w:tcPr>
          <w:p w14:paraId="0694C880" w14:textId="215ACC7E" w:rsidR="009F1A82" w:rsidRPr="004D6FBD" w:rsidRDefault="009F1A82" w:rsidP="009F1A82">
            <w:pPr>
              <w:tabs>
                <w:tab w:val="left" w:pos="1225"/>
              </w:tabs>
              <w:rPr>
                <w:rFonts w:ascii="Calibri" w:hAnsi="Calibri" w:cs="Calibri"/>
                <w:lang w:val="en-GB"/>
              </w:rPr>
            </w:pPr>
            <w:r>
              <w:rPr>
                <w:rFonts w:ascii="Calibri" w:hAnsi="Calibri" w:cs="Calibri"/>
                <w:lang w:val="en-GB"/>
              </w:rPr>
              <w:t>S</w:t>
            </w:r>
            <w:r w:rsidRPr="00963F6F">
              <w:rPr>
                <w:rFonts w:ascii="Calibri" w:hAnsi="Calibri" w:cs="Calibri"/>
                <w:lang w:val="en-GB"/>
              </w:rPr>
              <w:t xml:space="preserve">urgery, psychology, psychiatry, physical rehabilitation, obstetrics and gynaecology, traumatology, oncology, dentistry, haematology, internal medicine, neurology, gastroenterology and pneumology </w:t>
            </w:r>
          </w:p>
        </w:tc>
      </w:tr>
      <w:tr w:rsidR="009F1A82" w:rsidRPr="0050026C" w14:paraId="70D0150A" w14:textId="77777777" w:rsidTr="009F1A82">
        <w:trPr>
          <w:trHeight w:val="354"/>
        </w:trPr>
        <w:tc>
          <w:tcPr>
            <w:tcW w:w="499" w:type="dxa"/>
          </w:tcPr>
          <w:p w14:paraId="2FA345E0" w14:textId="31666425" w:rsidR="009F1A82" w:rsidRPr="004D6FBD" w:rsidRDefault="009F1A82" w:rsidP="009F1A82">
            <w:pPr>
              <w:tabs>
                <w:tab w:val="left" w:pos="1225"/>
              </w:tabs>
              <w:rPr>
                <w:rFonts w:ascii="Calibri" w:hAnsi="Calibri" w:cs="Calibri"/>
                <w:vertAlign w:val="superscript"/>
                <w:lang w:val="en-GB"/>
              </w:rPr>
            </w:pPr>
            <w:r w:rsidRPr="004D6FBD">
              <w:rPr>
                <w:rFonts w:ascii="Calibri" w:hAnsi="Calibri" w:cs="Calibri"/>
                <w:vertAlign w:val="superscript"/>
                <w:lang w:val="en-GB"/>
              </w:rPr>
              <w:t>d</w:t>
            </w:r>
          </w:p>
        </w:tc>
        <w:tc>
          <w:tcPr>
            <w:tcW w:w="14124" w:type="dxa"/>
            <w:gridSpan w:val="6"/>
          </w:tcPr>
          <w:p w14:paraId="44D314C1" w14:textId="3363CB1A" w:rsidR="009F1A82" w:rsidRPr="004D6FBD" w:rsidRDefault="009F1A82" w:rsidP="009F1A82">
            <w:pPr>
              <w:tabs>
                <w:tab w:val="left" w:pos="1225"/>
              </w:tabs>
              <w:rPr>
                <w:rFonts w:ascii="Calibri" w:hAnsi="Calibri" w:cs="Calibri"/>
                <w:lang w:val="en-GB"/>
              </w:rPr>
            </w:pPr>
            <w:r>
              <w:rPr>
                <w:rFonts w:ascii="Calibri" w:hAnsi="Calibri" w:cs="Calibri"/>
                <w:lang w:val="en-GB"/>
              </w:rPr>
              <w:t xml:space="preserve">Primary care and hospital emergency </w:t>
            </w:r>
            <w:proofErr w:type="spellStart"/>
            <w:r>
              <w:rPr>
                <w:rFonts w:ascii="Calibri" w:hAnsi="Calibri" w:cs="Calibri"/>
                <w:lang w:val="en-GB"/>
              </w:rPr>
              <w:t>visists</w:t>
            </w:r>
            <w:proofErr w:type="spellEnd"/>
          </w:p>
        </w:tc>
      </w:tr>
      <w:tr w:rsidR="009F1A82" w:rsidRPr="0050026C" w14:paraId="1E442B32" w14:textId="77777777" w:rsidTr="009F1A82">
        <w:trPr>
          <w:trHeight w:val="301"/>
        </w:trPr>
        <w:tc>
          <w:tcPr>
            <w:tcW w:w="499" w:type="dxa"/>
          </w:tcPr>
          <w:p w14:paraId="58A3FA89" w14:textId="401CB203" w:rsidR="009F1A82" w:rsidRPr="004D6FBD" w:rsidRDefault="009F1A82" w:rsidP="009F1A82">
            <w:pPr>
              <w:tabs>
                <w:tab w:val="left" w:pos="1225"/>
              </w:tabs>
              <w:rPr>
                <w:rFonts w:ascii="Calibri" w:hAnsi="Calibri" w:cs="Calibri"/>
                <w:vertAlign w:val="superscript"/>
                <w:lang w:val="en-GB"/>
              </w:rPr>
            </w:pPr>
            <w:r w:rsidRPr="004D6FBD">
              <w:rPr>
                <w:rFonts w:ascii="Calibri" w:hAnsi="Calibri" w:cs="Calibri"/>
                <w:vertAlign w:val="superscript"/>
                <w:lang w:val="en-GB"/>
              </w:rPr>
              <w:t>e</w:t>
            </w:r>
          </w:p>
        </w:tc>
        <w:tc>
          <w:tcPr>
            <w:tcW w:w="14124" w:type="dxa"/>
            <w:gridSpan w:val="6"/>
          </w:tcPr>
          <w:p w14:paraId="7246B96B" w14:textId="1673694F" w:rsidR="009F1A82" w:rsidRPr="004D6FBD" w:rsidRDefault="009F1A82" w:rsidP="009F1A82">
            <w:pPr>
              <w:tabs>
                <w:tab w:val="left" w:pos="1225"/>
              </w:tabs>
              <w:rPr>
                <w:rFonts w:ascii="Calibri" w:hAnsi="Calibri" w:cs="Calibri"/>
                <w:lang w:val="en-GB"/>
              </w:rPr>
            </w:pPr>
            <w:r>
              <w:rPr>
                <w:rFonts w:ascii="Calibri" w:hAnsi="Calibri" w:cs="Calibri"/>
                <w:lang w:val="en-GB"/>
              </w:rPr>
              <w:t>D</w:t>
            </w:r>
            <w:r w:rsidRPr="00963F6F">
              <w:rPr>
                <w:rFonts w:ascii="Calibri" w:hAnsi="Calibri" w:cs="Calibri"/>
                <w:lang w:val="en-GB"/>
              </w:rPr>
              <w:t xml:space="preserve">ay surgery, day hospital stays, </w:t>
            </w:r>
            <w:r>
              <w:rPr>
                <w:rFonts w:ascii="Calibri" w:hAnsi="Calibri" w:cs="Calibri"/>
                <w:lang w:val="en-GB"/>
              </w:rPr>
              <w:t>i</w:t>
            </w:r>
            <w:r w:rsidRPr="00963F6F">
              <w:rPr>
                <w:rFonts w:ascii="Calibri" w:hAnsi="Calibri" w:cs="Calibri"/>
                <w:lang w:val="en-GB"/>
              </w:rPr>
              <w:t xml:space="preserve">npatient stays in mental health centres and stays in intermediate care facilities </w:t>
            </w:r>
          </w:p>
        </w:tc>
      </w:tr>
      <w:tr w:rsidR="009F1A82" w:rsidRPr="0050026C" w14:paraId="063E0E84" w14:textId="77777777" w:rsidTr="009F1A82">
        <w:trPr>
          <w:trHeight w:val="901"/>
        </w:trPr>
        <w:tc>
          <w:tcPr>
            <w:tcW w:w="499" w:type="dxa"/>
          </w:tcPr>
          <w:p w14:paraId="0543BF72" w14:textId="15BF88F7" w:rsidR="009F1A82" w:rsidRPr="004D6FBD" w:rsidRDefault="009F1A82" w:rsidP="009F1A82">
            <w:pPr>
              <w:tabs>
                <w:tab w:val="left" w:pos="1225"/>
              </w:tabs>
              <w:rPr>
                <w:rFonts w:ascii="Calibri" w:hAnsi="Calibri" w:cs="Calibri"/>
                <w:vertAlign w:val="superscript"/>
                <w:lang w:val="en-GB"/>
              </w:rPr>
            </w:pPr>
            <w:r>
              <w:rPr>
                <w:rFonts w:ascii="Calibri" w:hAnsi="Calibri" w:cs="Calibri"/>
                <w:vertAlign w:val="superscript"/>
                <w:lang w:val="en-GB"/>
              </w:rPr>
              <w:t>f</w:t>
            </w:r>
          </w:p>
        </w:tc>
        <w:tc>
          <w:tcPr>
            <w:tcW w:w="14124" w:type="dxa"/>
            <w:gridSpan w:val="6"/>
          </w:tcPr>
          <w:p w14:paraId="131420E1" w14:textId="48DB820E" w:rsidR="009F1A82" w:rsidRPr="0030769A" w:rsidRDefault="009F1A82" w:rsidP="001242D6">
            <w:pPr>
              <w:tabs>
                <w:tab w:val="left" w:pos="1225"/>
              </w:tabs>
              <w:rPr>
                <w:rFonts w:ascii="Calibri" w:hAnsi="Calibri" w:cs="Calibri"/>
                <w:lang w:val="en-GB"/>
              </w:rPr>
            </w:pPr>
            <w:r w:rsidRPr="0030769A">
              <w:rPr>
                <w:rFonts w:ascii="Calibri" w:hAnsi="Calibri" w:cs="Calibri"/>
                <w:lang w:val="en-GB"/>
              </w:rPr>
              <w:t xml:space="preserve">X-ray, </w:t>
            </w:r>
            <w:r w:rsidR="001242D6">
              <w:rPr>
                <w:rFonts w:ascii="Calibri" w:hAnsi="Calibri" w:cs="Calibri"/>
                <w:lang w:val="en-GB"/>
              </w:rPr>
              <w:t xml:space="preserve">computerized tomography </w:t>
            </w:r>
            <w:r w:rsidR="001242D6" w:rsidRPr="008E56E2">
              <w:rPr>
                <w:rFonts w:ascii="Calibri" w:hAnsi="Calibri" w:cs="Calibri"/>
                <w:lang w:val="en-GB"/>
              </w:rPr>
              <w:t>sc</w:t>
            </w:r>
            <w:r w:rsidR="001242D6">
              <w:rPr>
                <w:rFonts w:ascii="Calibri" w:hAnsi="Calibri" w:cs="Calibri"/>
                <w:lang w:val="en-GB"/>
              </w:rPr>
              <w:t>an, magnetic resonance imaging</w:t>
            </w:r>
            <w:r w:rsidRPr="0030769A">
              <w:rPr>
                <w:rFonts w:ascii="Calibri" w:hAnsi="Calibri" w:cs="Calibri"/>
                <w:lang w:val="en-GB"/>
              </w:rPr>
              <w:t>, ultrasound, cytology and biopsies, cardiology tests, gastrointestinal tests, neurology tests, ophthalmology tests, respiratory tests, scintigraphy/nuclear imaging, blood extraction, bone densitometry, urology tests, polysomnography, audiometry</w:t>
            </w:r>
            <w:r w:rsidR="001242D6">
              <w:rPr>
                <w:rFonts w:ascii="Calibri" w:hAnsi="Calibri" w:cs="Calibri"/>
                <w:lang w:val="en-GB"/>
              </w:rPr>
              <w:t xml:space="preserve">, hysteroscopy, </w:t>
            </w:r>
            <w:proofErr w:type="spellStart"/>
            <w:r w:rsidRPr="0030769A">
              <w:rPr>
                <w:rFonts w:ascii="Calibri" w:hAnsi="Calibri" w:cs="Calibri"/>
                <w:lang w:val="en-GB"/>
              </w:rPr>
              <w:t>semenogram</w:t>
            </w:r>
            <w:proofErr w:type="spellEnd"/>
            <w:r w:rsidRPr="0030769A">
              <w:rPr>
                <w:rFonts w:ascii="Calibri" w:hAnsi="Calibri" w:cs="Calibri"/>
                <w:lang w:val="en-GB"/>
              </w:rPr>
              <w:t xml:space="preserve">, </w:t>
            </w:r>
            <w:r w:rsidR="001242D6">
              <w:rPr>
                <w:rFonts w:ascii="Calibri" w:hAnsi="Calibri" w:cs="Calibri"/>
                <w:lang w:val="en-GB"/>
              </w:rPr>
              <w:t>papilloma virus</w:t>
            </w:r>
            <w:r w:rsidRPr="0030769A">
              <w:rPr>
                <w:rFonts w:ascii="Calibri" w:hAnsi="Calibri" w:cs="Calibri"/>
                <w:lang w:val="en-GB"/>
              </w:rPr>
              <w:t xml:space="preserve"> test, and elastography.</w:t>
            </w:r>
          </w:p>
        </w:tc>
      </w:tr>
    </w:tbl>
    <w:p w14:paraId="5BDCF06D" w14:textId="77777777" w:rsidR="005244FD" w:rsidRPr="004D6FBD" w:rsidRDefault="005244FD" w:rsidP="005244FD">
      <w:pPr>
        <w:tabs>
          <w:tab w:val="left" w:pos="1225"/>
        </w:tabs>
        <w:rPr>
          <w:rFonts w:ascii="Calibri" w:hAnsi="Calibri" w:cs="Calibri"/>
          <w:lang w:val="en-GB"/>
        </w:rPr>
      </w:pPr>
    </w:p>
    <w:p w14:paraId="432FC1B3" w14:textId="77777777" w:rsidR="003C220C" w:rsidRPr="004D6FBD" w:rsidRDefault="003C220C" w:rsidP="003C220C">
      <w:pPr>
        <w:rPr>
          <w:rFonts w:ascii="Calibri" w:hAnsi="Calibri" w:cs="Calibri"/>
          <w:lang w:val="en-GB"/>
        </w:rPr>
      </w:pPr>
    </w:p>
    <w:sectPr w:rsidR="003C220C" w:rsidRPr="004D6FBD" w:rsidSect="009F1A82">
      <w:pgSz w:w="16838" w:h="11906" w:orient="landscape"/>
      <w:pgMar w:top="1701"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751CC"/>
    <w:multiLevelType w:val="multilevel"/>
    <w:tmpl w:val="6E9A83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F37191A"/>
    <w:multiLevelType w:val="hybridMultilevel"/>
    <w:tmpl w:val="8F8C98AE"/>
    <w:lvl w:ilvl="0" w:tplc="5C5CA83C">
      <w:start w:val="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F981505"/>
    <w:multiLevelType w:val="hybridMultilevel"/>
    <w:tmpl w:val="DBB427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4AE0303E"/>
    <w:multiLevelType w:val="hybridMultilevel"/>
    <w:tmpl w:val="3C9EED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7016407"/>
    <w:multiLevelType w:val="hybridMultilevel"/>
    <w:tmpl w:val="3C9EED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7365BE2"/>
    <w:multiLevelType w:val="hybridMultilevel"/>
    <w:tmpl w:val="3962C624"/>
    <w:lvl w:ilvl="0" w:tplc="5C5CA83C">
      <w:start w:val="2"/>
      <w:numFmt w:val="bullet"/>
      <w:lvlText w:val="-"/>
      <w:lvlJc w:val="left"/>
      <w:pPr>
        <w:ind w:left="720" w:hanging="360"/>
      </w:pPr>
      <w:rPr>
        <w:rFonts w:ascii="Aptos" w:eastAsiaTheme="minorHAnsi" w:hAnsi="Aptos"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62572121">
    <w:abstractNumId w:val="0"/>
  </w:num>
  <w:num w:numId="2" w16cid:durableId="1656184876">
    <w:abstractNumId w:val="1"/>
  </w:num>
  <w:num w:numId="3" w16cid:durableId="1446003132">
    <w:abstractNumId w:val="5"/>
  </w:num>
  <w:num w:numId="4" w16cid:durableId="2078741933">
    <w:abstractNumId w:val="4"/>
  </w:num>
  <w:num w:numId="5" w16cid:durableId="360278718">
    <w:abstractNumId w:val="2"/>
  </w:num>
  <w:num w:numId="6" w16cid:durableId="942566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xNjA3NjAzNTY2MTNS0lEKTi0uzszPAykwrAUAxNYHeSwAAAA="/>
  </w:docVars>
  <w:rsids>
    <w:rsidRoot w:val="003C220C"/>
    <w:rsid w:val="00025671"/>
    <w:rsid w:val="00045BD8"/>
    <w:rsid w:val="00060631"/>
    <w:rsid w:val="00065DE4"/>
    <w:rsid w:val="000718E3"/>
    <w:rsid w:val="00091AD9"/>
    <w:rsid w:val="000A588D"/>
    <w:rsid w:val="000C6D54"/>
    <w:rsid w:val="000C7C2B"/>
    <w:rsid w:val="000E6CD9"/>
    <w:rsid w:val="0010066D"/>
    <w:rsid w:val="00103F35"/>
    <w:rsid w:val="00121278"/>
    <w:rsid w:val="001217AF"/>
    <w:rsid w:val="001242D6"/>
    <w:rsid w:val="00135F39"/>
    <w:rsid w:val="00140822"/>
    <w:rsid w:val="0015024E"/>
    <w:rsid w:val="00170058"/>
    <w:rsid w:val="00180756"/>
    <w:rsid w:val="001A618D"/>
    <w:rsid w:val="001B3F53"/>
    <w:rsid w:val="001C330B"/>
    <w:rsid w:val="001C4E52"/>
    <w:rsid w:val="001D6B2F"/>
    <w:rsid w:val="001E00B1"/>
    <w:rsid w:val="001F775B"/>
    <w:rsid w:val="002068A1"/>
    <w:rsid w:val="00210AF5"/>
    <w:rsid w:val="00223351"/>
    <w:rsid w:val="00246E8A"/>
    <w:rsid w:val="00247AFB"/>
    <w:rsid w:val="002554F2"/>
    <w:rsid w:val="00263117"/>
    <w:rsid w:val="00283FA4"/>
    <w:rsid w:val="00293C8D"/>
    <w:rsid w:val="002A2A0F"/>
    <w:rsid w:val="002B35B9"/>
    <w:rsid w:val="002C6D87"/>
    <w:rsid w:val="002C7F14"/>
    <w:rsid w:val="002D0E8D"/>
    <w:rsid w:val="002E12CE"/>
    <w:rsid w:val="002E3F8C"/>
    <w:rsid w:val="002E6E28"/>
    <w:rsid w:val="003061DC"/>
    <w:rsid w:val="0030769A"/>
    <w:rsid w:val="003224C5"/>
    <w:rsid w:val="00324A15"/>
    <w:rsid w:val="00336F2E"/>
    <w:rsid w:val="00343087"/>
    <w:rsid w:val="00344ACE"/>
    <w:rsid w:val="00354713"/>
    <w:rsid w:val="00354920"/>
    <w:rsid w:val="003564D0"/>
    <w:rsid w:val="00373681"/>
    <w:rsid w:val="003762A1"/>
    <w:rsid w:val="0038611C"/>
    <w:rsid w:val="00390492"/>
    <w:rsid w:val="00391A51"/>
    <w:rsid w:val="003A1CB4"/>
    <w:rsid w:val="003A3FC3"/>
    <w:rsid w:val="003A73F5"/>
    <w:rsid w:val="003C220C"/>
    <w:rsid w:val="003C43B5"/>
    <w:rsid w:val="003D60BA"/>
    <w:rsid w:val="003F3B3B"/>
    <w:rsid w:val="003F5309"/>
    <w:rsid w:val="00404704"/>
    <w:rsid w:val="004113AD"/>
    <w:rsid w:val="00423132"/>
    <w:rsid w:val="00436982"/>
    <w:rsid w:val="00437BA1"/>
    <w:rsid w:val="00454500"/>
    <w:rsid w:val="00477E5C"/>
    <w:rsid w:val="00482629"/>
    <w:rsid w:val="0048349A"/>
    <w:rsid w:val="00492BDB"/>
    <w:rsid w:val="00496499"/>
    <w:rsid w:val="004A10DD"/>
    <w:rsid w:val="004B04CB"/>
    <w:rsid w:val="004D6FBD"/>
    <w:rsid w:val="004E4FF7"/>
    <w:rsid w:val="004F3BFF"/>
    <w:rsid w:val="004F49E7"/>
    <w:rsid w:val="0050026C"/>
    <w:rsid w:val="00503632"/>
    <w:rsid w:val="005244FD"/>
    <w:rsid w:val="00592E13"/>
    <w:rsid w:val="0059518D"/>
    <w:rsid w:val="005B1DBA"/>
    <w:rsid w:val="005D7275"/>
    <w:rsid w:val="005E51C6"/>
    <w:rsid w:val="005F4492"/>
    <w:rsid w:val="006126F3"/>
    <w:rsid w:val="006329AD"/>
    <w:rsid w:val="00645FAD"/>
    <w:rsid w:val="006571C7"/>
    <w:rsid w:val="00657860"/>
    <w:rsid w:val="00661657"/>
    <w:rsid w:val="006730DE"/>
    <w:rsid w:val="00676BA3"/>
    <w:rsid w:val="00681790"/>
    <w:rsid w:val="006C4F75"/>
    <w:rsid w:val="006D0E9A"/>
    <w:rsid w:val="006D3129"/>
    <w:rsid w:val="006D5642"/>
    <w:rsid w:val="006F2CCB"/>
    <w:rsid w:val="0070595D"/>
    <w:rsid w:val="00714376"/>
    <w:rsid w:val="00717A70"/>
    <w:rsid w:val="00723DF7"/>
    <w:rsid w:val="007246A9"/>
    <w:rsid w:val="007424D1"/>
    <w:rsid w:val="00750C4D"/>
    <w:rsid w:val="0075477F"/>
    <w:rsid w:val="00755B76"/>
    <w:rsid w:val="00756C6E"/>
    <w:rsid w:val="00757A70"/>
    <w:rsid w:val="007637B8"/>
    <w:rsid w:val="00766401"/>
    <w:rsid w:val="007926BC"/>
    <w:rsid w:val="00793C96"/>
    <w:rsid w:val="007B37CF"/>
    <w:rsid w:val="007B67EE"/>
    <w:rsid w:val="007B6855"/>
    <w:rsid w:val="007D3A60"/>
    <w:rsid w:val="007E1BC2"/>
    <w:rsid w:val="007E6D40"/>
    <w:rsid w:val="00824DCE"/>
    <w:rsid w:val="00854CD0"/>
    <w:rsid w:val="008655C0"/>
    <w:rsid w:val="008707DC"/>
    <w:rsid w:val="008836DA"/>
    <w:rsid w:val="008874E2"/>
    <w:rsid w:val="008A1395"/>
    <w:rsid w:val="008A1609"/>
    <w:rsid w:val="008C1786"/>
    <w:rsid w:val="008C36FC"/>
    <w:rsid w:val="008D5C0D"/>
    <w:rsid w:val="008E56E2"/>
    <w:rsid w:val="008F3731"/>
    <w:rsid w:val="00907CF8"/>
    <w:rsid w:val="00921985"/>
    <w:rsid w:val="00963F6F"/>
    <w:rsid w:val="00967B26"/>
    <w:rsid w:val="00977EB7"/>
    <w:rsid w:val="0099261D"/>
    <w:rsid w:val="00994449"/>
    <w:rsid w:val="009A4857"/>
    <w:rsid w:val="009A5439"/>
    <w:rsid w:val="009C0854"/>
    <w:rsid w:val="009D3327"/>
    <w:rsid w:val="009E3992"/>
    <w:rsid w:val="009E5F7A"/>
    <w:rsid w:val="009F1A82"/>
    <w:rsid w:val="00A04730"/>
    <w:rsid w:val="00A04A0B"/>
    <w:rsid w:val="00A2179B"/>
    <w:rsid w:val="00A27354"/>
    <w:rsid w:val="00A51793"/>
    <w:rsid w:val="00A54DB7"/>
    <w:rsid w:val="00A60B45"/>
    <w:rsid w:val="00A70E9D"/>
    <w:rsid w:val="00A712A9"/>
    <w:rsid w:val="00A93CEF"/>
    <w:rsid w:val="00AA1C6B"/>
    <w:rsid w:val="00AB46CD"/>
    <w:rsid w:val="00AC72C1"/>
    <w:rsid w:val="00AD5079"/>
    <w:rsid w:val="00AF675D"/>
    <w:rsid w:val="00AF6F11"/>
    <w:rsid w:val="00B069F0"/>
    <w:rsid w:val="00B34C4E"/>
    <w:rsid w:val="00B37047"/>
    <w:rsid w:val="00B614B5"/>
    <w:rsid w:val="00B70C44"/>
    <w:rsid w:val="00B73CDF"/>
    <w:rsid w:val="00B8280D"/>
    <w:rsid w:val="00B85A5F"/>
    <w:rsid w:val="00B92C00"/>
    <w:rsid w:val="00B95BA4"/>
    <w:rsid w:val="00BD37E1"/>
    <w:rsid w:val="00BE14F8"/>
    <w:rsid w:val="00BF42E9"/>
    <w:rsid w:val="00C1135E"/>
    <w:rsid w:val="00C169BA"/>
    <w:rsid w:val="00C21AAB"/>
    <w:rsid w:val="00C3709A"/>
    <w:rsid w:val="00C458A9"/>
    <w:rsid w:val="00C47EE1"/>
    <w:rsid w:val="00C7760F"/>
    <w:rsid w:val="00C82FA8"/>
    <w:rsid w:val="00CA73AE"/>
    <w:rsid w:val="00CB14AA"/>
    <w:rsid w:val="00CC5618"/>
    <w:rsid w:val="00CE4F88"/>
    <w:rsid w:val="00CF0030"/>
    <w:rsid w:val="00D0234C"/>
    <w:rsid w:val="00D34822"/>
    <w:rsid w:val="00D9011C"/>
    <w:rsid w:val="00D9367E"/>
    <w:rsid w:val="00DB307E"/>
    <w:rsid w:val="00DC1F30"/>
    <w:rsid w:val="00DC27FA"/>
    <w:rsid w:val="00DC431B"/>
    <w:rsid w:val="00DD0B94"/>
    <w:rsid w:val="00DD5052"/>
    <w:rsid w:val="00DD5E7C"/>
    <w:rsid w:val="00E052DE"/>
    <w:rsid w:val="00E12319"/>
    <w:rsid w:val="00E152E6"/>
    <w:rsid w:val="00E16EA7"/>
    <w:rsid w:val="00E2472F"/>
    <w:rsid w:val="00E451CE"/>
    <w:rsid w:val="00E6213B"/>
    <w:rsid w:val="00E64C38"/>
    <w:rsid w:val="00E65A7F"/>
    <w:rsid w:val="00E777F0"/>
    <w:rsid w:val="00E85B39"/>
    <w:rsid w:val="00E9157D"/>
    <w:rsid w:val="00E920C9"/>
    <w:rsid w:val="00E95937"/>
    <w:rsid w:val="00EC7DE1"/>
    <w:rsid w:val="00EE24A8"/>
    <w:rsid w:val="00EE262A"/>
    <w:rsid w:val="00EF0198"/>
    <w:rsid w:val="00F02D0E"/>
    <w:rsid w:val="00F067BC"/>
    <w:rsid w:val="00F07D1B"/>
    <w:rsid w:val="00F07F9B"/>
    <w:rsid w:val="00F154E7"/>
    <w:rsid w:val="00F158BA"/>
    <w:rsid w:val="00F2797E"/>
    <w:rsid w:val="00F302FC"/>
    <w:rsid w:val="00F46877"/>
    <w:rsid w:val="00F630D8"/>
    <w:rsid w:val="00F64478"/>
    <w:rsid w:val="00F755BC"/>
    <w:rsid w:val="00F8413E"/>
    <w:rsid w:val="00F856AF"/>
    <w:rsid w:val="00F9252F"/>
    <w:rsid w:val="00FA5B63"/>
    <w:rsid w:val="00FA77B6"/>
    <w:rsid w:val="00FF7A69"/>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9A648"/>
  <w15:chartTrackingRefBased/>
  <w15:docId w15:val="{73CE1748-3394-444C-99F5-89217C6E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C22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C22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C220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C220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C220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C220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C220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C220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C220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220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C220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C220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C220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C220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C220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C220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C220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C220C"/>
    <w:rPr>
      <w:rFonts w:eastAsiaTheme="majorEastAsia" w:cstheme="majorBidi"/>
      <w:color w:val="272727" w:themeColor="text1" w:themeTint="D8"/>
    </w:rPr>
  </w:style>
  <w:style w:type="paragraph" w:styleId="Ttulo">
    <w:name w:val="Title"/>
    <w:basedOn w:val="Normal"/>
    <w:next w:val="Normal"/>
    <w:link w:val="TtuloCar"/>
    <w:uiPriority w:val="10"/>
    <w:qFormat/>
    <w:rsid w:val="003C22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C220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C220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C220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C220C"/>
    <w:pPr>
      <w:spacing w:before="160"/>
      <w:jc w:val="center"/>
    </w:pPr>
    <w:rPr>
      <w:i/>
      <w:iCs/>
      <w:color w:val="404040" w:themeColor="text1" w:themeTint="BF"/>
    </w:rPr>
  </w:style>
  <w:style w:type="character" w:customStyle="1" w:styleId="CitaCar">
    <w:name w:val="Cita Car"/>
    <w:basedOn w:val="Fuentedeprrafopredeter"/>
    <w:link w:val="Cita"/>
    <w:uiPriority w:val="29"/>
    <w:rsid w:val="003C220C"/>
    <w:rPr>
      <w:i/>
      <w:iCs/>
      <w:color w:val="404040" w:themeColor="text1" w:themeTint="BF"/>
    </w:rPr>
  </w:style>
  <w:style w:type="paragraph" w:styleId="Prrafodelista">
    <w:name w:val="List Paragraph"/>
    <w:basedOn w:val="Normal"/>
    <w:uiPriority w:val="34"/>
    <w:qFormat/>
    <w:rsid w:val="003C220C"/>
    <w:pPr>
      <w:ind w:left="720"/>
      <w:contextualSpacing/>
    </w:pPr>
  </w:style>
  <w:style w:type="character" w:styleId="nfasisintenso">
    <w:name w:val="Intense Emphasis"/>
    <w:basedOn w:val="Fuentedeprrafopredeter"/>
    <w:uiPriority w:val="21"/>
    <w:qFormat/>
    <w:rsid w:val="003C220C"/>
    <w:rPr>
      <w:i/>
      <w:iCs/>
      <w:color w:val="0F4761" w:themeColor="accent1" w:themeShade="BF"/>
    </w:rPr>
  </w:style>
  <w:style w:type="paragraph" w:styleId="Citadestacada">
    <w:name w:val="Intense Quote"/>
    <w:basedOn w:val="Normal"/>
    <w:next w:val="Normal"/>
    <w:link w:val="CitadestacadaCar"/>
    <w:uiPriority w:val="30"/>
    <w:qFormat/>
    <w:rsid w:val="003C22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C220C"/>
    <w:rPr>
      <w:i/>
      <w:iCs/>
      <w:color w:val="0F4761" w:themeColor="accent1" w:themeShade="BF"/>
    </w:rPr>
  </w:style>
  <w:style w:type="character" w:styleId="Referenciaintensa">
    <w:name w:val="Intense Reference"/>
    <w:basedOn w:val="Fuentedeprrafopredeter"/>
    <w:uiPriority w:val="32"/>
    <w:qFormat/>
    <w:rsid w:val="003C220C"/>
    <w:rPr>
      <w:b/>
      <w:bCs/>
      <w:smallCaps/>
      <w:color w:val="0F4761" w:themeColor="accent1" w:themeShade="BF"/>
      <w:spacing w:val="5"/>
    </w:rPr>
  </w:style>
  <w:style w:type="table" w:styleId="Tablaconcuadrcula">
    <w:name w:val="Table Grid"/>
    <w:basedOn w:val="Tablanormal"/>
    <w:uiPriority w:val="39"/>
    <w:rsid w:val="005244FD"/>
    <w:pPr>
      <w:spacing w:after="0" w:line="240" w:lineRule="auto"/>
    </w:pPr>
    <w:rPr>
      <w:kern w:val="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244FD"/>
    <w:rPr>
      <w:sz w:val="16"/>
      <w:szCs w:val="16"/>
    </w:rPr>
  </w:style>
  <w:style w:type="paragraph" w:styleId="Textocomentario">
    <w:name w:val="annotation text"/>
    <w:basedOn w:val="Normal"/>
    <w:link w:val="TextocomentarioCar"/>
    <w:uiPriority w:val="99"/>
    <w:semiHidden/>
    <w:unhideWhenUsed/>
    <w:rsid w:val="005244FD"/>
    <w:pPr>
      <w:spacing w:line="240" w:lineRule="auto"/>
    </w:pPr>
    <w:rPr>
      <w:kern w:val="0"/>
      <w:sz w:val="20"/>
      <w:szCs w:val="20"/>
      <w:lang w:val="ca-ES"/>
      <w14:ligatures w14:val="none"/>
    </w:rPr>
  </w:style>
  <w:style w:type="character" w:customStyle="1" w:styleId="TextocomentarioCar">
    <w:name w:val="Texto comentario Car"/>
    <w:basedOn w:val="Fuentedeprrafopredeter"/>
    <w:link w:val="Textocomentario"/>
    <w:uiPriority w:val="99"/>
    <w:semiHidden/>
    <w:rsid w:val="005244FD"/>
    <w:rPr>
      <w:kern w:val="0"/>
      <w:sz w:val="20"/>
      <w:szCs w:val="20"/>
      <w:lang w:val="ca-ES"/>
      <w14:ligatures w14:val="none"/>
    </w:rPr>
  </w:style>
  <w:style w:type="paragraph" w:styleId="Textodeglobo">
    <w:name w:val="Balloon Text"/>
    <w:basedOn w:val="Normal"/>
    <w:link w:val="TextodegloboCar"/>
    <w:uiPriority w:val="99"/>
    <w:semiHidden/>
    <w:unhideWhenUsed/>
    <w:rsid w:val="00DC27F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7FA"/>
    <w:rPr>
      <w:rFonts w:ascii="Segoe UI" w:hAnsi="Segoe UI" w:cs="Segoe UI"/>
      <w:sz w:val="18"/>
      <w:szCs w:val="18"/>
    </w:rPr>
  </w:style>
  <w:style w:type="character" w:styleId="Textoennegrita">
    <w:name w:val="Strong"/>
    <w:basedOn w:val="Fuentedeprrafopredeter"/>
    <w:uiPriority w:val="22"/>
    <w:qFormat/>
    <w:rsid w:val="00F07F9B"/>
    <w:rPr>
      <w:b/>
      <w:bCs/>
    </w:rPr>
  </w:style>
  <w:style w:type="paragraph" w:styleId="Asuntodelcomentario">
    <w:name w:val="annotation subject"/>
    <w:basedOn w:val="Textocomentario"/>
    <w:next w:val="Textocomentario"/>
    <w:link w:val="AsuntodelcomentarioCar"/>
    <w:uiPriority w:val="99"/>
    <w:semiHidden/>
    <w:unhideWhenUsed/>
    <w:rsid w:val="003F3B3B"/>
    <w:rPr>
      <w:b/>
      <w:bCs/>
      <w:kern w:val="2"/>
      <w:lang w:val="es-ES"/>
      <w14:ligatures w14:val="standardContextual"/>
    </w:rPr>
  </w:style>
  <w:style w:type="character" w:customStyle="1" w:styleId="AsuntodelcomentarioCar">
    <w:name w:val="Asunto del comentario Car"/>
    <w:basedOn w:val="TextocomentarioCar"/>
    <w:link w:val="Asuntodelcomentario"/>
    <w:uiPriority w:val="99"/>
    <w:semiHidden/>
    <w:rsid w:val="003F3B3B"/>
    <w:rPr>
      <w:b/>
      <w:bCs/>
      <w:kern w:val="0"/>
      <w:sz w:val="20"/>
      <w:szCs w:val="20"/>
      <w:lang w:val="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010594">
      <w:bodyDiv w:val="1"/>
      <w:marLeft w:val="0"/>
      <w:marRight w:val="0"/>
      <w:marTop w:val="0"/>
      <w:marBottom w:val="0"/>
      <w:divBdr>
        <w:top w:val="none" w:sz="0" w:space="0" w:color="auto"/>
        <w:left w:val="none" w:sz="0" w:space="0" w:color="auto"/>
        <w:bottom w:val="none" w:sz="0" w:space="0" w:color="auto"/>
        <w:right w:val="none" w:sz="0" w:space="0" w:color="auto"/>
      </w:divBdr>
    </w:div>
    <w:div w:id="480733416">
      <w:bodyDiv w:val="1"/>
      <w:marLeft w:val="0"/>
      <w:marRight w:val="0"/>
      <w:marTop w:val="0"/>
      <w:marBottom w:val="0"/>
      <w:divBdr>
        <w:top w:val="none" w:sz="0" w:space="0" w:color="auto"/>
        <w:left w:val="none" w:sz="0" w:space="0" w:color="auto"/>
        <w:bottom w:val="none" w:sz="0" w:space="0" w:color="auto"/>
        <w:right w:val="none" w:sz="0" w:space="0" w:color="auto"/>
      </w:divBdr>
    </w:div>
    <w:div w:id="499463711">
      <w:bodyDiv w:val="1"/>
      <w:marLeft w:val="0"/>
      <w:marRight w:val="0"/>
      <w:marTop w:val="0"/>
      <w:marBottom w:val="0"/>
      <w:divBdr>
        <w:top w:val="none" w:sz="0" w:space="0" w:color="auto"/>
        <w:left w:val="none" w:sz="0" w:space="0" w:color="auto"/>
        <w:bottom w:val="none" w:sz="0" w:space="0" w:color="auto"/>
        <w:right w:val="none" w:sz="0" w:space="0" w:color="auto"/>
      </w:divBdr>
    </w:div>
    <w:div w:id="506214771">
      <w:bodyDiv w:val="1"/>
      <w:marLeft w:val="0"/>
      <w:marRight w:val="0"/>
      <w:marTop w:val="0"/>
      <w:marBottom w:val="0"/>
      <w:divBdr>
        <w:top w:val="none" w:sz="0" w:space="0" w:color="auto"/>
        <w:left w:val="none" w:sz="0" w:space="0" w:color="auto"/>
        <w:bottom w:val="none" w:sz="0" w:space="0" w:color="auto"/>
        <w:right w:val="none" w:sz="0" w:space="0" w:color="auto"/>
      </w:divBdr>
      <w:divsChild>
        <w:div w:id="558134177">
          <w:marLeft w:val="0"/>
          <w:marRight w:val="0"/>
          <w:marTop w:val="0"/>
          <w:marBottom w:val="0"/>
          <w:divBdr>
            <w:top w:val="none" w:sz="0" w:space="0" w:color="auto"/>
            <w:left w:val="none" w:sz="0" w:space="0" w:color="auto"/>
            <w:bottom w:val="none" w:sz="0" w:space="0" w:color="auto"/>
            <w:right w:val="none" w:sz="0" w:space="0" w:color="auto"/>
          </w:divBdr>
        </w:div>
      </w:divsChild>
    </w:div>
    <w:div w:id="534461364">
      <w:bodyDiv w:val="1"/>
      <w:marLeft w:val="0"/>
      <w:marRight w:val="0"/>
      <w:marTop w:val="0"/>
      <w:marBottom w:val="0"/>
      <w:divBdr>
        <w:top w:val="none" w:sz="0" w:space="0" w:color="auto"/>
        <w:left w:val="none" w:sz="0" w:space="0" w:color="auto"/>
        <w:bottom w:val="none" w:sz="0" w:space="0" w:color="auto"/>
        <w:right w:val="none" w:sz="0" w:space="0" w:color="auto"/>
      </w:divBdr>
    </w:div>
    <w:div w:id="696661409">
      <w:bodyDiv w:val="1"/>
      <w:marLeft w:val="0"/>
      <w:marRight w:val="0"/>
      <w:marTop w:val="0"/>
      <w:marBottom w:val="0"/>
      <w:divBdr>
        <w:top w:val="none" w:sz="0" w:space="0" w:color="auto"/>
        <w:left w:val="none" w:sz="0" w:space="0" w:color="auto"/>
        <w:bottom w:val="none" w:sz="0" w:space="0" w:color="auto"/>
        <w:right w:val="none" w:sz="0" w:space="0" w:color="auto"/>
      </w:divBdr>
      <w:divsChild>
        <w:div w:id="2137292163">
          <w:marLeft w:val="0"/>
          <w:marRight w:val="0"/>
          <w:marTop w:val="0"/>
          <w:marBottom w:val="0"/>
          <w:divBdr>
            <w:top w:val="none" w:sz="0" w:space="0" w:color="auto"/>
            <w:left w:val="none" w:sz="0" w:space="0" w:color="auto"/>
            <w:bottom w:val="none" w:sz="0" w:space="0" w:color="auto"/>
            <w:right w:val="none" w:sz="0" w:space="0" w:color="auto"/>
          </w:divBdr>
        </w:div>
      </w:divsChild>
    </w:div>
    <w:div w:id="1144733680">
      <w:bodyDiv w:val="1"/>
      <w:marLeft w:val="0"/>
      <w:marRight w:val="0"/>
      <w:marTop w:val="0"/>
      <w:marBottom w:val="0"/>
      <w:divBdr>
        <w:top w:val="none" w:sz="0" w:space="0" w:color="auto"/>
        <w:left w:val="none" w:sz="0" w:space="0" w:color="auto"/>
        <w:bottom w:val="none" w:sz="0" w:space="0" w:color="auto"/>
        <w:right w:val="none" w:sz="0" w:space="0" w:color="auto"/>
      </w:divBdr>
    </w:div>
    <w:div w:id="1196968317">
      <w:bodyDiv w:val="1"/>
      <w:marLeft w:val="0"/>
      <w:marRight w:val="0"/>
      <w:marTop w:val="0"/>
      <w:marBottom w:val="0"/>
      <w:divBdr>
        <w:top w:val="none" w:sz="0" w:space="0" w:color="auto"/>
        <w:left w:val="none" w:sz="0" w:space="0" w:color="auto"/>
        <w:bottom w:val="none" w:sz="0" w:space="0" w:color="auto"/>
        <w:right w:val="none" w:sz="0" w:space="0" w:color="auto"/>
      </w:divBdr>
    </w:div>
    <w:div w:id="1814520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57384-C63A-4783-A0F6-378559ADD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6364</Words>
  <Characters>35004</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Sanchez, Alba</dc:creator>
  <cp:keywords/>
  <dc:description/>
  <cp:lastModifiedBy>Alba Sanchez Viñas</cp:lastModifiedBy>
  <cp:revision>3</cp:revision>
  <dcterms:created xsi:type="dcterms:W3CDTF">2025-03-21T14:44:00Z</dcterms:created>
  <dcterms:modified xsi:type="dcterms:W3CDTF">2025-12-09T21:10:00Z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b7e9565ef27f6db09bb6bd148fab05c64380367d4ce59cb1b115e299e81415d5</vt:lpwstr>
  </property>
  <property fmtid="{D5CDD505-2E9C-101B-9397-08002B2CF9AE}" pid="3" name="Mendeley Document_1">
    <vt:lpwstr>True</vt:lpwstr>
  </property>
  <property fmtid="{D5CDD505-2E9C-101B-9397-08002B2CF9AE}" pid="4" name="Mendeley Unique User Id_1">
    <vt:lpwstr>535905d1-a89f-3fa6-8225-b1833af2a64a</vt:lpwstr>
  </property>
  <property fmtid="{D5CDD505-2E9C-101B-9397-08002B2CF9AE}" pid="5" name="Mendeley Citation Style_1">
    <vt:lpwstr>http://www.zotero.org/styles/value-in-health</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http://www.zotero.org/styles/ieee</vt:lpwstr>
  </property>
  <property fmtid="{D5CDD505-2E9C-101B-9397-08002B2CF9AE}" pid="17" name="Mendeley Recent Style Name 5_1">
    <vt:lpwstr>IEEE</vt:lpwstr>
  </property>
  <property fmtid="{D5CDD505-2E9C-101B-9397-08002B2CF9AE}" pid="18" name="Mendeley Recent Style Id 6_1">
    <vt:lpwstr>http://www.zotero.org/styles/international-journal-for-equity-in-health</vt:lpwstr>
  </property>
  <property fmtid="{D5CDD505-2E9C-101B-9397-08002B2CF9AE}" pid="19" name="Mendeley Recent Style Name 6_1">
    <vt:lpwstr>International Journal for Equity in Health</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http://www.zotero.org/styles/value-in-health</vt:lpwstr>
  </property>
  <property fmtid="{D5CDD505-2E9C-101B-9397-08002B2CF9AE}" pid="23" name="Mendeley Recent Style Name 8_1">
    <vt:lpwstr>Value in Health</vt:lpwstr>
  </property>
  <property fmtid="{D5CDD505-2E9C-101B-9397-08002B2CF9AE}" pid="24" name="Mendeley Recent Style Id 9_1">
    <vt:lpwstr>http://www.zotero.org/styles/vancouver</vt:lpwstr>
  </property>
  <property fmtid="{D5CDD505-2E9C-101B-9397-08002B2CF9AE}" pid="25" name="Mendeley Recent Style Name 9_1">
    <vt:lpwstr>Vancouver</vt:lpwstr>
  </property>
</Properties>
</file>