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53673C" wp14:paraId="3B19C5DE" wp14:textId="21EE8F40">
      <w:pPr>
        <w:pStyle w:val="Heading1"/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3CFBD7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Supplemental Material </w:t>
      </w:r>
    </w:p>
    <w:p w:rsidR="63BD3EF7" w:rsidP="7B53673C" w:rsidRDefault="63BD3EF7" w14:paraId="11341F63" w14:textId="6007F19F">
      <w:pPr>
        <w:spacing w:after="0"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Three-Dimensional Volumetric Assessment Enhances Detection of Growth in Unruptured Intracranial Aneurysms</w:t>
      </w:r>
    </w:p>
    <w:p w:rsidR="63BD3EF7" w:rsidP="7B53673C" w:rsidRDefault="63BD3EF7" w14:paraId="4EAFE24D" w14:textId="3E6ED2FB">
      <w:p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Navami Shenoy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Elena Sagues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Pujit R Mekala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Kareem T Shoukih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Lidia Diaz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3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Domenica Cifuentes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Ruben Calle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Linder Wendt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4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Ivonne Salinas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Andres Gudino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Carlos Dier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Gowri Peethambar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Randall Krug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 Edgar A Samaniego*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1,5,6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3BD3EF7" w:rsidP="7B53673C" w:rsidRDefault="63BD3EF7" w14:paraId="14343A52" w14:textId="6533FC76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 of Neurology, University of Iowa, Iowa City, Iowa, USA.</w:t>
      </w:r>
    </w:p>
    <w:p w:rsidR="63BD3EF7" w:rsidP="7B53673C" w:rsidRDefault="63BD3EF7" w14:paraId="40554559" w14:textId="08F7EC76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Carver College of Medicine, University of Iowa, Iowa City, Iowa, USA.</w:t>
      </w:r>
    </w:p>
    <w:p w:rsidR="63BD3EF7" w:rsidP="7B53673C" w:rsidRDefault="63BD3EF7" w14:paraId="3D55A611" w14:textId="0E677945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s-EC"/>
        </w:rPr>
        <w:t>3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Facultad de Medicina, Universidad de Málaga, Málaga, Spain.</w:t>
      </w:r>
    </w:p>
    <w:p w:rsidR="63BD3EF7" w:rsidP="7B53673C" w:rsidRDefault="63BD3EF7" w14:paraId="04099A1E" w14:textId="2FA90BCE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4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Institute for Clinical and Translational Science, University of Iowa, Iowa City, Iowa, USA.</w:t>
      </w:r>
    </w:p>
    <w:p w:rsidR="63BD3EF7" w:rsidP="7B53673C" w:rsidRDefault="63BD3EF7" w14:paraId="225BB998" w14:textId="4272804A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5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Department of Neurosurgery, University of Iowa, Iowa City, Iowa, USA. </w:t>
      </w:r>
    </w:p>
    <w:p w:rsidR="63BD3EF7" w:rsidP="7B53673C" w:rsidRDefault="63BD3EF7" w14:paraId="3A5C142F" w14:textId="7E178B62">
      <w:pPr>
        <w:pStyle w:val="paragraph"/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6</w:t>
      </w: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 of Radiology, University of Iowa, Iowa City, Iowa, USA.</w:t>
      </w:r>
    </w:p>
    <w:p w:rsidR="7B53673C" w:rsidP="7B53673C" w:rsidRDefault="7B53673C" w14:paraId="4BA15645" w14:textId="441F01DE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BD3EF7" w:rsidP="7B53673C" w:rsidRDefault="63BD3EF7" w14:paraId="23360E3B" w14:textId="6B0EB929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*Corresponding author: Edgar A Samaniego </w:t>
      </w:r>
    </w:p>
    <w:p w:rsidR="63BD3EF7" w:rsidP="7B53673C" w:rsidRDefault="63BD3EF7" w14:paraId="6074954E" w14:textId="55621520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Phone number: +1 319 333 4460 </w:t>
      </w:r>
    </w:p>
    <w:p w:rsidR="63BD3EF7" w:rsidP="7B53673C" w:rsidRDefault="63BD3EF7" w14:paraId="21F4256B" w14:textId="0642FFE9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Mail address: 200 Hawkins Dr. Iowa City, IA 52242 </w:t>
      </w:r>
    </w:p>
    <w:p w:rsidR="63BD3EF7" w:rsidP="7B53673C" w:rsidRDefault="63BD3EF7" w14:paraId="73C1E58D" w14:textId="31AA34D2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of Iowa </w:t>
      </w:r>
    </w:p>
    <w:p w:rsidR="63BD3EF7" w:rsidP="7B53673C" w:rsidRDefault="63BD3EF7" w14:paraId="7411BBE3" w14:textId="3C0D1EC0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63BD3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77e990d9389d4d43">
        <w:r w:rsidRPr="7B53673C" w:rsidR="63BD3EF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edgarsama@gmail.com</w:t>
        </w:r>
      </w:hyperlink>
    </w:p>
    <w:p w:rsidR="7B53673C" w:rsidP="7B53673C" w:rsidRDefault="7B53673C" w14:paraId="19472607" w14:textId="6F1A8AAB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95BC815" w:rsidP="7B53673C" w:rsidRDefault="295BC815" w14:paraId="7BB01F38" w14:textId="1D8D8EDB">
      <w:pPr>
        <w:spacing w:after="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B53673C" w:rsidR="295BC8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Image Acquisition Protocol</w:t>
      </w:r>
    </w:p>
    <w:p w:rsidR="295BC815" w:rsidP="7B53673C" w:rsidRDefault="295BC815" w14:paraId="3762E3C1" w14:textId="637E73A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295BC8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MR studies were performed on Siemens Aera 1.5T, AvantoFit 1.5T, and Skyra 3T systems using a standardized neurovascular protocol including axial diffusion-weighted imaging (DWI), axial fluid-attenuated inversion recovery (FLAIR), susceptibility-weighted imaging (SWI), axial fat-suppressed T1-weighted imaging (T1FS), TOF-MRA, and contrast-enhanced MRA following intravenous administration of Gadavist (10 mL at 1.5 mL/s with a 30 mL saline flush). </w:t>
      </w:r>
    </w:p>
    <w:p w:rsidR="295BC815" w:rsidP="7B53673C" w:rsidRDefault="295BC815" w14:paraId="234FAB7E" w14:textId="4F75D998">
      <w:pP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295BC8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CTA studies were performed on Siemens SOMATOM Force, including a non-contrast head CT followed by a CTA of the head from C2 through the vertex </w:t>
      </w:r>
      <w:r w:rsidRPr="7B53673C" w:rsidR="295BC8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utilizing</w:t>
      </w:r>
      <w:r w:rsidRPr="7B53673C" w:rsidR="295BC8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bolus tracking at the aortic arch. Post-contrast CT of the brain was obtained approximately 60 seconds after injection of 50 mL of Isovue370 contrast at 4 mL/s, followed by a 50 mL saline flush. Axial, coronal, and sagittal multiplanar reconstructions (MPR) and maximum intensity projections (MIP) were performed for review.</w:t>
      </w:r>
    </w:p>
    <w:p xmlns:wp14="http://schemas.microsoft.com/office/word/2010/wordml" w:rsidP="3F7C639E" wp14:paraId="7775E5AD" wp14:textId="59AD4A9D">
      <w:pPr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7C639E" w:rsidR="3CFBD7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 Table 1.</w:t>
      </w:r>
      <w:r w:rsidRPr="3F7C639E" w:rsidR="3CFBD7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Imaging Protocol Parameters </w:t>
      </w:r>
    </w:p>
    <w:tbl>
      <w:tblPr>
        <w:tblStyle w:val="TableGrid"/>
        <w:bidiVisual w:val="0"/>
        <w:tblW w:w="931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370"/>
        <w:gridCol w:w="2430"/>
        <w:gridCol w:w="2385"/>
        <w:gridCol w:w="2130"/>
      </w:tblGrid>
      <w:tr w:rsidR="1598680F" w:rsidTr="3F7C639E" w14:paraId="7194FAED">
        <w:trPr>
          <w:trHeight w:val="300"/>
        </w:trPr>
        <w:tc>
          <w:tcPr>
            <w:tcW w:w="237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BF10FAD" w14:textId="0477193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A91708C" w14:textId="33F5538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CE-MRA</w:t>
            </w:r>
          </w:p>
          <w:p w:rsidR="1598680F" w:rsidP="3F7C639E" w:rsidRDefault="1598680F" w14:paraId="39F67A1A" w14:textId="09C162F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(n = 111)</w:t>
            </w:r>
          </w:p>
        </w:tc>
        <w:tc>
          <w:tcPr>
            <w:tcW w:w="2385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1E2D73F" w14:textId="7DA03B25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TOF-MRA</w:t>
            </w:r>
          </w:p>
          <w:p w:rsidR="1598680F" w:rsidP="3F7C639E" w:rsidRDefault="1598680F" w14:paraId="5BEE94DC" w14:textId="17D4D73A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(n = 6)</w:t>
            </w:r>
          </w:p>
        </w:tc>
        <w:tc>
          <w:tcPr>
            <w:tcW w:w="213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459F65C" w14:textId="4FDEB07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CTA </w:t>
            </w:r>
          </w:p>
          <w:p w:rsidR="1598680F" w:rsidP="3F7C639E" w:rsidRDefault="1598680F" w14:paraId="6681F7EF" w14:textId="54AB3196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(n = 6)</w:t>
            </w:r>
          </w:p>
        </w:tc>
      </w:tr>
      <w:tr w:rsidR="1598680F" w:rsidTr="3F7C639E" w14:paraId="2DE364BB">
        <w:trPr>
          <w:trHeight w:val="300"/>
        </w:trPr>
        <w:tc>
          <w:tcPr>
            <w:tcW w:w="237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F2A8114" w14:textId="66F3175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Scanner</w:t>
            </w:r>
          </w:p>
        </w:tc>
        <w:tc>
          <w:tcPr>
            <w:tcW w:w="243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FDD6B19" w14:textId="3EA6633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Siemens Aera/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AvantoFit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/Skyra</w:t>
            </w:r>
          </w:p>
        </w:tc>
        <w:tc>
          <w:tcPr>
            <w:tcW w:w="2385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6556F8F" w14:textId="69C28EDC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Siemens Aera/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AvantoFit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/Skyra</w:t>
            </w:r>
          </w:p>
        </w:tc>
        <w:tc>
          <w:tcPr>
            <w:tcW w:w="213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8B04252" w14:textId="72088374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Siemens SOMATOM Force</w:t>
            </w:r>
          </w:p>
        </w:tc>
      </w:tr>
      <w:tr w:rsidR="1598680F" w:rsidTr="3F7C639E" w14:paraId="3EA49DC6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D8B26E1" w14:textId="5BA6B07E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Field Strength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3FE2C77" w14:textId="7B8E0BF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1.5T, 3T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3D2F9F5" w14:textId="5187937E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1.5T, 3T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4FD2417" w14:textId="03D26BD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1598680F" w:rsidTr="3F7C639E" w14:paraId="1692AB0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2892EC1" w14:textId="18F5E9F9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Voxel size, mm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4D245E1" w14:textId="7CA0C685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0.6 x 0.6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D153FC7" w14:textId="51E1303C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0.3 x 0.3   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4023699" w14:textId="39BE015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0.6</w:t>
            </w:r>
          </w:p>
        </w:tc>
      </w:tr>
      <w:tr w:rsidR="1598680F" w:rsidTr="3F7C639E" w14:paraId="5ACBB5E6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A2D63E8" w14:textId="4AF1DBA3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Slice thickness, mm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1698239" w14:textId="3CC29B9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0.8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21860B5" w14:textId="3B4C1DF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84F8690" w14:textId="3D425E3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</w:tr>
      <w:tr w:rsidR="1598680F" w:rsidTr="3F7C639E" w14:paraId="01DDF79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CC78975" w14:textId="3ED03F8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TE, 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ms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D54653A" w14:textId="282ADD7C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1.3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5A44FEA" w14:textId="11565B1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3.4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CD80C16" w14:textId="08482677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1598680F" w:rsidTr="3F7C639E" w14:paraId="53235410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A9A2CB1" w14:textId="340A9AF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TR, 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ms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2536582" w14:textId="0292BB8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3.3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4D6CC7A" w14:textId="4841997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A11E6ED" w14:textId="7815B3D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1598680F" w:rsidTr="3F7C639E" w14:paraId="2B11ECF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0C8C7E6" w14:textId="27CACCB9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Flip angle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49F0C40" w14:textId="3020A2F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C553B89" w14:textId="716616FA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B18179E" w14:textId="3E0BF9D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1598680F" w:rsidTr="3F7C639E" w14:paraId="3235589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61096FC" w14:textId="62B3BACA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Tube Voltage, 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kVp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D5D0F2C" w14:textId="55640E93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E151044" w14:textId="671AB73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A4AF2E4" w14:textId="3FCC18B6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120</w:t>
            </w:r>
          </w:p>
        </w:tc>
      </w:tr>
      <w:tr w:rsidR="1598680F" w:rsidTr="3F7C639E" w14:paraId="776977D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E68439B" w14:textId="6B1076B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Tube Current, 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mAs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E4A6E96" w14:textId="4224841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B947F8B" w14:textId="570F2E49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EA674CF" w14:textId="64D836E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320</w:t>
            </w:r>
          </w:p>
        </w:tc>
      </w:tr>
    </w:tbl>
    <w:p xmlns:wp14="http://schemas.microsoft.com/office/word/2010/wordml" w:rsidP="3F7C639E" wp14:paraId="4A7DBDF5" wp14:textId="7AF7C03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C44E6A" w:rsidP="3F7C639E" w:rsidRDefault="45C44E6A" w14:paraId="6B6BC4B0" w14:textId="228777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3673C" w:rsidR="45C44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Abbreviations: CE = Contrast-enhanced</w:t>
      </w:r>
    </w:p>
    <w:p w:rsidR="7B53673C" w:rsidP="7B53673C" w:rsidRDefault="7B53673C" w14:paraId="68540B10" w14:textId="2E81623B">
      <w:pPr>
        <w:pStyle w:val="Normal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7C639E" wp14:paraId="71B5F041" wp14:textId="0E37E739">
      <w:pPr>
        <w:pStyle w:val="Normal"/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7C639E" w:rsidR="3CFBD7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 Table 2.</w:t>
      </w:r>
      <w:r w:rsidRPr="3F7C639E" w:rsidR="3CFBD7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Sensitivity analysis</w:t>
      </w:r>
    </w:p>
    <w:tbl>
      <w:tblPr>
        <w:tblStyle w:val="TableGrid"/>
        <w:bidiVisual w:val="0"/>
        <w:tblW w:w="9300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1695"/>
        <w:gridCol w:w="1470"/>
        <w:gridCol w:w="1395"/>
        <w:gridCol w:w="1230"/>
      </w:tblGrid>
      <w:tr w:rsidR="1598680F" w:rsidTr="3F7C639E" w14:paraId="10B80844">
        <w:trPr>
          <w:trHeight w:val="300"/>
        </w:trPr>
        <w:tc>
          <w:tcPr>
            <w:tcW w:w="351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6025BE5" w14:textId="40287BD4">
            <w:pPr>
              <w:bidi w:val="0"/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7698178" w14:textId="24D19D5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Total (n = 123, 98 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patients)</w:t>
            </w:r>
            <w:r w:rsidRPr="3F7C639E" w:rsidR="62888F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a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7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FD53628" w14:textId="460F9418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Growing (n = 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24)</w:t>
            </w:r>
            <w:r w:rsidRPr="3F7C639E" w:rsidR="62888F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95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4485DEE" w14:textId="2477A223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Stable (n = 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99)</w:t>
            </w:r>
            <w:r w:rsidRPr="3F7C639E" w:rsidR="47C38B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30" w:type="dxa"/>
            <w:tcBorders>
              <w:top w:val="single" w:color="ADADAD" w:themeColor="background2" w:themeShade="BF" w:sz="12"/>
              <w:left w:val="none" w:color="ADADAD" w:themeColor="background2" w:themeShade="BF" w:sz="12"/>
              <w:bottom w:val="single" w:color="ADADAD" w:themeColor="background2" w:themeShade="BF" w:sz="12"/>
              <w:right w:val="non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4762AC7" w14:textId="539AF768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p-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value</w:t>
            </w:r>
            <w:r w:rsidRPr="3F7C639E" w:rsidR="1BF9CA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b</w:t>
            </w:r>
            <w:r w:rsidRPr="3F7C639E" w:rsidR="768870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1598680F" w:rsidTr="3F7C639E" w14:paraId="600F0DF6">
        <w:trPr>
          <w:trHeight w:val="300"/>
        </w:trPr>
        <w:tc>
          <w:tcPr>
            <w:tcW w:w="351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5E789BC" w14:textId="6F08827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F7C639E" w:rsidR="213589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Number of a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neurysms excluded (&gt;5 mm) </w:t>
            </w:r>
          </w:p>
        </w:tc>
        <w:tc>
          <w:tcPr>
            <w:tcW w:w="1695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82A4FF9" w14:textId="5A2018D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21 </w:t>
            </w:r>
          </w:p>
        </w:tc>
        <w:tc>
          <w:tcPr>
            <w:tcW w:w="147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EF3F640" w14:textId="2385FB6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395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8BB5947" w14:textId="1DDD29D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1230" w:type="dxa"/>
            <w:tcBorders>
              <w:top w:val="single" w:color="ADADAD" w:themeColor="background2" w:themeShade="BF" w:sz="12"/>
            </w:tcBorders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9D416D7" w14:textId="6469E94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1598680F" w:rsidTr="3F7C639E" w14:paraId="6D014B3B">
        <w:trPr>
          <w:trHeight w:val="405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A385B5E" w14:textId="257E611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MCA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0A21576" w14:textId="3033419E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40 (32%)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B929836" w14:textId="7158C4A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 (12%)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E9AA280" w14:textId="7D81EE4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37 (37%)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AB461AA" w14:textId="765DFD6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0.1133</w:t>
            </w:r>
          </w:p>
        </w:tc>
      </w:tr>
      <w:tr w:rsidR="1598680F" w:rsidTr="3F7C639E" w14:paraId="10FC953C">
        <w:trPr>
          <w:trHeight w:val="525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ECC3B39" w14:textId="45B0AB37">
            <w:pPr>
              <w:pStyle w:val="Normal"/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</w:t>
            </w:r>
            <w:r w:rsidRPr="3F7C639E" w:rsidR="4B2C7F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ACA/ACOM/PCOM/Posterio</w:t>
            </w:r>
            <w:r w:rsidRPr="3F7C639E" w:rsidR="13C01C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r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E963101" w14:textId="7D7612A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40  (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32%)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7405573" w14:textId="6D98E30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14 (58%)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0335871" w14:textId="068B5D6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26 (26%)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0AFC2EC" w14:textId="5EC5AF9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0.0231 </w:t>
            </w:r>
          </w:p>
        </w:tc>
      </w:tr>
      <w:tr w:rsidR="1598680F" w:rsidTr="3F7C639E" w14:paraId="48000F6C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DF3B6F7" w14:textId="5E115E4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Growth (based on size)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5F47307" w14:textId="250C49A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9 (73%)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99307B6" w14:textId="239C8E9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8 (33%)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4FDD349" w14:textId="249083F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 (1%)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6DF167E" w14:textId="5FB3EB4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&lt;0.0001</w:t>
            </w:r>
          </w:p>
        </w:tc>
      </w:tr>
      <w:tr w:rsidR="1598680F" w:rsidTr="3F7C639E" w14:paraId="449C4239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0E1D3E5" w14:textId="16ADF37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Time to follow-up (years)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8B04215" w14:textId="1F8EC05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 (1-4)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E978621" w14:textId="04F55EA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(2-5)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8E9A1A3" w14:textId="72E2179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 (1-4)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BD75E1E" w14:textId="0332F88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0.024 </w:t>
            </w:r>
          </w:p>
        </w:tc>
      </w:tr>
      <w:tr w:rsidR="1598680F" w:rsidTr="3F7C639E" w14:paraId="64849BD0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62BB776" w14:textId="780923C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Baseline aneurysm size (mm)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83353EC" w14:textId="655C05C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(2-5)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EACFDA3" w14:textId="16E9E39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 (2-5)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F937DE3" w14:textId="0DFA6AC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(2-5)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9FE9F8B" w14:textId="19F9885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0.221 </w:t>
            </w:r>
          </w:p>
        </w:tc>
      </w:tr>
      <w:tr w:rsidR="1598680F" w:rsidTr="3F7C639E" w14:paraId="3935E132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9339A38" w14:textId="46D6433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Follow-up aneurysm size (mm)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F406853" w14:textId="58EE01A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(3-5)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185CED7" w14:textId="50C70B8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(3-6)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CD67993" w14:textId="42521DC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4 (3-5)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59B708B" w14:textId="042B4E1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0.9898 </w:t>
            </w:r>
          </w:p>
        </w:tc>
      </w:tr>
      <w:tr w:rsidR="1598680F" w:rsidTr="3F7C639E" w14:paraId="4CB39D22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E45C91D" w14:textId="56B42CF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Change in aneurysm size (%)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777DD01" w14:textId="582EC28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 (0-8)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FD58E2E" w14:textId="6472B66E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10 (1-20)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8E5CBFB" w14:textId="6FCF259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 (0-4)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07EEAF3" w14:textId="360144C3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0.002 </w:t>
            </w:r>
          </w:p>
        </w:tc>
      </w:tr>
      <w:tr w:rsidR="1598680F" w:rsidTr="3F7C639E" w14:paraId="2135C4AA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6935081D" w14:textId="5D74C007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Baseline aneurysm volume</w:t>
            </w:r>
            <w:r w:rsidRPr="3F7C639E" w:rsidR="7DE44C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(mm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3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168CC546" w14:textId="3BE08FC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26 (12-66)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37B6237" w14:textId="088002E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12 (8-20)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96E8E72" w14:textId="251521EE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24 (12-50)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F9B3772" w14:textId="2A54272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0.003 </w:t>
            </w:r>
          </w:p>
        </w:tc>
      </w:tr>
      <w:tr w:rsidR="1598680F" w:rsidTr="3F7C639E" w14:paraId="3BCBECAD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C4D2A68" w14:textId="2A86BA3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Follow-up aneurysm volume (mm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3</w:t>
            </w: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A8CB22C" w14:textId="624BCF99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35 (17-79)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9ED99FA" w14:textId="2B26086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36 (18-82)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99E5CBE" w14:textId="6B790D6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35 (16-79)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72D213B5" w14:textId="1E85CC32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0.9027 </w:t>
            </w:r>
          </w:p>
        </w:tc>
      </w:tr>
      <w:tr w:rsidR="1598680F" w:rsidTr="3F7C639E" w14:paraId="2B6BE463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5A52C3EB" w14:textId="7DAB2ED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Change in aneurysm volume (%)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060562CD" w14:textId="0C4F36D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13 (2-40)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25B02B8D" w14:textId="4B67A187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95 (71-160)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367AC6DD" w14:textId="728D2AF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10 (0-20)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1598680F" w:rsidP="3F7C639E" w:rsidRDefault="1598680F" w14:paraId="4A07C1ED" w14:textId="479E38A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F7C639E" w:rsidR="76887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-</w:t>
            </w:r>
          </w:p>
        </w:tc>
      </w:tr>
    </w:tbl>
    <w:p xmlns:wp14="http://schemas.microsoft.com/office/word/2010/wordml" w:rsidP="3F7C639E" wp14:paraId="134D10B0" wp14:textId="774A2AFD">
      <w:pPr>
        <w:bidi w:val="0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7C639E" wp14:paraId="48D54734" wp14:textId="7E65F40B">
      <w:pPr>
        <w:bidi w:val="0"/>
        <w:spacing w:after="0"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s-EC"/>
        </w:rPr>
        <w:t xml:space="preserve">a </w:t>
      </w: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n(</w:t>
      </w: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%); median (Q1-Q3). </w:t>
      </w:r>
    </w:p>
    <w:p xmlns:wp14="http://schemas.microsoft.com/office/word/2010/wordml" w:rsidP="3F7C639E" wp14:paraId="5B4CEAB0" wp14:textId="58835E5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b</w:t>
      </w: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Wilcoxon rank sum test; Chi-Squared test; Fisher's exact test.</w:t>
      </w:r>
    </w:p>
    <w:p xmlns:wp14="http://schemas.microsoft.com/office/word/2010/wordml" w:rsidP="3F7C639E" wp14:paraId="2C078E63" wp14:textId="76AFCD1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7C639E" w:rsidR="2D15F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Abbreviations: ACA = Anterior cerebral artery, ACOM = Anterior communicating artery complex, PCOM = Posterior communicating artery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B46A1"/>
    <w:rsid w:val="0DA14AD1"/>
    <w:rsid w:val="0F5077C6"/>
    <w:rsid w:val="10BDAA7F"/>
    <w:rsid w:val="13C01CBC"/>
    <w:rsid w:val="1598680F"/>
    <w:rsid w:val="1BF9CAEB"/>
    <w:rsid w:val="1FD22400"/>
    <w:rsid w:val="2135896D"/>
    <w:rsid w:val="22E1BE86"/>
    <w:rsid w:val="24FB46A1"/>
    <w:rsid w:val="295BC815"/>
    <w:rsid w:val="29B21FCD"/>
    <w:rsid w:val="2A7786BB"/>
    <w:rsid w:val="2B6BB0EB"/>
    <w:rsid w:val="2D15F213"/>
    <w:rsid w:val="2E5CD535"/>
    <w:rsid w:val="31949F0C"/>
    <w:rsid w:val="326ED948"/>
    <w:rsid w:val="35B07786"/>
    <w:rsid w:val="368A62C0"/>
    <w:rsid w:val="3CFBD796"/>
    <w:rsid w:val="3F7C639E"/>
    <w:rsid w:val="4019AA09"/>
    <w:rsid w:val="406B8C52"/>
    <w:rsid w:val="45C44E6A"/>
    <w:rsid w:val="46E8AB26"/>
    <w:rsid w:val="47C38B32"/>
    <w:rsid w:val="4B2C7FDB"/>
    <w:rsid w:val="55E03AC9"/>
    <w:rsid w:val="58CBC734"/>
    <w:rsid w:val="5DB8F67A"/>
    <w:rsid w:val="604FBDCD"/>
    <w:rsid w:val="62888F4E"/>
    <w:rsid w:val="634668B6"/>
    <w:rsid w:val="63BD3EF7"/>
    <w:rsid w:val="63F90928"/>
    <w:rsid w:val="7688701F"/>
    <w:rsid w:val="7B53673C"/>
    <w:rsid w:val="7DE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46A1"/>
  <w15:chartTrackingRefBased/>
  <w15:docId w15:val="{B9BA2D52-44E8-4A4E-BEBE-8F1ED0949A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598680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true">
    <w:uiPriority w:val="1"/>
    <w:name w:val="paragraph"/>
    <w:basedOn w:val="Normal"/>
    <w:link w:val="paragraphChar"/>
    <w:rsid w:val="7B53673C"/>
    <w:rPr>
      <w:rFonts w:ascii="Aptos" w:hAnsi="Aptos" w:eastAsia="ＭＳ 明朝" w:cs="Arial" w:asciiTheme="minorAscii" w:hAnsiTheme="minorAscii" w:eastAsiaTheme="minorEastAsia" w:cstheme="minorBidi"/>
      <w:sz w:val="24"/>
      <w:szCs w:val="24"/>
    </w:rPr>
    <w:pPr>
      <w:spacing w:beforeAutospacing="on" w:afterAutospacing="on" w:line="240" w:lineRule="auto"/>
    </w:pPr>
  </w:style>
  <w:style w:type="character" w:styleId="paragraphChar" w:customStyle="true">
    <w:uiPriority w:val="1"/>
    <w:name w:val="paragraph Char"/>
    <w:basedOn w:val="DefaultParagraphFont"/>
    <w:link w:val="paragraph"/>
    <w:rsid w:val="7B53673C"/>
    <w:rPr>
      <w:rFonts w:ascii="Aptos" w:hAnsi="Aptos" w:eastAsia="ＭＳ 明朝" w:cs="Arial" w:asciiTheme="minorAscii" w:hAnsiTheme="minorAscii" w:eastAsiaTheme="minorEastAsia" w:cstheme="minorBidi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7B53673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dgarsama@gmail.com" TargetMode="External" Id="R77e990d9389d4d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2025-09-22T19:01:35.3683561Z</dcterms:created>
  <dcterms:modified xsi:type="dcterms:W3CDTF">2025-12-08T21:43:52.2170505Z</dcterms:modified>
  <dc:creator>Shenoy, Navami</dc:creator>
  <lastModifiedBy>Shenoy, Navami</lastModifiedBy>
</coreProperties>
</file>