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9E507" w14:textId="77777777" w:rsidR="00B22ED2" w:rsidRPr="00B22ED2" w:rsidRDefault="00B22ED2" w:rsidP="00B22ED2">
      <w:pPr>
        <w:rPr>
          <w:rFonts w:ascii="Arial" w:hAnsi="Arial" w:cs="Arial"/>
        </w:rPr>
      </w:pPr>
      <w:r w:rsidRPr="00B22ED2">
        <w:rPr>
          <w:rFonts w:ascii="Arial" w:hAnsi="Arial" w:cs="Arial"/>
          <w:b/>
          <w:bCs/>
        </w:rPr>
        <w:t>Sup. Fig.1</w:t>
      </w:r>
    </w:p>
    <w:p w14:paraId="5541504D" w14:textId="320A98A5" w:rsidR="00C05C4B" w:rsidRDefault="00C05C4B" w:rsidP="00C05C4B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33BFA8A7" wp14:editId="408CC377">
            <wp:extent cx="5943600" cy="2561590"/>
            <wp:effectExtent l="0" t="0" r="0" b="0"/>
            <wp:docPr id="131553595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35959" name="Picture 1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24E4E" w14:textId="6BE18CE1" w:rsidR="00C05C4B" w:rsidRDefault="00C05C4B" w:rsidP="00C05C4B">
      <w:pPr>
        <w:rPr>
          <w:rFonts w:ascii="Arial" w:hAnsi="Arial" w:cs="Arial"/>
        </w:rPr>
      </w:pPr>
      <w:r w:rsidRPr="00B22ED2">
        <w:rPr>
          <w:rFonts w:ascii="Arial" w:hAnsi="Arial" w:cs="Arial"/>
        </w:rPr>
        <w:t xml:space="preserve">DT induced macrophage depletion in Clec4F- and CD11b-DTR mice.  A single dose of DT (200ng, </w:t>
      </w:r>
      <w:proofErr w:type="spellStart"/>
      <w:r w:rsidRPr="00B22ED2">
        <w:rPr>
          <w:rFonts w:ascii="Arial" w:hAnsi="Arial" w:cs="Arial"/>
        </w:rPr>
        <w:t>i.p.</w:t>
      </w:r>
      <w:proofErr w:type="spellEnd"/>
      <w:r w:rsidRPr="00B22ED2">
        <w:rPr>
          <w:rFonts w:ascii="Arial" w:hAnsi="Arial" w:cs="Arial"/>
        </w:rPr>
        <w:t>) was administered.  Liver non-parenchymal cells (NPCs) or peritoneal cells from the same mouse were collected.  One million</w:t>
      </w:r>
      <w:r w:rsidR="004C2EF5">
        <w:rPr>
          <w:rFonts w:ascii="Arial" w:hAnsi="Arial" w:cs="Arial"/>
        </w:rPr>
        <w:t xml:space="preserve"> </w:t>
      </w:r>
      <w:r w:rsidRPr="00B22ED2">
        <w:rPr>
          <w:rFonts w:ascii="Arial" w:hAnsi="Arial" w:cs="Arial"/>
        </w:rPr>
        <w:t>cells were stained with fluorochrome-labeled Abs and analyzed by FACS. Representative dot plots were shown.</w:t>
      </w:r>
    </w:p>
    <w:p w14:paraId="112F3DB1" w14:textId="77777777" w:rsidR="00C05C4B" w:rsidRDefault="00C05C4B" w:rsidP="00C05C4B">
      <w:pPr>
        <w:rPr>
          <w:rFonts w:ascii="Arial" w:hAnsi="Arial" w:cs="Arial"/>
        </w:rPr>
      </w:pPr>
    </w:p>
    <w:p w14:paraId="2DD7A8C2" w14:textId="77777777" w:rsidR="00C05C4B" w:rsidRDefault="00C05C4B" w:rsidP="00C05C4B">
      <w:pPr>
        <w:rPr>
          <w:rFonts w:ascii="Arial" w:hAnsi="Arial" w:cs="Arial"/>
        </w:rPr>
      </w:pPr>
    </w:p>
    <w:p w14:paraId="3C1902BE" w14:textId="77777777" w:rsidR="00C05C4B" w:rsidRDefault="00C05C4B" w:rsidP="00C05C4B">
      <w:pPr>
        <w:rPr>
          <w:rFonts w:ascii="Arial" w:hAnsi="Arial" w:cs="Arial"/>
        </w:rPr>
      </w:pPr>
    </w:p>
    <w:p w14:paraId="3D0C67E4" w14:textId="77777777" w:rsidR="00C05C4B" w:rsidRDefault="00C05C4B" w:rsidP="00C05C4B">
      <w:pPr>
        <w:rPr>
          <w:rFonts w:ascii="Arial" w:hAnsi="Arial" w:cs="Arial"/>
        </w:rPr>
      </w:pPr>
    </w:p>
    <w:p w14:paraId="66B4781E" w14:textId="77777777" w:rsidR="00C05C4B" w:rsidRDefault="00C05C4B" w:rsidP="00C05C4B">
      <w:pPr>
        <w:rPr>
          <w:rFonts w:ascii="Arial" w:hAnsi="Arial" w:cs="Arial"/>
        </w:rPr>
      </w:pPr>
    </w:p>
    <w:p w14:paraId="6E76B5CF" w14:textId="77777777" w:rsidR="00C05C4B" w:rsidRDefault="00C05C4B" w:rsidP="00C05C4B">
      <w:pPr>
        <w:rPr>
          <w:rFonts w:ascii="Arial" w:hAnsi="Arial" w:cs="Arial"/>
        </w:rPr>
      </w:pPr>
    </w:p>
    <w:p w14:paraId="6A968738" w14:textId="77777777" w:rsidR="00C05C4B" w:rsidRDefault="00C05C4B" w:rsidP="00C05C4B">
      <w:pPr>
        <w:rPr>
          <w:rFonts w:ascii="Arial" w:hAnsi="Arial" w:cs="Arial"/>
        </w:rPr>
      </w:pPr>
    </w:p>
    <w:p w14:paraId="24B7B7CA" w14:textId="77777777" w:rsidR="00C05C4B" w:rsidRDefault="00C05C4B" w:rsidP="00C05C4B">
      <w:pPr>
        <w:rPr>
          <w:rFonts w:ascii="Arial" w:hAnsi="Arial" w:cs="Arial"/>
        </w:rPr>
      </w:pPr>
    </w:p>
    <w:p w14:paraId="5E128121" w14:textId="77777777" w:rsidR="00C05C4B" w:rsidRDefault="00C05C4B" w:rsidP="00C05C4B">
      <w:pPr>
        <w:rPr>
          <w:rFonts w:ascii="Arial" w:hAnsi="Arial" w:cs="Arial"/>
        </w:rPr>
      </w:pPr>
    </w:p>
    <w:p w14:paraId="5CC85950" w14:textId="77777777" w:rsidR="00C05C4B" w:rsidRDefault="00C05C4B" w:rsidP="00C05C4B">
      <w:pPr>
        <w:rPr>
          <w:rFonts w:ascii="Arial" w:hAnsi="Arial" w:cs="Arial"/>
        </w:rPr>
      </w:pPr>
    </w:p>
    <w:p w14:paraId="4CA8B257" w14:textId="77777777" w:rsidR="00C05C4B" w:rsidRDefault="00C05C4B" w:rsidP="00C05C4B">
      <w:pPr>
        <w:rPr>
          <w:rFonts w:ascii="Arial" w:hAnsi="Arial" w:cs="Arial"/>
        </w:rPr>
      </w:pPr>
    </w:p>
    <w:p w14:paraId="55AD793B" w14:textId="77777777" w:rsidR="00C05C4B" w:rsidRDefault="00C05C4B" w:rsidP="00C05C4B">
      <w:pPr>
        <w:rPr>
          <w:rFonts w:ascii="Arial" w:hAnsi="Arial" w:cs="Arial"/>
        </w:rPr>
      </w:pPr>
    </w:p>
    <w:p w14:paraId="4A7C8972" w14:textId="77777777" w:rsidR="00C05C4B" w:rsidRDefault="00C05C4B" w:rsidP="00C05C4B">
      <w:pPr>
        <w:rPr>
          <w:rFonts w:ascii="Arial" w:hAnsi="Arial" w:cs="Arial"/>
        </w:rPr>
      </w:pPr>
    </w:p>
    <w:p w14:paraId="086E8988" w14:textId="70E16B10" w:rsidR="00C05C4B" w:rsidRPr="00B43074" w:rsidRDefault="00C05C4B" w:rsidP="00C05C4B">
      <w:pPr>
        <w:rPr>
          <w:rFonts w:ascii="Arial" w:hAnsi="Arial" w:cs="Arial"/>
          <w:b/>
          <w:bCs/>
        </w:rPr>
      </w:pPr>
      <w:r w:rsidRPr="00B43074">
        <w:rPr>
          <w:rFonts w:ascii="Arial" w:hAnsi="Arial" w:cs="Arial"/>
          <w:b/>
          <w:bCs/>
        </w:rPr>
        <w:lastRenderedPageBreak/>
        <w:t>Sup. Fig.2</w:t>
      </w:r>
    </w:p>
    <w:p w14:paraId="53C696C2" w14:textId="760AC99B" w:rsidR="004C2EF5" w:rsidRDefault="004C2EF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E52FDB" wp14:editId="253969C0">
            <wp:extent cx="5852160" cy="4134531"/>
            <wp:effectExtent l="0" t="0" r="0" b="0"/>
            <wp:docPr id="1896709085" name="Picture 1" descr="A collage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09085" name="Picture 1" descr="A collage of images of different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3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A14D5" w14:textId="77777777" w:rsidR="004C2EF5" w:rsidRDefault="004C2EF5">
      <w:pPr>
        <w:rPr>
          <w:rFonts w:ascii="Arial" w:hAnsi="Arial" w:cs="Arial"/>
        </w:rPr>
      </w:pPr>
    </w:p>
    <w:p w14:paraId="61139331" w14:textId="03A45956" w:rsidR="00DF1FDF" w:rsidRDefault="004C2EF5">
      <w:pPr>
        <w:rPr>
          <w:rFonts w:ascii="Arial" w:hAnsi="Arial" w:cs="Arial"/>
        </w:rPr>
      </w:pPr>
      <w:r w:rsidRPr="004C2EF5">
        <w:rPr>
          <w:rFonts w:ascii="Arial" w:hAnsi="Arial" w:cs="Arial"/>
        </w:rPr>
        <w:t xml:space="preserve">FACS analysis of liver myeloid cells in sham livers, non-ischemia lobes of IR livers and livers treated with LPS (10ug,i.p.)  Liver non-parenchymal cells were isolated from the livers 24h post IR or treatment. One million cells were stained with fluorochrome-labeled Abs and analyzed by FACS. Representative dot plots were shown. </w:t>
      </w:r>
    </w:p>
    <w:p w14:paraId="6CF328AE" w14:textId="77777777" w:rsidR="00044183" w:rsidRDefault="00044183">
      <w:pPr>
        <w:rPr>
          <w:rFonts w:ascii="Arial" w:hAnsi="Arial" w:cs="Arial"/>
        </w:rPr>
      </w:pPr>
    </w:p>
    <w:p w14:paraId="293A69CC" w14:textId="77777777" w:rsidR="00044183" w:rsidRDefault="00044183">
      <w:pPr>
        <w:rPr>
          <w:rFonts w:ascii="Arial" w:hAnsi="Arial" w:cs="Arial"/>
        </w:rPr>
      </w:pPr>
    </w:p>
    <w:p w14:paraId="3C862223" w14:textId="77777777" w:rsidR="00044183" w:rsidRDefault="00044183">
      <w:pPr>
        <w:rPr>
          <w:rFonts w:ascii="Arial" w:hAnsi="Arial" w:cs="Arial"/>
        </w:rPr>
      </w:pPr>
    </w:p>
    <w:p w14:paraId="0AACA364" w14:textId="77777777" w:rsidR="00044183" w:rsidRDefault="00044183">
      <w:pPr>
        <w:rPr>
          <w:rFonts w:ascii="Arial" w:hAnsi="Arial" w:cs="Arial"/>
        </w:rPr>
      </w:pPr>
    </w:p>
    <w:p w14:paraId="03A423AD" w14:textId="77777777" w:rsidR="00044183" w:rsidRDefault="00044183">
      <w:pPr>
        <w:rPr>
          <w:rFonts w:ascii="Arial" w:hAnsi="Arial" w:cs="Arial"/>
        </w:rPr>
      </w:pPr>
    </w:p>
    <w:p w14:paraId="5B3485C6" w14:textId="77777777" w:rsidR="00044183" w:rsidRDefault="00044183">
      <w:pPr>
        <w:rPr>
          <w:rFonts w:ascii="Arial" w:hAnsi="Arial" w:cs="Arial"/>
        </w:rPr>
      </w:pPr>
    </w:p>
    <w:p w14:paraId="6A6E4B34" w14:textId="77777777" w:rsidR="00044183" w:rsidRDefault="00044183">
      <w:pPr>
        <w:rPr>
          <w:rFonts w:ascii="Arial" w:hAnsi="Arial" w:cs="Arial"/>
        </w:rPr>
      </w:pPr>
    </w:p>
    <w:p w14:paraId="12B5C51E" w14:textId="77777777" w:rsidR="009A7010" w:rsidRDefault="009A7010" w:rsidP="00044183">
      <w:pPr>
        <w:rPr>
          <w:rFonts w:ascii="Arial" w:hAnsi="Arial" w:cs="Arial"/>
          <w:b/>
          <w:bCs/>
        </w:rPr>
      </w:pPr>
    </w:p>
    <w:p w14:paraId="7ACDA8EF" w14:textId="46E678D1" w:rsidR="00044183" w:rsidRDefault="00044183" w:rsidP="00044183">
      <w:pPr>
        <w:rPr>
          <w:rFonts w:ascii="Arial" w:hAnsi="Arial" w:cs="Arial"/>
          <w:b/>
          <w:bCs/>
        </w:rPr>
      </w:pPr>
      <w:r w:rsidRPr="00044183">
        <w:rPr>
          <w:rFonts w:ascii="Arial" w:hAnsi="Arial" w:cs="Arial"/>
          <w:b/>
          <w:bCs/>
        </w:rPr>
        <w:t>Sup. Fig.3</w:t>
      </w:r>
    </w:p>
    <w:p w14:paraId="3AEEC90A" w14:textId="103B20BA" w:rsidR="009A7010" w:rsidRDefault="009A7010" w:rsidP="001131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317691" wp14:editId="47634C39">
            <wp:extent cx="5943600" cy="3538342"/>
            <wp:effectExtent l="0" t="0" r="0" b="5080"/>
            <wp:docPr id="1329530577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30577" name="Picture 2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CBBAE" w14:textId="15CED5DA" w:rsidR="001131AF" w:rsidRDefault="001131AF" w:rsidP="001131AF">
      <w:pPr>
        <w:rPr>
          <w:rFonts w:ascii="Arial" w:hAnsi="Arial" w:cs="Arial"/>
        </w:rPr>
      </w:pPr>
      <w:r w:rsidRPr="004C2EF5">
        <w:rPr>
          <w:rFonts w:ascii="Arial" w:hAnsi="Arial" w:cs="Arial"/>
        </w:rPr>
        <w:t>FACS analysis of liver myeloid cells in sham livers</w:t>
      </w:r>
      <w:r>
        <w:rPr>
          <w:rFonts w:ascii="Arial" w:hAnsi="Arial" w:cs="Arial"/>
        </w:rPr>
        <w:t xml:space="preserve"> and </w:t>
      </w:r>
      <w:r w:rsidRPr="004C2EF5">
        <w:rPr>
          <w:rFonts w:ascii="Arial" w:hAnsi="Arial" w:cs="Arial"/>
        </w:rPr>
        <w:t xml:space="preserve">IR livers </w:t>
      </w:r>
      <w:r w:rsidR="000817F8">
        <w:rPr>
          <w:rFonts w:ascii="Arial" w:hAnsi="Arial" w:cs="Arial"/>
        </w:rPr>
        <w:t xml:space="preserve">subjected to 60m ischemia 0 or 1h reperfusion, or 30m ischemia and 1h reperfusion. </w:t>
      </w:r>
      <w:r w:rsidRPr="004C2EF5">
        <w:rPr>
          <w:rFonts w:ascii="Arial" w:hAnsi="Arial" w:cs="Arial"/>
        </w:rPr>
        <w:t xml:space="preserve">Liver non-parenchymal cells were isolated from the livers. One million cells were stained with fluorochrome-labeled Abs and analyzed by FACS. Representative dot plots were shown. </w:t>
      </w:r>
    </w:p>
    <w:p w14:paraId="5D5F997C" w14:textId="77777777" w:rsidR="00B469BF" w:rsidRPr="00044183" w:rsidRDefault="00B469BF" w:rsidP="00044183">
      <w:pPr>
        <w:rPr>
          <w:rFonts w:ascii="Arial" w:hAnsi="Arial" w:cs="Arial"/>
        </w:rPr>
      </w:pPr>
    </w:p>
    <w:p w14:paraId="7B282758" w14:textId="63AA80CB" w:rsidR="00044183" w:rsidRDefault="00044183">
      <w:pPr>
        <w:rPr>
          <w:rFonts w:ascii="Arial" w:hAnsi="Arial" w:cs="Arial"/>
        </w:rPr>
      </w:pPr>
    </w:p>
    <w:p w14:paraId="244C70D3" w14:textId="77777777" w:rsidR="00663399" w:rsidRDefault="00663399">
      <w:pPr>
        <w:rPr>
          <w:rFonts w:ascii="Arial" w:hAnsi="Arial" w:cs="Arial"/>
        </w:rPr>
      </w:pPr>
    </w:p>
    <w:p w14:paraId="0F86C115" w14:textId="77777777" w:rsidR="00663399" w:rsidRDefault="00663399">
      <w:pPr>
        <w:rPr>
          <w:rFonts w:ascii="Arial" w:hAnsi="Arial" w:cs="Arial"/>
        </w:rPr>
      </w:pPr>
    </w:p>
    <w:p w14:paraId="77C04B0E" w14:textId="77777777" w:rsidR="00663399" w:rsidRDefault="00663399">
      <w:pPr>
        <w:rPr>
          <w:rFonts w:ascii="Arial" w:hAnsi="Arial" w:cs="Arial"/>
        </w:rPr>
      </w:pPr>
    </w:p>
    <w:p w14:paraId="1BE0EBE2" w14:textId="77777777" w:rsidR="00663399" w:rsidRDefault="00663399">
      <w:pPr>
        <w:rPr>
          <w:rFonts w:ascii="Arial" w:hAnsi="Arial" w:cs="Arial"/>
        </w:rPr>
      </w:pPr>
    </w:p>
    <w:p w14:paraId="2A85D11F" w14:textId="77777777" w:rsidR="00663399" w:rsidRDefault="00663399">
      <w:pPr>
        <w:rPr>
          <w:rFonts w:ascii="Arial" w:hAnsi="Arial" w:cs="Arial"/>
        </w:rPr>
      </w:pPr>
    </w:p>
    <w:p w14:paraId="231A7BDB" w14:textId="77777777" w:rsidR="00663399" w:rsidRDefault="00663399">
      <w:pPr>
        <w:rPr>
          <w:rFonts w:ascii="Arial" w:hAnsi="Arial" w:cs="Arial"/>
        </w:rPr>
      </w:pPr>
    </w:p>
    <w:p w14:paraId="22AEF83D" w14:textId="77777777" w:rsidR="00663399" w:rsidRDefault="00663399">
      <w:pPr>
        <w:rPr>
          <w:rFonts w:ascii="Arial" w:hAnsi="Arial" w:cs="Arial"/>
        </w:rPr>
      </w:pPr>
    </w:p>
    <w:p w14:paraId="239ECD8C" w14:textId="77777777" w:rsidR="00663399" w:rsidRDefault="00663399">
      <w:pPr>
        <w:rPr>
          <w:rFonts w:ascii="Arial" w:hAnsi="Arial" w:cs="Arial"/>
        </w:rPr>
      </w:pPr>
    </w:p>
    <w:p w14:paraId="379A13DA" w14:textId="77777777" w:rsidR="00663399" w:rsidRPr="00663399" w:rsidRDefault="00663399" w:rsidP="00663399">
      <w:pPr>
        <w:rPr>
          <w:rFonts w:ascii="Arial" w:hAnsi="Arial" w:cs="Arial"/>
        </w:rPr>
      </w:pPr>
      <w:r w:rsidRPr="00663399">
        <w:rPr>
          <w:rFonts w:ascii="Arial" w:hAnsi="Arial" w:cs="Arial"/>
          <w:b/>
          <w:bCs/>
        </w:rPr>
        <w:t>Sup Fig.4</w:t>
      </w:r>
    </w:p>
    <w:p w14:paraId="22CF4AC3" w14:textId="7F39E9EF" w:rsidR="00663399" w:rsidRDefault="0066339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B0AD0F" wp14:editId="12631C1B">
            <wp:extent cx="5023485" cy="4078605"/>
            <wp:effectExtent l="0" t="0" r="5715" b="0"/>
            <wp:docPr id="19365720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FF39E" w14:textId="77777777" w:rsidR="00663399" w:rsidRDefault="00663399">
      <w:pPr>
        <w:rPr>
          <w:rFonts w:ascii="Arial" w:hAnsi="Arial" w:cs="Arial"/>
        </w:rPr>
      </w:pPr>
    </w:p>
    <w:p w14:paraId="4A44F22B" w14:textId="0BB2C04E" w:rsidR="00663399" w:rsidRDefault="003C7A9E">
      <w:pPr>
        <w:rPr>
          <w:rFonts w:ascii="Arial" w:hAnsi="Arial" w:cs="Arial"/>
        </w:rPr>
      </w:pPr>
      <w:r w:rsidRPr="003C7A9E">
        <w:rPr>
          <w:rFonts w:ascii="Arial" w:hAnsi="Arial" w:cs="Arial"/>
        </w:rPr>
        <w:t>F</w:t>
      </w:r>
      <w:r>
        <w:rPr>
          <w:rFonts w:ascii="Arial" w:hAnsi="Arial" w:cs="Arial"/>
        </w:rPr>
        <w:t>ACS</w:t>
      </w:r>
      <w:r w:rsidRPr="003C7A9E">
        <w:rPr>
          <w:rFonts w:ascii="Arial" w:hAnsi="Arial" w:cs="Arial"/>
        </w:rPr>
        <w:t xml:space="preserve"> analysis of liver NPCs from control DT(-), KC-depleted DT(+) and both KC and Gr-1 depleted mice.</w:t>
      </w:r>
    </w:p>
    <w:p w14:paraId="5963E5F5" w14:textId="77777777" w:rsidR="00C82A3A" w:rsidRDefault="00C82A3A">
      <w:pPr>
        <w:rPr>
          <w:rFonts w:ascii="Arial" w:hAnsi="Arial" w:cs="Arial"/>
        </w:rPr>
      </w:pPr>
    </w:p>
    <w:p w14:paraId="23BA99E0" w14:textId="77777777" w:rsidR="00C82A3A" w:rsidRDefault="00C82A3A">
      <w:pPr>
        <w:rPr>
          <w:rFonts w:ascii="Arial" w:hAnsi="Arial" w:cs="Arial"/>
        </w:rPr>
      </w:pPr>
    </w:p>
    <w:p w14:paraId="50717308" w14:textId="77777777" w:rsidR="00C82A3A" w:rsidRDefault="00C82A3A">
      <w:pPr>
        <w:rPr>
          <w:rFonts w:ascii="Arial" w:hAnsi="Arial" w:cs="Arial"/>
        </w:rPr>
      </w:pPr>
    </w:p>
    <w:p w14:paraId="3CC3FB09" w14:textId="77777777" w:rsidR="00C82A3A" w:rsidRDefault="00C82A3A">
      <w:pPr>
        <w:rPr>
          <w:rFonts w:ascii="Arial" w:hAnsi="Arial" w:cs="Arial"/>
        </w:rPr>
      </w:pPr>
    </w:p>
    <w:p w14:paraId="32DE61AB" w14:textId="77777777" w:rsidR="00C82A3A" w:rsidRDefault="00C82A3A">
      <w:pPr>
        <w:rPr>
          <w:rFonts w:ascii="Arial" w:hAnsi="Arial" w:cs="Arial"/>
        </w:rPr>
      </w:pPr>
    </w:p>
    <w:p w14:paraId="29E03DFB" w14:textId="77777777" w:rsidR="00C82A3A" w:rsidRDefault="00C82A3A">
      <w:pPr>
        <w:rPr>
          <w:rFonts w:ascii="Arial" w:hAnsi="Arial" w:cs="Arial"/>
        </w:rPr>
      </w:pPr>
    </w:p>
    <w:p w14:paraId="6B7EF3D7" w14:textId="77777777" w:rsidR="00C82A3A" w:rsidRDefault="00C82A3A">
      <w:pPr>
        <w:rPr>
          <w:rFonts w:ascii="Arial" w:hAnsi="Arial" w:cs="Arial"/>
        </w:rPr>
      </w:pPr>
    </w:p>
    <w:p w14:paraId="1BF2C201" w14:textId="77777777" w:rsidR="00C82A3A" w:rsidRDefault="00C82A3A">
      <w:pPr>
        <w:rPr>
          <w:rFonts w:ascii="Arial" w:hAnsi="Arial" w:cs="Arial"/>
        </w:rPr>
      </w:pPr>
    </w:p>
    <w:p w14:paraId="4468AB0C" w14:textId="77777777" w:rsidR="00C82A3A" w:rsidRDefault="00C82A3A">
      <w:pPr>
        <w:rPr>
          <w:rFonts w:ascii="Arial" w:hAnsi="Arial" w:cs="Arial"/>
        </w:rPr>
      </w:pPr>
    </w:p>
    <w:p w14:paraId="13415736" w14:textId="77777777" w:rsidR="00C82A3A" w:rsidRDefault="00C82A3A" w:rsidP="00C82A3A">
      <w:pPr>
        <w:rPr>
          <w:rFonts w:ascii="Arial" w:hAnsi="Arial" w:cs="Arial"/>
          <w:b/>
          <w:bCs/>
        </w:rPr>
      </w:pPr>
      <w:r w:rsidRPr="00C82A3A">
        <w:rPr>
          <w:rFonts w:ascii="Arial" w:hAnsi="Arial" w:cs="Arial"/>
          <w:b/>
          <w:bCs/>
        </w:rPr>
        <w:t>Sup. Fig.5</w:t>
      </w:r>
    </w:p>
    <w:p w14:paraId="681E3F19" w14:textId="21FAE8EC" w:rsidR="00C82A3A" w:rsidRPr="00C82A3A" w:rsidRDefault="00C82A3A" w:rsidP="00C82A3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826D76" wp14:editId="6D12D231">
            <wp:extent cx="5943600" cy="3953203"/>
            <wp:effectExtent l="0" t="0" r="0" b="0"/>
            <wp:docPr id="2094290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28386" w14:textId="699E7345" w:rsidR="00C82A3A" w:rsidRDefault="00026D57">
      <w:pPr>
        <w:rPr>
          <w:rFonts w:ascii="Arial" w:hAnsi="Arial" w:cs="Arial"/>
        </w:rPr>
      </w:pPr>
      <w:r w:rsidRPr="00026D57">
        <w:rPr>
          <w:rFonts w:ascii="Arial" w:hAnsi="Arial" w:cs="Arial"/>
        </w:rPr>
        <w:t xml:space="preserve">Inflammatory gene induction in livers and peritoneal cells by LPS.  Groups of Clec4F-DTR mice were first treated with either PBS or DT, followed by 24h later LPS </w:t>
      </w:r>
      <w:proofErr w:type="spellStart"/>
      <w:proofErr w:type="gramStart"/>
      <w:r w:rsidRPr="00026D57">
        <w:rPr>
          <w:rFonts w:ascii="Arial" w:hAnsi="Arial" w:cs="Arial"/>
        </w:rPr>
        <w:t>i.p.</w:t>
      </w:r>
      <w:proofErr w:type="spellEnd"/>
      <w:r w:rsidRPr="00026D57">
        <w:rPr>
          <w:rFonts w:ascii="Arial" w:hAnsi="Arial" w:cs="Arial"/>
        </w:rPr>
        <w:t>.</w:t>
      </w:r>
      <w:proofErr w:type="gramEnd"/>
      <w:r w:rsidRPr="00026D57">
        <w:rPr>
          <w:rFonts w:ascii="Arial" w:hAnsi="Arial" w:cs="Arial"/>
        </w:rPr>
        <w:t xml:space="preserve"> Livers and peritoneal cells were collected from the same mice.  Gene expressions were determined by </w:t>
      </w:r>
      <w:proofErr w:type="spellStart"/>
      <w:r w:rsidRPr="00026D57">
        <w:rPr>
          <w:rFonts w:ascii="Arial" w:hAnsi="Arial" w:cs="Arial"/>
        </w:rPr>
        <w:t>qRT</w:t>
      </w:r>
      <w:proofErr w:type="spellEnd"/>
      <w:r w:rsidRPr="00026D57">
        <w:rPr>
          <w:rFonts w:ascii="Arial" w:hAnsi="Arial" w:cs="Arial"/>
        </w:rPr>
        <w:t>-PCR.  Average ratios of target gene/HPRT were plotted.  N=3/group.  **p&lt;0.05.</w:t>
      </w:r>
    </w:p>
    <w:p w14:paraId="494F256A" w14:textId="77777777" w:rsidR="00026D57" w:rsidRDefault="00026D57">
      <w:pPr>
        <w:rPr>
          <w:rFonts w:ascii="Arial" w:hAnsi="Arial" w:cs="Arial"/>
        </w:rPr>
      </w:pPr>
    </w:p>
    <w:p w14:paraId="53ECD538" w14:textId="77777777" w:rsidR="00026D57" w:rsidRDefault="00026D57">
      <w:pPr>
        <w:rPr>
          <w:rFonts w:ascii="Arial" w:hAnsi="Arial" w:cs="Arial"/>
        </w:rPr>
      </w:pPr>
    </w:p>
    <w:p w14:paraId="4164A90F" w14:textId="77777777" w:rsidR="00026D57" w:rsidRDefault="00026D57">
      <w:pPr>
        <w:rPr>
          <w:rFonts w:ascii="Arial" w:hAnsi="Arial" w:cs="Arial"/>
        </w:rPr>
      </w:pPr>
    </w:p>
    <w:p w14:paraId="6B7F80EB" w14:textId="77777777" w:rsidR="00026D57" w:rsidRDefault="00026D57">
      <w:pPr>
        <w:rPr>
          <w:rFonts w:ascii="Arial" w:hAnsi="Arial" w:cs="Arial"/>
        </w:rPr>
      </w:pPr>
    </w:p>
    <w:p w14:paraId="28110654" w14:textId="77777777" w:rsidR="00026D57" w:rsidRDefault="00026D57">
      <w:pPr>
        <w:rPr>
          <w:rFonts w:ascii="Arial" w:hAnsi="Arial" w:cs="Arial"/>
        </w:rPr>
      </w:pPr>
    </w:p>
    <w:p w14:paraId="39E684B0" w14:textId="77777777" w:rsidR="00026D57" w:rsidRDefault="00026D57">
      <w:pPr>
        <w:rPr>
          <w:rFonts w:ascii="Arial" w:hAnsi="Arial" w:cs="Arial"/>
        </w:rPr>
      </w:pPr>
    </w:p>
    <w:p w14:paraId="6DD04BC3" w14:textId="77777777" w:rsidR="00026D57" w:rsidRDefault="00026D57">
      <w:pPr>
        <w:rPr>
          <w:rFonts w:ascii="Arial" w:hAnsi="Arial" w:cs="Arial"/>
        </w:rPr>
      </w:pPr>
    </w:p>
    <w:p w14:paraId="310D439B" w14:textId="77777777" w:rsidR="00026D57" w:rsidRDefault="00026D57">
      <w:pPr>
        <w:rPr>
          <w:rFonts w:ascii="Arial" w:hAnsi="Arial" w:cs="Arial"/>
        </w:rPr>
      </w:pPr>
    </w:p>
    <w:p w14:paraId="1BCFF072" w14:textId="77777777" w:rsidR="00026D57" w:rsidRDefault="00026D57">
      <w:pPr>
        <w:rPr>
          <w:rFonts w:ascii="Arial" w:hAnsi="Arial" w:cs="Arial"/>
        </w:rPr>
      </w:pPr>
    </w:p>
    <w:p w14:paraId="2FB7B2BC" w14:textId="026E799F" w:rsidR="0020185B" w:rsidRDefault="0020185B">
      <w:pPr>
        <w:rPr>
          <w:rFonts w:ascii="Arial" w:hAnsi="Arial" w:cs="Arial"/>
          <w:noProof/>
        </w:rPr>
      </w:pPr>
      <w:r w:rsidRPr="0020185B">
        <w:rPr>
          <w:rFonts w:ascii="Arial" w:hAnsi="Arial" w:cs="Arial"/>
          <w:b/>
          <w:bCs/>
          <w:noProof/>
        </w:rPr>
        <w:t>Sup. Fig.6</w:t>
      </w:r>
    </w:p>
    <w:p w14:paraId="77533A00" w14:textId="139CCFB4" w:rsidR="00885F8C" w:rsidRDefault="00885F8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01D8DE86" wp14:editId="53515D19">
            <wp:extent cx="5943600" cy="2832966"/>
            <wp:effectExtent l="0" t="0" r="0" b="0"/>
            <wp:docPr id="1121690341" name="Picture 5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90341" name="Picture 5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DB077" w14:textId="3A38BB29" w:rsidR="00885F8C" w:rsidRDefault="00E2042E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(</w:t>
      </w:r>
      <w:r w:rsidR="00885F8C" w:rsidRPr="00885F8C">
        <w:rPr>
          <w:rFonts w:ascii="Arial" w:hAnsi="Arial" w:cs="Arial"/>
          <w:noProof/>
        </w:rPr>
        <w:t>A</w:t>
      </w:r>
      <w:r>
        <w:rPr>
          <w:rFonts w:ascii="Arial" w:hAnsi="Arial" w:cs="Arial"/>
          <w:noProof/>
        </w:rPr>
        <w:t>)</w:t>
      </w:r>
      <w:r w:rsidR="00885F8C" w:rsidRPr="00885F8C">
        <w:rPr>
          <w:rFonts w:ascii="Arial" w:hAnsi="Arial" w:cs="Arial"/>
          <w:noProof/>
        </w:rPr>
        <w:t xml:space="preserve"> FACS analysis of liver myeloid cells in control, KC-depleted livers of Clec4F-DTR mice after 24h, 48h, 4-day and 7-day post DT injection. Liver non-parenchymal cells were isolated and stained with fluorochrome-labeled Abs and analyzed by FACS. Representative dot plots were shown. </w:t>
      </w:r>
      <w:r>
        <w:rPr>
          <w:rFonts w:ascii="Arial" w:hAnsi="Arial" w:cs="Arial"/>
          <w:noProof/>
        </w:rPr>
        <w:t>(</w:t>
      </w:r>
      <w:r w:rsidR="00885F8C" w:rsidRPr="00885F8C">
        <w:rPr>
          <w:rFonts w:ascii="Arial" w:hAnsi="Arial" w:cs="Arial"/>
          <w:noProof/>
        </w:rPr>
        <w:t>B</w:t>
      </w:r>
      <w:r>
        <w:rPr>
          <w:rFonts w:ascii="Arial" w:hAnsi="Arial" w:cs="Arial"/>
          <w:noProof/>
        </w:rPr>
        <w:t>)</w:t>
      </w:r>
      <w:r w:rsidR="00885F8C" w:rsidRPr="00885F8C">
        <w:rPr>
          <w:rFonts w:ascii="Arial" w:hAnsi="Arial" w:cs="Arial"/>
          <w:noProof/>
        </w:rPr>
        <w:t xml:space="preserve"> Average sALT levels in different experiment groups (control, 24h, 48h and 4-day post DT injection) were plotted.</w:t>
      </w:r>
    </w:p>
    <w:p w14:paraId="761F735B" w14:textId="77777777" w:rsidR="00885F8C" w:rsidRDefault="00885F8C">
      <w:pPr>
        <w:rPr>
          <w:rFonts w:ascii="Arial" w:hAnsi="Arial" w:cs="Arial"/>
          <w:noProof/>
        </w:rPr>
      </w:pPr>
    </w:p>
    <w:p w14:paraId="4E882D71" w14:textId="58C9B480" w:rsidR="00026D57" w:rsidRDefault="00026D57">
      <w:pPr>
        <w:rPr>
          <w:rFonts w:ascii="Arial" w:hAnsi="Arial" w:cs="Arial"/>
        </w:rPr>
      </w:pPr>
    </w:p>
    <w:p w14:paraId="5EADEA5E" w14:textId="77777777" w:rsidR="00E2042E" w:rsidRDefault="00E2042E">
      <w:pPr>
        <w:rPr>
          <w:rFonts w:ascii="Arial" w:hAnsi="Arial" w:cs="Arial"/>
        </w:rPr>
      </w:pPr>
    </w:p>
    <w:p w14:paraId="4659C1DB" w14:textId="77777777" w:rsidR="00E2042E" w:rsidRDefault="00E2042E">
      <w:pPr>
        <w:rPr>
          <w:rFonts w:ascii="Arial" w:hAnsi="Arial" w:cs="Arial"/>
        </w:rPr>
      </w:pPr>
    </w:p>
    <w:p w14:paraId="435AE816" w14:textId="77777777" w:rsidR="00E2042E" w:rsidRDefault="00E2042E">
      <w:pPr>
        <w:rPr>
          <w:rFonts w:ascii="Arial" w:hAnsi="Arial" w:cs="Arial"/>
        </w:rPr>
      </w:pPr>
    </w:p>
    <w:p w14:paraId="6C615F5C" w14:textId="77777777" w:rsidR="00E2042E" w:rsidRDefault="00E2042E">
      <w:pPr>
        <w:rPr>
          <w:rFonts w:ascii="Arial" w:hAnsi="Arial" w:cs="Arial"/>
        </w:rPr>
      </w:pPr>
    </w:p>
    <w:p w14:paraId="48B43A3C" w14:textId="77777777" w:rsidR="00E2042E" w:rsidRDefault="00E2042E">
      <w:pPr>
        <w:rPr>
          <w:rFonts w:ascii="Arial" w:hAnsi="Arial" w:cs="Arial"/>
        </w:rPr>
      </w:pPr>
    </w:p>
    <w:p w14:paraId="1CC487B2" w14:textId="77777777" w:rsidR="00E2042E" w:rsidRDefault="00E2042E">
      <w:pPr>
        <w:rPr>
          <w:rFonts w:ascii="Arial" w:hAnsi="Arial" w:cs="Arial"/>
        </w:rPr>
      </w:pPr>
    </w:p>
    <w:p w14:paraId="3AE06FFD" w14:textId="77777777" w:rsidR="00E2042E" w:rsidRDefault="00E2042E">
      <w:pPr>
        <w:rPr>
          <w:rFonts w:ascii="Arial" w:hAnsi="Arial" w:cs="Arial"/>
        </w:rPr>
      </w:pPr>
    </w:p>
    <w:p w14:paraId="4088EE83" w14:textId="77777777" w:rsidR="00E2042E" w:rsidRDefault="00E2042E">
      <w:pPr>
        <w:rPr>
          <w:rFonts w:ascii="Arial" w:hAnsi="Arial" w:cs="Arial"/>
        </w:rPr>
      </w:pPr>
    </w:p>
    <w:p w14:paraId="1C67E604" w14:textId="77777777" w:rsidR="00E2042E" w:rsidRDefault="00E2042E">
      <w:pPr>
        <w:rPr>
          <w:rFonts w:ascii="Arial" w:hAnsi="Arial" w:cs="Arial"/>
        </w:rPr>
      </w:pPr>
    </w:p>
    <w:p w14:paraId="073850E9" w14:textId="77777777" w:rsidR="00E2042E" w:rsidRDefault="00E2042E">
      <w:pPr>
        <w:rPr>
          <w:rFonts w:ascii="Arial" w:hAnsi="Arial" w:cs="Arial"/>
        </w:rPr>
      </w:pPr>
    </w:p>
    <w:p w14:paraId="796F4012" w14:textId="77777777" w:rsidR="00E2042E" w:rsidRDefault="00E2042E">
      <w:pPr>
        <w:rPr>
          <w:rFonts w:ascii="Arial" w:hAnsi="Arial" w:cs="Arial"/>
        </w:rPr>
      </w:pPr>
    </w:p>
    <w:p w14:paraId="7D685CB2" w14:textId="77777777" w:rsidR="00E2042E" w:rsidRDefault="00E2042E" w:rsidP="00E2042E">
      <w:pPr>
        <w:rPr>
          <w:rFonts w:ascii="Arial" w:hAnsi="Arial" w:cs="Arial"/>
        </w:rPr>
      </w:pPr>
      <w:r w:rsidRPr="00E2042E">
        <w:rPr>
          <w:rFonts w:ascii="Arial" w:hAnsi="Arial" w:cs="Arial"/>
        </w:rPr>
        <w:t>Sup Fig.7</w:t>
      </w:r>
    </w:p>
    <w:p w14:paraId="45CB703D" w14:textId="77777777" w:rsidR="00815B75" w:rsidRDefault="00815B75" w:rsidP="00E2042E">
      <w:pPr>
        <w:rPr>
          <w:rFonts w:ascii="Arial" w:hAnsi="Arial" w:cs="Arial"/>
        </w:rPr>
      </w:pPr>
    </w:p>
    <w:p w14:paraId="424BDD24" w14:textId="31FFF294" w:rsidR="00815B75" w:rsidRPr="00E2042E" w:rsidRDefault="00815B75" w:rsidP="00E2042E">
      <w:pPr>
        <w:rPr>
          <w:rFonts w:ascii="Arial" w:hAnsi="Arial" w:cs="Arial"/>
        </w:rPr>
      </w:pPr>
      <w:r w:rsidRPr="00815B75">
        <w:rPr>
          <w:rFonts w:ascii="Arial" w:hAnsi="Arial" w:cs="Arial"/>
          <w:noProof/>
        </w:rPr>
        <w:drawing>
          <wp:inline distT="0" distB="0" distL="0" distR="0" wp14:anchorId="4309DEB9" wp14:editId="48323431">
            <wp:extent cx="5943600" cy="3702050"/>
            <wp:effectExtent l="0" t="0" r="0" b="0"/>
            <wp:docPr id="2" name="Picture 1" descr="A screenshot of a computer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66AB3E7-61BD-EE3E-3D17-B4F68BC6BC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 screen&#10;&#10;AI-generated content may be incorrect.">
                      <a:extLst>
                        <a:ext uri="{FF2B5EF4-FFF2-40B4-BE49-F238E27FC236}">
                          <a16:creationId xmlns:a16="http://schemas.microsoft.com/office/drawing/2014/main" id="{B66AB3E7-61BD-EE3E-3D17-B4F68BC6BC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7C45" w14:textId="2160EA40" w:rsidR="00E2042E" w:rsidRDefault="00815B75">
      <w:pPr>
        <w:rPr>
          <w:rFonts w:ascii="Arial" w:hAnsi="Arial" w:cs="Arial"/>
        </w:rPr>
      </w:pPr>
      <w:r w:rsidRPr="00815B75">
        <w:rPr>
          <w:rFonts w:ascii="Arial" w:hAnsi="Arial" w:cs="Arial"/>
        </w:rPr>
        <w:t xml:space="preserve">CCR2 deficiency inhibits monocyte infiltration in the acute phase of liver IRI, but not the severity of hepatocellular </w:t>
      </w:r>
      <w:r w:rsidR="005C7A3A" w:rsidRPr="00815B75">
        <w:rPr>
          <w:rFonts w:ascii="Arial" w:hAnsi="Arial" w:cs="Arial"/>
        </w:rPr>
        <w:t>damage</w:t>
      </w:r>
      <w:r w:rsidRPr="00815B75">
        <w:rPr>
          <w:rFonts w:ascii="Arial" w:hAnsi="Arial" w:cs="Arial"/>
        </w:rPr>
        <w:t xml:space="preserve">.  Groups of CCR2-GFP heterozygous (CCR2h) and homozygous (CCR2 KO) mice were tested in the 60m liver ischemia model. Liver IRI was evaluated at 6h post reperfusion. (A) Average </w:t>
      </w:r>
      <w:proofErr w:type="spellStart"/>
      <w:r w:rsidRPr="00815B75">
        <w:rPr>
          <w:rFonts w:ascii="Arial" w:hAnsi="Arial" w:cs="Arial"/>
        </w:rPr>
        <w:t>sALT</w:t>
      </w:r>
      <w:proofErr w:type="spellEnd"/>
      <w:r w:rsidRPr="00815B75">
        <w:rPr>
          <w:rFonts w:ascii="Arial" w:hAnsi="Arial" w:cs="Arial"/>
        </w:rPr>
        <w:t xml:space="preserve"> levels and Suzuki’s scores of the two exp. groups were plotted. (B) Representative liver histopathology (H/E staining, x50 and x200</w:t>
      </w:r>
      <w:proofErr w:type="gramStart"/>
      <w:r w:rsidRPr="00815B75">
        <w:rPr>
          <w:rFonts w:ascii="Arial" w:hAnsi="Arial" w:cs="Arial"/>
        </w:rPr>
        <w:t>) pictures</w:t>
      </w:r>
      <w:proofErr w:type="gramEnd"/>
      <w:r w:rsidRPr="00815B75">
        <w:rPr>
          <w:rFonts w:ascii="Arial" w:hAnsi="Arial" w:cs="Arial"/>
        </w:rPr>
        <w:t xml:space="preserve"> were shown. Liver tissue RNA was isolated and analyzed for inflammatory gene expression by </w:t>
      </w:r>
      <w:proofErr w:type="spellStart"/>
      <w:r w:rsidRPr="00815B75">
        <w:rPr>
          <w:rFonts w:ascii="Arial" w:hAnsi="Arial" w:cs="Arial"/>
        </w:rPr>
        <w:t>qRT</w:t>
      </w:r>
      <w:proofErr w:type="spellEnd"/>
      <w:r w:rsidRPr="00815B75">
        <w:rPr>
          <w:rFonts w:ascii="Arial" w:hAnsi="Arial" w:cs="Arial"/>
        </w:rPr>
        <w:t>-PCR.  (C) Average ratios of target gene/HPRT of each exp. groups were plotted. (D) FACS analysis of liver myeloid cell infiltration.  Representative plots were shown (n=3/group).</w:t>
      </w:r>
    </w:p>
    <w:p w14:paraId="14F1714A" w14:textId="77777777" w:rsidR="000530FE" w:rsidRDefault="000530FE">
      <w:pPr>
        <w:rPr>
          <w:rFonts w:ascii="Arial" w:hAnsi="Arial" w:cs="Arial"/>
        </w:rPr>
      </w:pPr>
    </w:p>
    <w:p w14:paraId="7AAE621E" w14:textId="77777777" w:rsidR="000530FE" w:rsidRDefault="000530FE">
      <w:pPr>
        <w:rPr>
          <w:rFonts w:ascii="Arial" w:hAnsi="Arial" w:cs="Arial"/>
        </w:rPr>
      </w:pPr>
    </w:p>
    <w:p w14:paraId="386B2D8A" w14:textId="77777777" w:rsidR="000530FE" w:rsidRDefault="000530FE">
      <w:pPr>
        <w:rPr>
          <w:rFonts w:ascii="Arial" w:hAnsi="Arial" w:cs="Arial"/>
        </w:rPr>
      </w:pPr>
    </w:p>
    <w:p w14:paraId="70C396E0" w14:textId="77777777" w:rsidR="000530FE" w:rsidRDefault="000530FE">
      <w:pPr>
        <w:rPr>
          <w:rFonts w:ascii="Arial" w:hAnsi="Arial" w:cs="Arial"/>
        </w:rPr>
      </w:pPr>
    </w:p>
    <w:p w14:paraId="3BD4812F" w14:textId="77777777" w:rsidR="000530FE" w:rsidRDefault="000530FE">
      <w:pPr>
        <w:rPr>
          <w:rFonts w:ascii="Arial" w:hAnsi="Arial" w:cs="Arial"/>
        </w:rPr>
      </w:pPr>
    </w:p>
    <w:p w14:paraId="7EFF3AB5" w14:textId="77777777" w:rsidR="000530FE" w:rsidRDefault="000530FE">
      <w:pPr>
        <w:rPr>
          <w:rFonts w:ascii="Arial" w:hAnsi="Arial" w:cs="Arial"/>
        </w:rPr>
      </w:pPr>
    </w:p>
    <w:p w14:paraId="1FAC7683" w14:textId="77777777" w:rsidR="000530FE" w:rsidRPr="000530FE" w:rsidRDefault="000530FE" w:rsidP="000530FE">
      <w:pPr>
        <w:rPr>
          <w:rFonts w:ascii="Arial" w:hAnsi="Arial" w:cs="Arial"/>
        </w:rPr>
      </w:pPr>
      <w:r w:rsidRPr="000530FE">
        <w:rPr>
          <w:rFonts w:ascii="Arial" w:hAnsi="Arial" w:cs="Arial"/>
        </w:rPr>
        <w:t>Sup Fig.8</w:t>
      </w:r>
    </w:p>
    <w:p w14:paraId="545C5ACB" w14:textId="0F511A95" w:rsidR="000530FE" w:rsidRDefault="00DC318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F19B39" wp14:editId="4E9E5588">
            <wp:extent cx="5852160" cy="3107639"/>
            <wp:effectExtent l="0" t="0" r="0" b="0"/>
            <wp:docPr id="20773857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10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952FF" w14:textId="00DB4109" w:rsidR="00DC318D" w:rsidRDefault="00C4409E" w:rsidP="00DC318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Intracellular cytokine staining of IL-1a and IL-1b in liver myeloid cells.  </w:t>
      </w:r>
      <w:r w:rsidR="00DC318D" w:rsidRPr="00885F8C">
        <w:rPr>
          <w:rFonts w:ascii="Arial" w:hAnsi="Arial" w:cs="Arial"/>
          <w:noProof/>
        </w:rPr>
        <w:t xml:space="preserve">Liver non-parenchymal cells were isolated </w:t>
      </w:r>
      <w:r w:rsidR="00C64DD1">
        <w:rPr>
          <w:rFonts w:ascii="Arial" w:hAnsi="Arial" w:cs="Arial"/>
          <w:noProof/>
        </w:rPr>
        <w:t>from sham or IR livers (60m</w:t>
      </w:r>
      <w:r w:rsidR="002E5B53">
        <w:rPr>
          <w:rFonts w:ascii="Arial" w:hAnsi="Arial" w:cs="Arial"/>
          <w:noProof/>
        </w:rPr>
        <w:t xml:space="preserve"> ischemia and</w:t>
      </w:r>
      <w:r w:rsidR="00C64DD1">
        <w:rPr>
          <w:rFonts w:ascii="Arial" w:hAnsi="Arial" w:cs="Arial"/>
          <w:noProof/>
        </w:rPr>
        <w:t xml:space="preserve"> 1h reperfusion</w:t>
      </w:r>
      <w:r w:rsidR="002E5B53">
        <w:rPr>
          <w:rFonts w:ascii="Arial" w:hAnsi="Arial" w:cs="Arial"/>
          <w:noProof/>
        </w:rPr>
        <w:t>)</w:t>
      </w:r>
      <w:r w:rsidR="00455914">
        <w:rPr>
          <w:rFonts w:ascii="Arial" w:hAnsi="Arial" w:cs="Arial"/>
          <w:noProof/>
        </w:rPr>
        <w:t xml:space="preserve">.  </w:t>
      </w:r>
      <w:r w:rsidR="00C64DD1">
        <w:rPr>
          <w:rFonts w:ascii="Arial" w:hAnsi="Arial" w:cs="Arial"/>
          <w:noProof/>
        </w:rPr>
        <w:t xml:space="preserve"> </w:t>
      </w:r>
      <w:r w:rsidR="00455914">
        <w:rPr>
          <w:rFonts w:ascii="Arial" w:hAnsi="Arial" w:cs="Arial"/>
          <w:noProof/>
        </w:rPr>
        <w:t>Cells were</w:t>
      </w:r>
      <w:r w:rsidR="00DC318D" w:rsidRPr="00885F8C">
        <w:rPr>
          <w:rFonts w:ascii="Arial" w:hAnsi="Arial" w:cs="Arial"/>
          <w:noProof/>
        </w:rPr>
        <w:t xml:space="preserve"> </w:t>
      </w:r>
      <w:r w:rsidR="00C93928">
        <w:rPr>
          <w:rFonts w:ascii="Arial" w:hAnsi="Arial" w:cs="Arial"/>
          <w:noProof/>
        </w:rPr>
        <w:t xml:space="preserve">first </w:t>
      </w:r>
      <w:r w:rsidR="00DC318D" w:rsidRPr="00885F8C">
        <w:rPr>
          <w:rFonts w:ascii="Arial" w:hAnsi="Arial" w:cs="Arial"/>
          <w:noProof/>
        </w:rPr>
        <w:t xml:space="preserve">stained with fluorochrome-labeled </w:t>
      </w:r>
      <w:r w:rsidR="00C93928">
        <w:rPr>
          <w:rFonts w:ascii="Arial" w:hAnsi="Arial" w:cs="Arial"/>
          <w:noProof/>
        </w:rPr>
        <w:t xml:space="preserve">cell surface </w:t>
      </w:r>
      <w:r w:rsidR="00DC318D" w:rsidRPr="00885F8C">
        <w:rPr>
          <w:rFonts w:ascii="Arial" w:hAnsi="Arial" w:cs="Arial"/>
          <w:noProof/>
        </w:rPr>
        <w:t>Abs</w:t>
      </w:r>
      <w:r w:rsidR="00C93928">
        <w:rPr>
          <w:rFonts w:ascii="Arial" w:hAnsi="Arial" w:cs="Arial"/>
          <w:noProof/>
        </w:rPr>
        <w:t xml:space="preserve">, followed by </w:t>
      </w:r>
      <w:r w:rsidR="002E5B53">
        <w:rPr>
          <w:rFonts w:ascii="Arial" w:hAnsi="Arial" w:cs="Arial"/>
          <w:noProof/>
        </w:rPr>
        <w:t xml:space="preserve">fixation and permeablization and staining with </w:t>
      </w:r>
      <w:r w:rsidR="002E5B53" w:rsidRPr="00885F8C">
        <w:rPr>
          <w:rFonts w:ascii="Arial" w:hAnsi="Arial" w:cs="Arial"/>
          <w:noProof/>
        </w:rPr>
        <w:t xml:space="preserve">fluorochrome-labeled </w:t>
      </w:r>
      <w:r w:rsidR="002E5B53">
        <w:rPr>
          <w:rFonts w:ascii="Arial" w:hAnsi="Arial" w:cs="Arial"/>
          <w:noProof/>
        </w:rPr>
        <w:t xml:space="preserve">anti-IL-1a/b Ab. </w:t>
      </w:r>
      <w:r w:rsidR="00DC318D" w:rsidRPr="00885F8C">
        <w:rPr>
          <w:rFonts w:ascii="Arial" w:hAnsi="Arial" w:cs="Arial"/>
          <w:noProof/>
        </w:rPr>
        <w:t xml:space="preserve"> Representative </w:t>
      </w:r>
      <w:r w:rsidR="002E5B53">
        <w:rPr>
          <w:rFonts w:ascii="Arial" w:hAnsi="Arial" w:cs="Arial"/>
          <w:noProof/>
        </w:rPr>
        <w:t xml:space="preserve">FACS </w:t>
      </w:r>
      <w:r w:rsidR="00DC318D" w:rsidRPr="00885F8C">
        <w:rPr>
          <w:rFonts w:ascii="Arial" w:hAnsi="Arial" w:cs="Arial"/>
          <w:noProof/>
        </w:rPr>
        <w:t xml:space="preserve">dot plots were shown. </w:t>
      </w:r>
    </w:p>
    <w:p w14:paraId="0A753ECC" w14:textId="77777777" w:rsidR="00BF6855" w:rsidRDefault="00BF6855" w:rsidP="00DC318D">
      <w:pPr>
        <w:rPr>
          <w:rFonts w:ascii="Arial" w:hAnsi="Arial" w:cs="Arial"/>
          <w:noProof/>
        </w:rPr>
      </w:pPr>
    </w:p>
    <w:p w14:paraId="6C7FD013" w14:textId="77777777" w:rsidR="00BF6855" w:rsidRDefault="00BF6855" w:rsidP="00DC318D">
      <w:pPr>
        <w:rPr>
          <w:rFonts w:ascii="Arial" w:hAnsi="Arial" w:cs="Arial"/>
          <w:noProof/>
        </w:rPr>
      </w:pPr>
    </w:p>
    <w:p w14:paraId="075A7DE7" w14:textId="77777777" w:rsidR="00BF6855" w:rsidRDefault="00BF6855" w:rsidP="00DC318D">
      <w:pPr>
        <w:rPr>
          <w:rFonts w:ascii="Arial" w:hAnsi="Arial" w:cs="Arial"/>
          <w:noProof/>
        </w:rPr>
      </w:pPr>
    </w:p>
    <w:p w14:paraId="5A67F230" w14:textId="77777777" w:rsidR="00BF6855" w:rsidRDefault="00BF6855" w:rsidP="00DC318D">
      <w:pPr>
        <w:rPr>
          <w:rFonts w:ascii="Arial" w:hAnsi="Arial" w:cs="Arial"/>
          <w:noProof/>
        </w:rPr>
      </w:pPr>
    </w:p>
    <w:p w14:paraId="339BA735" w14:textId="77777777" w:rsidR="00BF6855" w:rsidRDefault="00BF6855" w:rsidP="00DC318D">
      <w:pPr>
        <w:rPr>
          <w:rFonts w:ascii="Arial" w:hAnsi="Arial" w:cs="Arial"/>
          <w:noProof/>
        </w:rPr>
      </w:pPr>
    </w:p>
    <w:p w14:paraId="0C4D75EB" w14:textId="77777777" w:rsidR="00BF6855" w:rsidRDefault="00BF6855" w:rsidP="00DC318D">
      <w:pPr>
        <w:rPr>
          <w:rFonts w:ascii="Arial" w:hAnsi="Arial" w:cs="Arial"/>
          <w:noProof/>
        </w:rPr>
      </w:pPr>
    </w:p>
    <w:p w14:paraId="3A63C270" w14:textId="77777777" w:rsidR="00BF6855" w:rsidRDefault="00BF6855" w:rsidP="00DC318D">
      <w:pPr>
        <w:rPr>
          <w:rFonts w:ascii="Arial" w:hAnsi="Arial" w:cs="Arial"/>
          <w:noProof/>
        </w:rPr>
      </w:pPr>
    </w:p>
    <w:p w14:paraId="15F18A91" w14:textId="77777777" w:rsidR="00BF6855" w:rsidRDefault="00BF6855" w:rsidP="00DC318D">
      <w:pPr>
        <w:rPr>
          <w:rFonts w:ascii="Arial" w:hAnsi="Arial" w:cs="Arial"/>
          <w:noProof/>
        </w:rPr>
      </w:pPr>
    </w:p>
    <w:p w14:paraId="155C0642" w14:textId="77777777" w:rsidR="00BF6855" w:rsidRDefault="00BF6855" w:rsidP="00DC318D">
      <w:pPr>
        <w:rPr>
          <w:rFonts w:ascii="Arial" w:hAnsi="Arial" w:cs="Arial"/>
          <w:noProof/>
        </w:rPr>
      </w:pPr>
    </w:p>
    <w:p w14:paraId="7E2C30A2" w14:textId="77777777" w:rsidR="00BF6855" w:rsidRDefault="00BF6855" w:rsidP="00DC318D">
      <w:pPr>
        <w:rPr>
          <w:rFonts w:ascii="Arial" w:hAnsi="Arial" w:cs="Arial"/>
          <w:noProof/>
        </w:rPr>
      </w:pPr>
    </w:p>
    <w:p w14:paraId="01989694" w14:textId="77777777" w:rsidR="00BF6855" w:rsidRDefault="00BF6855" w:rsidP="00DC318D">
      <w:pPr>
        <w:rPr>
          <w:rFonts w:ascii="Arial" w:hAnsi="Arial" w:cs="Arial"/>
          <w:noProof/>
        </w:rPr>
      </w:pPr>
    </w:p>
    <w:p w14:paraId="72CB2F10" w14:textId="77777777" w:rsidR="00BF6855" w:rsidRDefault="00BF6855" w:rsidP="00DC318D">
      <w:pPr>
        <w:rPr>
          <w:rFonts w:ascii="Arial" w:hAnsi="Arial" w:cs="Arial"/>
          <w:noProof/>
        </w:rPr>
      </w:pPr>
    </w:p>
    <w:p w14:paraId="1B61654E" w14:textId="77777777" w:rsidR="00BF6855" w:rsidRPr="00BF6855" w:rsidRDefault="00BF6855" w:rsidP="00BF6855">
      <w:pPr>
        <w:rPr>
          <w:rFonts w:ascii="Arial" w:hAnsi="Arial" w:cs="Arial"/>
          <w:noProof/>
        </w:rPr>
      </w:pPr>
      <w:r w:rsidRPr="00BF6855">
        <w:rPr>
          <w:rFonts w:ascii="Arial" w:hAnsi="Arial" w:cs="Arial"/>
          <w:noProof/>
        </w:rPr>
        <w:t>Sup Fig.9</w:t>
      </w:r>
    </w:p>
    <w:p w14:paraId="6980A8C0" w14:textId="5B481FED" w:rsidR="00BF6855" w:rsidRDefault="00D264FB" w:rsidP="00DC318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42774564" wp14:editId="7756E2CF">
            <wp:extent cx="3066415" cy="2664460"/>
            <wp:effectExtent l="0" t="0" r="0" b="0"/>
            <wp:docPr id="2145446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115C4" w14:textId="283CA685" w:rsidR="00720C9D" w:rsidRDefault="00720C9D" w:rsidP="00720C9D">
      <w:pPr>
        <w:pStyle w:val="ListParagraph"/>
        <w:snapToGrid w:val="0"/>
        <w:spacing w:line="360" w:lineRule="auto"/>
        <w:ind w:left="0"/>
        <w:rPr>
          <w:rFonts w:ascii="Arial" w:eastAsia="DengXian" w:hAnsi="Arial"/>
          <w:color w:val="000000" w:themeColor="text1"/>
          <w:kern w:val="24"/>
        </w:rPr>
      </w:pPr>
      <w:r w:rsidRPr="00FA6372">
        <w:rPr>
          <w:rFonts w:ascii="Arial" w:eastAsia="DengXian" w:hAnsi="Arial"/>
          <w:color w:val="000000" w:themeColor="text1"/>
          <w:kern w:val="24"/>
        </w:rPr>
        <w:t>KCs promotes liver IRI via IL-1</w:t>
      </w:r>
      <w:r>
        <w:rPr>
          <w:rFonts w:ascii="Arial" w:eastAsia="DengXian" w:hAnsi="Arial"/>
          <w:color w:val="000000" w:themeColor="text1"/>
          <w:kern w:val="24"/>
        </w:rPr>
        <w:t>b</w:t>
      </w:r>
      <w:r w:rsidRPr="00FA6372">
        <w:rPr>
          <w:rFonts w:ascii="Arial" w:eastAsia="DengXian" w:hAnsi="Arial"/>
          <w:color w:val="000000" w:themeColor="text1"/>
          <w:kern w:val="24"/>
        </w:rPr>
        <w:t xml:space="preserve">.  Average </w:t>
      </w:r>
      <w:proofErr w:type="spellStart"/>
      <w:r w:rsidRPr="00FA6372">
        <w:rPr>
          <w:rFonts w:ascii="Arial" w:eastAsia="DengXian" w:hAnsi="Arial"/>
          <w:color w:val="000000" w:themeColor="text1"/>
          <w:kern w:val="24"/>
        </w:rPr>
        <w:t>sALT</w:t>
      </w:r>
      <w:proofErr w:type="spellEnd"/>
      <w:r w:rsidRPr="00FA6372">
        <w:rPr>
          <w:rFonts w:ascii="Arial" w:eastAsia="DengXian" w:hAnsi="Arial"/>
          <w:color w:val="000000" w:themeColor="text1"/>
          <w:kern w:val="24"/>
        </w:rPr>
        <w:t xml:space="preserve"> levels of indicated exp. groups. *p&lt;0.0</w:t>
      </w:r>
      <w:r w:rsidR="00D264FB">
        <w:rPr>
          <w:rFonts w:ascii="Arial" w:eastAsia="DengXian" w:hAnsi="Arial"/>
          <w:color w:val="000000" w:themeColor="text1"/>
          <w:kern w:val="24"/>
        </w:rPr>
        <w:t>5</w:t>
      </w:r>
      <w:r w:rsidRPr="00FA6372">
        <w:rPr>
          <w:rFonts w:ascii="Arial" w:eastAsia="DengXian" w:hAnsi="Arial"/>
          <w:color w:val="000000" w:themeColor="text1"/>
          <w:kern w:val="24"/>
        </w:rPr>
        <w:t xml:space="preserve">. </w:t>
      </w:r>
    </w:p>
    <w:p w14:paraId="7602B330" w14:textId="77777777" w:rsidR="000530FE" w:rsidRPr="00B22ED2" w:rsidRDefault="000530FE">
      <w:pPr>
        <w:rPr>
          <w:rFonts w:ascii="Arial" w:hAnsi="Arial" w:cs="Arial"/>
        </w:rPr>
      </w:pPr>
    </w:p>
    <w:sectPr w:rsidR="000530FE" w:rsidRPr="00B22E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ED2"/>
    <w:rsid w:val="00026D57"/>
    <w:rsid w:val="00044183"/>
    <w:rsid w:val="000530FE"/>
    <w:rsid w:val="000817F8"/>
    <w:rsid w:val="000B3FA1"/>
    <w:rsid w:val="00101D34"/>
    <w:rsid w:val="001131AF"/>
    <w:rsid w:val="0020185B"/>
    <w:rsid w:val="002E5B53"/>
    <w:rsid w:val="0030238E"/>
    <w:rsid w:val="003838F2"/>
    <w:rsid w:val="003C7A9E"/>
    <w:rsid w:val="00455914"/>
    <w:rsid w:val="004C2EF5"/>
    <w:rsid w:val="005B104C"/>
    <w:rsid w:val="005C7A3A"/>
    <w:rsid w:val="00663399"/>
    <w:rsid w:val="006A1BDE"/>
    <w:rsid w:val="006B28F5"/>
    <w:rsid w:val="00720C9D"/>
    <w:rsid w:val="007519E8"/>
    <w:rsid w:val="00815B75"/>
    <w:rsid w:val="00885F8C"/>
    <w:rsid w:val="009A7010"/>
    <w:rsid w:val="00B22ED2"/>
    <w:rsid w:val="00B3111D"/>
    <w:rsid w:val="00B43074"/>
    <w:rsid w:val="00B469BF"/>
    <w:rsid w:val="00BF3056"/>
    <w:rsid w:val="00BF6855"/>
    <w:rsid w:val="00C05C4B"/>
    <w:rsid w:val="00C4409E"/>
    <w:rsid w:val="00C64DD1"/>
    <w:rsid w:val="00C82A3A"/>
    <w:rsid w:val="00C93928"/>
    <w:rsid w:val="00D264FB"/>
    <w:rsid w:val="00DC318D"/>
    <w:rsid w:val="00DF1FDF"/>
    <w:rsid w:val="00E2042E"/>
    <w:rsid w:val="00FE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A4325C"/>
  <w15:chartTrackingRefBased/>
  <w15:docId w15:val="{EEEBCA9C-FD49-467E-A8F5-7A2AA83CC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2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2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2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2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2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2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2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2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2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2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2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2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2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ED2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B22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2E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E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E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2ED2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0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29b67dc-4a0c-462a-96b4-85f6ede5f9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7B90AC092BF445A97D2E2529C9E924" ma:contentTypeVersion="19" ma:contentTypeDescription="Create a new document." ma:contentTypeScope="" ma:versionID="6da1dca72e4e4d4915b54d9a26916116">
  <xsd:schema xmlns:xsd="http://www.w3.org/2001/XMLSchema" xmlns:xs="http://www.w3.org/2001/XMLSchema" xmlns:p="http://schemas.microsoft.com/office/2006/metadata/properties" xmlns:ns3="e29b67dc-4a0c-462a-96b4-85f6ede5f9da" xmlns:ns4="b748a094-49bd-4685-b795-ee451588b3a5" targetNamespace="http://schemas.microsoft.com/office/2006/metadata/properties" ma:root="true" ma:fieldsID="064e8182699c220611db80f510f8909e" ns3:_="" ns4:_="">
    <xsd:import namespace="e29b67dc-4a0c-462a-96b4-85f6ede5f9da"/>
    <xsd:import namespace="b748a094-49bd-4685-b795-ee451588b3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b67dc-4a0c-462a-96b4-85f6ede5f9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8a094-49bd-4685-b795-ee451588b3a5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11860F-8A85-49CA-8DDE-69F89B9719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FE851D-2232-46C8-B1D2-D8C8CD51C8C3}">
  <ds:schemaRefs>
    <ds:schemaRef ds:uri="http://schemas.microsoft.com/office/2006/metadata/properties"/>
    <ds:schemaRef ds:uri="http://schemas.microsoft.com/office/infopath/2007/PartnerControls"/>
    <ds:schemaRef ds:uri="e29b67dc-4a0c-462a-96b4-85f6ede5f9da"/>
  </ds:schemaRefs>
</ds:datastoreItem>
</file>

<file path=customXml/itemProps3.xml><?xml version="1.0" encoding="utf-8"?>
<ds:datastoreItem xmlns:ds="http://schemas.openxmlformats.org/officeDocument/2006/customXml" ds:itemID="{197FD259-1715-414E-BB5A-EDDBA6A29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b67dc-4a0c-462a-96b4-85f6ede5f9da"/>
    <ds:schemaRef ds:uri="b748a094-49bd-4685-b795-ee451588b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479</Words>
  <Characters>2764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MUSC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Zhai, Yuan</dc:creator>
  <cp:keywords/>
  <dc:description/>
  <cp:lastModifiedBy>Zhai, Yuan</cp:lastModifiedBy>
  <cp:revision>31</cp:revision>
  <dcterms:created xsi:type="dcterms:W3CDTF">2025-12-04T21:44:00Z</dcterms:created>
  <dcterms:modified xsi:type="dcterms:W3CDTF">2025-12-05T13:34:00Z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0x010100257B90AC092BF445A97D2E2529C9E924</vt:lpwstr>
  </property>
</Properties>
</file>